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55DB" w:rsidRPr="00795817" w:rsidRDefault="000865D6" w:rsidP="00E23DB7">
      <w:pPr>
        <w:pStyle w:val="Footnotes"/>
        <w:jc w:val="right"/>
      </w:pPr>
      <w:bookmarkStart w:id="0" w:name="_Toc237322671"/>
      <w:bookmarkStart w:id="1" w:name="_GoBack"/>
      <w:bookmarkEnd w:id="1"/>
      <w:r>
        <w:t>V.</w:t>
      </w:r>
    </w:p>
    <w:p w:rsidR="004A55DB" w:rsidRPr="00795817" w:rsidRDefault="004A55DB" w:rsidP="004A55DB">
      <w:pPr>
        <w:pStyle w:val="Normln-tun"/>
      </w:pPr>
    </w:p>
    <w:p w:rsidR="004A55DB" w:rsidRPr="00795817" w:rsidRDefault="004A55DB" w:rsidP="004A55DB">
      <w:pPr>
        <w:pStyle w:val="Normln-tun"/>
      </w:pPr>
    </w:p>
    <w:p w:rsidR="004A55DB" w:rsidRPr="00795817" w:rsidRDefault="004A55DB" w:rsidP="004A55DB">
      <w:pPr>
        <w:pStyle w:val="Normln-tun"/>
      </w:pPr>
    </w:p>
    <w:p w:rsidR="004A55DB" w:rsidRPr="00795817" w:rsidRDefault="004A55DB" w:rsidP="004A55DB">
      <w:pPr>
        <w:pStyle w:val="Normln-tun"/>
      </w:pPr>
    </w:p>
    <w:p w:rsidR="004A55DB" w:rsidRPr="00795817" w:rsidRDefault="004A55DB" w:rsidP="004A55DB">
      <w:pPr>
        <w:pStyle w:val="Normln-tun"/>
      </w:pPr>
    </w:p>
    <w:p w:rsidR="004A55DB" w:rsidRPr="00795817" w:rsidRDefault="004A55DB" w:rsidP="004A55DB">
      <w:pPr>
        <w:pStyle w:val="Normln-tun"/>
      </w:pPr>
    </w:p>
    <w:p w:rsidR="005309DC" w:rsidRDefault="005309DC" w:rsidP="00FA6A09">
      <w:pPr>
        <w:pStyle w:val="Normln-tun"/>
        <w:jc w:val="center"/>
        <w:rPr>
          <w:b/>
          <w:smallCaps/>
          <w:sz w:val="40"/>
          <w:szCs w:val="40"/>
        </w:rPr>
      </w:pPr>
    </w:p>
    <w:p w:rsidR="005309DC" w:rsidRDefault="005309DC" w:rsidP="00FA6A09">
      <w:pPr>
        <w:pStyle w:val="Normln-tun"/>
        <w:jc w:val="center"/>
        <w:rPr>
          <w:b/>
          <w:smallCaps/>
          <w:sz w:val="40"/>
          <w:szCs w:val="40"/>
        </w:rPr>
      </w:pPr>
    </w:p>
    <w:p w:rsidR="00482307" w:rsidRDefault="00482307" w:rsidP="00FA6A09">
      <w:pPr>
        <w:pStyle w:val="Normln-tun"/>
        <w:jc w:val="center"/>
        <w:rPr>
          <w:b/>
          <w:smallCaps/>
          <w:sz w:val="40"/>
          <w:szCs w:val="40"/>
        </w:rPr>
      </w:pPr>
    </w:p>
    <w:p w:rsidR="00B933A0" w:rsidRPr="00795817" w:rsidRDefault="000865D6" w:rsidP="00FA6A09">
      <w:pPr>
        <w:pStyle w:val="Normln-tun"/>
        <w:jc w:val="center"/>
        <w:rPr>
          <w:b/>
          <w:smallCaps/>
          <w:sz w:val="40"/>
          <w:szCs w:val="40"/>
        </w:rPr>
      </w:pPr>
      <w:r w:rsidRPr="00795817">
        <w:rPr>
          <w:b/>
          <w:smallCaps/>
          <w:sz w:val="40"/>
          <w:szCs w:val="40"/>
        </w:rPr>
        <w:t>Hodnocení dopad</w:t>
      </w:r>
      <w:r w:rsidR="00A27E85">
        <w:rPr>
          <w:b/>
          <w:smallCaps/>
          <w:sz w:val="40"/>
          <w:szCs w:val="40"/>
        </w:rPr>
        <w:t>ů</w:t>
      </w:r>
      <w:r w:rsidRPr="00795817">
        <w:rPr>
          <w:b/>
          <w:smallCaps/>
          <w:sz w:val="40"/>
          <w:szCs w:val="40"/>
        </w:rPr>
        <w:t xml:space="preserve"> regulace (RIA) k</w:t>
      </w:r>
      <w:r w:rsidR="00AD74E8">
        <w:rPr>
          <w:b/>
          <w:smallCaps/>
          <w:sz w:val="40"/>
          <w:szCs w:val="40"/>
        </w:rPr>
        <w:t> </w:t>
      </w:r>
      <w:r w:rsidR="00AF3391">
        <w:rPr>
          <w:b/>
          <w:smallCaps/>
          <w:sz w:val="40"/>
          <w:szCs w:val="40"/>
        </w:rPr>
        <w:t>návrhu</w:t>
      </w:r>
      <w:r w:rsidR="00FA6A09">
        <w:rPr>
          <w:b/>
          <w:smallCaps/>
          <w:sz w:val="40"/>
          <w:szCs w:val="40"/>
        </w:rPr>
        <w:t xml:space="preserve"> </w:t>
      </w:r>
      <w:r w:rsidR="009E3883" w:rsidRPr="00795817">
        <w:rPr>
          <w:b/>
          <w:smallCaps/>
          <w:sz w:val="40"/>
          <w:szCs w:val="40"/>
        </w:rPr>
        <w:t>zákona</w:t>
      </w:r>
      <w:r w:rsidR="00FA6A09">
        <w:rPr>
          <w:b/>
          <w:smallCaps/>
          <w:sz w:val="40"/>
          <w:szCs w:val="40"/>
        </w:rPr>
        <w:t xml:space="preserve"> </w:t>
      </w:r>
      <w:r w:rsidR="009E3883" w:rsidRPr="00795817">
        <w:rPr>
          <w:b/>
          <w:smallCaps/>
          <w:sz w:val="40"/>
          <w:szCs w:val="40"/>
        </w:rPr>
        <w:t xml:space="preserve">o </w:t>
      </w:r>
      <w:r w:rsidR="00AD74E8">
        <w:rPr>
          <w:b/>
          <w:smallCaps/>
          <w:sz w:val="40"/>
          <w:szCs w:val="40"/>
        </w:rPr>
        <w:t>vyvlastnění</w:t>
      </w:r>
    </w:p>
    <w:p w:rsidR="00460FDC" w:rsidRPr="00795817" w:rsidRDefault="00460FDC" w:rsidP="002357D7">
      <w:pPr>
        <w:widowControl w:val="0"/>
        <w:rPr>
          <w:rFonts w:ascii="Cambria" w:eastAsia="Times New Roman" w:hAnsi="Cambria"/>
          <w:b/>
          <w:bCs/>
          <w:color w:val="B6B002"/>
          <w:sz w:val="28"/>
          <w:szCs w:val="28"/>
        </w:rPr>
      </w:pPr>
    </w:p>
    <w:p w:rsidR="00765532" w:rsidRDefault="00765532">
      <w:pPr>
        <w:spacing w:before="0" w:after="0"/>
        <w:jc w:val="left"/>
        <w:rPr>
          <w:rFonts w:ascii="Cambria" w:eastAsia="Times New Roman" w:hAnsi="Cambria"/>
          <w:b/>
          <w:bCs/>
          <w:color w:val="B6B002"/>
          <w:sz w:val="28"/>
          <w:szCs w:val="28"/>
        </w:rPr>
      </w:pPr>
    </w:p>
    <w:p w:rsidR="005309DC" w:rsidRDefault="005309DC">
      <w:pPr>
        <w:spacing w:before="0" w:after="0"/>
        <w:jc w:val="left"/>
        <w:rPr>
          <w:rFonts w:ascii="Cambria" w:eastAsia="Times New Roman" w:hAnsi="Cambria"/>
          <w:b/>
          <w:bCs/>
          <w:color w:val="B6B002"/>
          <w:sz w:val="28"/>
          <w:szCs w:val="28"/>
        </w:rPr>
      </w:pPr>
    </w:p>
    <w:p w:rsidR="005309DC" w:rsidRPr="00795817" w:rsidRDefault="005309DC">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pPr>
        <w:spacing w:before="0" w:after="0"/>
        <w:jc w:val="left"/>
        <w:rPr>
          <w:rFonts w:ascii="Cambria" w:eastAsia="Times New Roman" w:hAnsi="Cambria"/>
          <w:b/>
          <w:bCs/>
          <w:color w:val="B6B002"/>
          <w:sz w:val="28"/>
          <w:szCs w:val="28"/>
        </w:rPr>
      </w:pPr>
    </w:p>
    <w:p w:rsidR="00765532" w:rsidRPr="00795817" w:rsidRDefault="00765532" w:rsidP="00765532">
      <w:pPr>
        <w:widowControl w:val="0"/>
        <w:rPr>
          <w:b/>
        </w:rPr>
      </w:pPr>
    </w:p>
    <w:p w:rsidR="00765532" w:rsidRPr="00795817" w:rsidRDefault="00765532" w:rsidP="00765532">
      <w:pPr>
        <w:widowControl w:val="0"/>
        <w:rPr>
          <w:b/>
        </w:rPr>
      </w:pPr>
    </w:p>
    <w:p w:rsidR="009922A8" w:rsidRDefault="009922A8" w:rsidP="00765532">
      <w:pPr>
        <w:widowControl w:val="0"/>
        <w:rPr>
          <w:b/>
        </w:rPr>
      </w:pPr>
    </w:p>
    <w:p w:rsidR="004A55DB" w:rsidRPr="00795817" w:rsidRDefault="000865D6" w:rsidP="00765532">
      <w:pPr>
        <w:spacing w:before="0" w:after="0"/>
        <w:jc w:val="left"/>
        <w:rPr>
          <w:rFonts w:ascii="Cambria" w:eastAsia="Times New Roman" w:hAnsi="Cambria"/>
          <w:b/>
          <w:bCs/>
          <w:color w:val="B6B002"/>
          <w:sz w:val="28"/>
          <w:szCs w:val="28"/>
        </w:rPr>
      </w:pPr>
      <w:r w:rsidRPr="00795817">
        <w:rPr>
          <w:rFonts w:ascii="Cambria" w:eastAsia="Times New Roman" w:hAnsi="Cambria"/>
          <w:b/>
          <w:bCs/>
          <w:color w:val="B6B002"/>
          <w:sz w:val="28"/>
          <w:szCs w:val="28"/>
        </w:rPr>
        <w:br w:type="page"/>
      </w:r>
    </w:p>
    <w:p w:rsidR="00593939" w:rsidRDefault="000865D6" w:rsidP="00593939">
      <w:pPr>
        <w:tabs>
          <w:tab w:val="left" w:pos="6660"/>
        </w:tabs>
        <w:jc w:val="center"/>
        <w:rPr>
          <w:rFonts w:ascii="Times New Roman" w:hAnsi="Times New Roman"/>
          <w:b/>
          <w:bCs/>
          <w:szCs w:val="24"/>
        </w:rPr>
      </w:pPr>
      <w:r>
        <w:rPr>
          <w:rFonts w:ascii="Times New Roman" w:hAnsi="Times New Roman"/>
          <w:b/>
          <w:bCs/>
        </w:rPr>
        <w:lastRenderedPageBreak/>
        <w:t>SHRNUTÍ ZÁVĚREČNÉ ZPRÁVY RIA</w:t>
      </w:r>
    </w:p>
    <w:tbl>
      <w:tblPr>
        <w:tblW w:w="9645" w:type="dxa"/>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Look w:val="00A0" w:firstRow="1" w:lastRow="0" w:firstColumn="1" w:lastColumn="0" w:noHBand="0" w:noVBand="0"/>
      </w:tblPr>
      <w:tblGrid>
        <w:gridCol w:w="4643"/>
        <w:gridCol w:w="5002"/>
      </w:tblGrid>
      <w:tr w:rsidR="00FC72A1" w:rsidTr="00593939">
        <w:trPr>
          <w:trHeight w:val="187"/>
          <w:jc w:val="center"/>
        </w:trPr>
        <w:tc>
          <w:tcPr>
            <w:tcW w:w="9648" w:type="dxa"/>
            <w:gridSpan w:val="2"/>
            <w:tcBorders>
              <w:top w:val="single" w:sz="12" w:space="0" w:color="000000"/>
              <w:left w:val="single" w:sz="12" w:space="0" w:color="000000"/>
              <w:bottom w:val="single" w:sz="4" w:space="0" w:color="auto"/>
              <w:right w:val="single" w:sz="12" w:space="0" w:color="000000"/>
            </w:tcBorders>
            <w:shd w:val="clear" w:color="auto" w:fill="C6D9F1"/>
            <w:vAlign w:val="bottom"/>
            <w:hideMark/>
          </w:tcPr>
          <w:p w:rsidR="00593939" w:rsidRPr="00F574EC" w:rsidRDefault="000865D6">
            <w:pPr>
              <w:tabs>
                <w:tab w:val="left" w:pos="6660"/>
              </w:tabs>
              <w:rPr>
                <w:rFonts w:ascii="Times New Roman" w:hAnsi="Times New Roman"/>
                <w:bCs/>
                <w:i/>
                <w:iCs/>
                <w:sz w:val="22"/>
              </w:rPr>
            </w:pPr>
            <w:r w:rsidRPr="00F574EC">
              <w:rPr>
                <w:rFonts w:ascii="Times New Roman" w:hAnsi="Times New Roman"/>
                <w:bCs/>
                <w:sz w:val="22"/>
              </w:rPr>
              <w:t>1. Základní identifikační údaje</w:t>
            </w:r>
          </w:p>
        </w:tc>
      </w:tr>
      <w:tr w:rsidR="00FC72A1" w:rsidTr="00593939">
        <w:trPr>
          <w:trHeight w:val="979"/>
          <w:jc w:val="center"/>
        </w:trPr>
        <w:tc>
          <w:tcPr>
            <w:tcW w:w="9648" w:type="dxa"/>
            <w:gridSpan w:val="2"/>
            <w:tcBorders>
              <w:top w:val="single" w:sz="4" w:space="0" w:color="auto"/>
              <w:left w:val="single" w:sz="12" w:space="0" w:color="000000"/>
              <w:bottom w:val="single" w:sz="4" w:space="0" w:color="auto"/>
              <w:right w:val="single" w:sz="12" w:space="0" w:color="000000"/>
            </w:tcBorders>
            <w:vAlign w:val="center"/>
            <w:hideMark/>
          </w:tcPr>
          <w:p w:rsidR="00593939" w:rsidRPr="00F574EC" w:rsidRDefault="000865D6" w:rsidP="00AD74E8">
            <w:pPr>
              <w:tabs>
                <w:tab w:val="left" w:pos="6660"/>
              </w:tabs>
              <w:spacing w:after="0"/>
              <w:jc w:val="center"/>
              <w:rPr>
                <w:rFonts w:ascii="Times New Roman" w:hAnsi="Times New Roman"/>
                <w:bCs/>
                <w:sz w:val="22"/>
              </w:rPr>
            </w:pPr>
            <w:r w:rsidRPr="00F574EC">
              <w:rPr>
                <w:rFonts w:ascii="Times New Roman" w:hAnsi="Times New Roman"/>
                <w:bCs/>
                <w:sz w:val="22"/>
              </w:rPr>
              <w:t xml:space="preserve">Název návrhu: </w:t>
            </w:r>
            <w:r w:rsidR="00AF3391" w:rsidRPr="00F574EC">
              <w:rPr>
                <w:rFonts w:ascii="Times New Roman" w:hAnsi="Times New Roman"/>
                <w:b/>
                <w:bCs/>
                <w:sz w:val="22"/>
              </w:rPr>
              <w:t>Návrh</w:t>
            </w:r>
            <w:r w:rsidR="00AD74E8" w:rsidRPr="00F574EC">
              <w:rPr>
                <w:rFonts w:ascii="Times New Roman" w:hAnsi="Times New Roman"/>
                <w:b/>
                <w:bCs/>
                <w:sz w:val="22"/>
              </w:rPr>
              <w:t xml:space="preserve"> zákona o vyvlastnění</w:t>
            </w:r>
          </w:p>
        </w:tc>
      </w:tr>
      <w:tr w:rsidR="00FC72A1" w:rsidTr="00593939">
        <w:trPr>
          <w:trHeight w:val="979"/>
          <w:jc w:val="center"/>
        </w:trPr>
        <w:tc>
          <w:tcPr>
            <w:tcW w:w="4644" w:type="dxa"/>
            <w:tcBorders>
              <w:top w:val="single" w:sz="4" w:space="0" w:color="auto"/>
              <w:left w:val="single" w:sz="12" w:space="0" w:color="000000"/>
              <w:bottom w:val="single" w:sz="4" w:space="0" w:color="auto"/>
              <w:right w:val="single" w:sz="4" w:space="0" w:color="auto"/>
            </w:tcBorders>
            <w:vAlign w:val="center"/>
            <w:hideMark/>
          </w:tcPr>
          <w:p w:rsidR="00593939" w:rsidRPr="00F574EC" w:rsidRDefault="000865D6">
            <w:pPr>
              <w:tabs>
                <w:tab w:val="left" w:pos="6660"/>
              </w:tabs>
              <w:jc w:val="center"/>
              <w:rPr>
                <w:rFonts w:ascii="Times New Roman" w:hAnsi="Times New Roman"/>
                <w:bCs/>
                <w:sz w:val="22"/>
              </w:rPr>
            </w:pPr>
            <w:r w:rsidRPr="00F574EC">
              <w:rPr>
                <w:rFonts w:ascii="Times New Roman" w:hAnsi="Times New Roman"/>
                <w:bCs/>
                <w:sz w:val="22"/>
              </w:rPr>
              <w:t xml:space="preserve">Zpracovatel / zástupce předkladatele: </w:t>
            </w:r>
          </w:p>
          <w:p w:rsidR="00593939" w:rsidRPr="00F574EC" w:rsidRDefault="000865D6">
            <w:pPr>
              <w:tabs>
                <w:tab w:val="left" w:pos="6660"/>
              </w:tabs>
              <w:jc w:val="center"/>
              <w:rPr>
                <w:rFonts w:ascii="Times New Roman" w:hAnsi="Times New Roman"/>
                <w:bCs/>
                <w:sz w:val="22"/>
                <w:u w:val="single"/>
              </w:rPr>
            </w:pPr>
            <w:r w:rsidRPr="00F574EC">
              <w:rPr>
                <w:rFonts w:ascii="Times New Roman" w:hAnsi="Times New Roman"/>
                <w:bCs/>
                <w:sz w:val="22"/>
              </w:rPr>
              <w:t xml:space="preserve">Ministerstvo pro </w:t>
            </w:r>
            <w:r w:rsidRPr="00F574EC">
              <w:rPr>
                <w:rFonts w:ascii="Times New Roman" w:hAnsi="Times New Roman"/>
                <w:bCs/>
                <w:sz w:val="22"/>
              </w:rPr>
              <w:t>místní rozvoj</w:t>
            </w:r>
            <w:r w:rsidRPr="00F574EC">
              <w:rPr>
                <w:rFonts w:ascii="Times New Roman" w:hAnsi="Times New Roman"/>
                <w:bCs/>
                <w:sz w:val="22"/>
                <w:u w:val="single"/>
              </w:rPr>
              <w:t xml:space="preserve"> </w:t>
            </w:r>
          </w:p>
        </w:tc>
        <w:tc>
          <w:tcPr>
            <w:tcW w:w="5004" w:type="dxa"/>
            <w:tcBorders>
              <w:top w:val="single" w:sz="4" w:space="0" w:color="auto"/>
              <w:left w:val="single" w:sz="4" w:space="0" w:color="auto"/>
              <w:bottom w:val="single" w:sz="4" w:space="0" w:color="auto"/>
              <w:right w:val="single" w:sz="12" w:space="0" w:color="000000"/>
            </w:tcBorders>
            <w:vAlign w:val="center"/>
            <w:hideMark/>
          </w:tcPr>
          <w:p w:rsidR="00593939" w:rsidRPr="00F574EC" w:rsidRDefault="000865D6">
            <w:pPr>
              <w:tabs>
                <w:tab w:val="left" w:pos="6660"/>
              </w:tabs>
              <w:jc w:val="center"/>
              <w:rPr>
                <w:rFonts w:ascii="Times New Roman" w:hAnsi="Times New Roman"/>
                <w:bCs/>
                <w:sz w:val="22"/>
              </w:rPr>
            </w:pPr>
            <w:r w:rsidRPr="00F574EC">
              <w:rPr>
                <w:rFonts w:ascii="Times New Roman" w:hAnsi="Times New Roman"/>
                <w:bCs/>
                <w:sz w:val="22"/>
              </w:rPr>
              <w:t>Předpokládaný termín nabytí účinnosti, v případě dělené účinnosti rozveďte</w:t>
            </w:r>
          </w:p>
          <w:p w:rsidR="00593939" w:rsidRPr="00F574EC" w:rsidRDefault="000865D6">
            <w:pPr>
              <w:tabs>
                <w:tab w:val="left" w:pos="6660"/>
              </w:tabs>
              <w:jc w:val="center"/>
              <w:rPr>
                <w:rFonts w:ascii="Times New Roman" w:hAnsi="Times New Roman"/>
                <w:bCs/>
                <w:sz w:val="22"/>
              </w:rPr>
            </w:pPr>
            <w:r>
              <w:rPr>
                <w:rFonts w:ascii="Times New Roman" w:hAnsi="Times New Roman"/>
                <w:bCs/>
                <w:sz w:val="22"/>
              </w:rPr>
              <w:t>1. 7. 2024</w:t>
            </w:r>
          </w:p>
        </w:tc>
      </w:tr>
      <w:tr w:rsidR="00FC72A1" w:rsidTr="00593939">
        <w:trPr>
          <w:trHeight w:val="1080"/>
          <w:jc w:val="center"/>
        </w:trPr>
        <w:tc>
          <w:tcPr>
            <w:tcW w:w="9648" w:type="dxa"/>
            <w:gridSpan w:val="2"/>
            <w:tcBorders>
              <w:top w:val="single" w:sz="12" w:space="0" w:color="000000"/>
              <w:left w:val="single" w:sz="12" w:space="0" w:color="000000"/>
              <w:bottom w:val="single" w:sz="4" w:space="0" w:color="auto"/>
              <w:right w:val="single" w:sz="12" w:space="0" w:color="000000"/>
            </w:tcBorders>
            <w:vAlign w:val="center"/>
            <w:hideMark/>
          </w:tcPr>
          <w:p w:rsidR="00593939" w:rsidRPr="00F574EC" w:rsidRDefault="000865D6">
            <w:pPr>
              <w:tabs>
                <w:tab w:val="left" w:pos="6660"/>
              </w:tabs>
              <w:spacing w:before="100" w:beforeAutospacing="1" w:after="0"/>
              <w:rPr>
                <w:rFonts w:ascii="Times New Roman" w:hAnsi="Times New Roman"/>
                <w:bCs/>
                <w:sz w:val="22"/>
              </w:rPr>
            </w:pPr>
            <w:r w:rsidRPr="00F574EC">
              <w:rPr>
                <w:rFonts w:ascii="Times New Roman" w:hAnsi="Times New Roman"/>
                <w:bCs/>
                <w:sz w:val="22"/>
              </w:rPr>
              <w:t xml:space="preserve">Implementace práva EU: </w:t>
            </w:r>
            <w:r w:rsidR="00263002" w:rsidRPr="00F574EC">
              <w:rPr>
                <w:rFonts w:ascii="Times New Roman" w:hAnsi="Times New Roman"/>
                <w:bCs/>
                <w:sz w:val="22"/>
              </w:rPr>
              <w:t>Ne</w:t>
            </w:r>
            <w:r w:rsidRPr="00F574EC">
              <w:rPr>
                <w:rFonts w:ascii="Times New Roman" w:hAnsi="Times New Roman"/>
                <w:sz w:val="22"/>
              </w:rPr>
              <w:t xml:space="preserve"> (p</w:t>
            </w:r>
            <w:r w:rsidRPr="00F574EC">
              <w:rPr>
                <w:rFonts w:ascii="Times New Roman" w:hAnsi="Times New Roman"/>
                <w:bCs/>
                <w:sz w:val="22"/>
              </w:rPr>
              <w:t>okud zvolíte Ano):</w:t>
            </w:r>
            <w:r w:rsidR="00AF3391" w:rsidRPr="00F574EC">
              <w:rPr>
                <w:rFonts w:ascii="Times New Roman" w:hAnsi="Times New Roman"/>
                <w:bCs/>
                <w:sz w:val="22"/>
              </w:rPr>
              <w:t xml:space="preserve"> Ne</w:t>
            </w:r>
          </w:p>
          <w:p w:rsidR="00593939" w:rsidRPr="00F574EC" w:rsidRDefault="000865D6">
            <w:pPr>
              <w:tabs>
                <w:tab w:val="left" w:pos="6660"/>
              </w:tabs>
              <w:rPr>
                <w:rFonts w:ascii="Times New Roman" w:hAnsi="Times New Roman"/>
                <w:i/>
                <w:iCs/>
                <w:sz w:val="22"/>
              </w:rPr>
            </w:pPr>
            <w:r w:rsidRPr="00F574EC">
              <w:rPr>
                <w:rFonts w:ascii="Times New Roman" w:hAnsi="Times New Roman"/>
                <w:bCs/>
                <w:sz w:val="22"/>
              </w:rPr>
              <w:t xml:space="preserve">- uveďte termín stanovený pro implementaci: </w:t>
            </w:r>
          </w:p>
          <w:p w:rsidR="00593939" w:rsidRPr="00F574EC" w:rsidRDefault="000865D6">
            <w:pPr>
              <w:tabs>
                <w:tab w:val="left" w:pos="6660"/>
              </w:tabs>
              <w:rPr>
                <w:rFonts w:ascii="Times New Roman" w:hAnsi="Times New Roman"/>
                <w:i/>
                <w:iCs/>
                <w:sz w:val="22"/>
                <w:u w:val="single"/>
              </w:rPr>
            </w:pPr>
            <w:r w:rsidRPr="00F574EC">
              <w:rPr>
                <w:rFonts w:ascii="Times New Roman" w:hAnsi="Times New Roman"/>
                <w:bCs/>
                <w:sz w:val="22"/>
              </w:rPr>
              <w:t xml:space="preserve">- uveďte, zda jde návrh nad rámec požadavků stanovených předpisem EU?: </w:t>
            </w:r>
          </w:p>
        </w:tc>
      </w:tr>
      <w:tr w:rsidR="00FC72A1" w:rsidTr="00593939">
        <w:trPr>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6660"/>
              </w:tabs>
              <w:rPr>
                <w:rFonts w:ascii="Times New Roman" w:hAnsi="Times New Roman"/>
                <w:bCs/>
                <w:sz w:val="22"/>
              </w:rPr>
            </w:pPr>
            <w:r w:rsidRPr="00F574EC">
              <w:rPr>
                <w:rFonts w:ascii="Times New Roman" w:hAnsi="Times New Roman"/>
                <w:bCs/>
                <w:sz w:val="22"/>
              </w:rPr>
              <w:t xml:space="preserve">2. Cíl návrhu zákona </w:t>
            </w:r>
          </w:p>
        </w:tc>
      </w:tr>
      <w:tr w:rsidR="00FC72A1" w:rsidTr="00593939">
        <w:trPr>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E616F8" w:rsidRPr="00F574EC" w:rsidRDefault="000865D6" w:rsidP="00E616F8">
            <w:pPr>
              <w:pStyle w:val="Text-Normaln"/>
              <w:widowControl w:val="0"/>
              <w:rPr>
                <w:rFonts w:ascii="Times New Roman" w:hAnsi="Times New Roman"/>
                <w:sz w:val="22"/>
                <w:u w:val="single"/>
              </w:rPr>
            </w:pPr>
            <w:r w:rsidRPr="00F574EC">
              <w:rPr>
                <w:rFonts w:ascii="Times New Roman" w:hAnsi="Times New Roman"/>
                <w:sz w:val="22"/>
                <w:u w:val="single"/>
              </w:rPr>
              <w:t>Obecné cíle</w:t>
            </w:r>
          </w:p>
          <w:p w:rsidR="00E616F8" w:rsidRPr="00F574EC" w:rsidRDefault="000865D6" w:rsidP="00E616F8">
            <w:pPr>
              <w:pStyle w:val="Text-Normaln"/>
              <w:widowControl w:val="0"/>
              <w:rPr>
                <w:rFonts w:ascii="Times New Roman" w:hAnsi="Times New Roman"/>
                <w:sz w:val="22"/>
              </w:rPr>
            </w:pPr>
            <w:r w:rsidRPr="00F574EC">
              <w:rPr>
                <w:rFonts w:ascii="Times New Roman" w:hAnsi="Times New Roman"/>
                <w:sz w:val="22"/>
              </w:rPr>
              <w:t xml:space="preserve">Ochrana veřejných zájmů; dosažení cílů stanovených v příslušných rezortních koncepčních materiálech; zajištění udržitelného vývoje či konkurenceschopnosti ČR  </w:t>
            </w:r>
          </w:p>
          <w:p w:rsidR="00E616F8" w:rsidRPr="00F574EC" w:rsidRDefault="000865D6" w:rsidP="00E616F8">
            <w:pPr>
              <w:pStyle w:val="Text-Normaln"/>
              <w:widowControl w:val="0"/>
              <w:rPr>
                <w:rFonts w:ascii="Times New Roman" w:hAnsi="Times New Roman"/>
                <w:sz w:val="22"/>
                <w:u w:val="single"/>
              </w:rPr>
            </w:pPr>
            <w:r w:rsidRPr="00F574EC">
              <w:rPr>
                <w:rFonts w:ascii="Times New Roman" w:hAnsi="Times New Roman"/>
                <w:sz w:val="22"/>
                <w:u w:val="single"/>
              </w:rPr>
              <w:t>Konkrétní cíle</w:t>
            </w:r>
          </w:p>
          <w:p w:rsidR="00E616F8" w:rsidRPr="00F574EC" w:rsidRDefault="000865D6" w:rsidP="00E616F8">
            <w:pPr>
              <w:pStyle w:val="Text-Normaln"/>
              <w:widowControl w:val="0"/>
              <w:rPr>
                <w:rFonts w:ascii="Times New Roman" w:hAnsi="Times New Roman"/>
                <w:b/>
                <w:bCs/>
                <w:sz w:val="22"/>
              </w:rPr>
            </w:pPr>
            <w:r w:rsidRPr="00F574EC">
              <w:rPr>
                <w:rFonts w:ascii="Times New Roman" w:hAnsi="Times New Roman"/>
                <w:b/>
                <w:bCs/>
                <w:sz w:val="22"/>
              </w:rPr>
              <w:t xml:space="preserve">Nastolení optimální situace, kdy není umožněno jednostranné prosazování zájmů </w:t>
            </w:r>
            <w:r w:rsidRPr="00F574EC">
              <w:rPr>
                <w:rFonts w:ascii="Times New Roman" w:hAnsi="Times New Roman"/>
                <w:b/>
                <w:bCs/>
                <w:sz w:val="22"/>
              </w:rPr>
              <w:t>vyvlastnitelů reprezentujících zájem společnosti na úkor vlastníků, zároveň však není vlastníkům dovoleno, aby realizaci stavby, s níž nesouhlasí, zmařili</w:t>
            </w:r>
            <w:r w:rsidR="00866567" w:rsidRPr="00F574EC">
              <w:rPr>
                <w:rFonts w:ascii="Times New Roman" w:hAnsi="Times New Roman"/>
                <w:b/>
                <w:bCs/>
                <w:sz w:val="22"/>
              </w:rPr>
              <w:t>, neúměrně ji protahovali či bránili</w:t>
            </w:r>
            <w:r w:rsidR="00866567" w:rsidRPr="00F574EC">
              <w:rPr>
                <w:rFonts w:ascii="Times New Roman" w:hAnsi="Times New Roman"/>
              </w:rPr>
              <w:t xml:space="preserve"> </w:t>
            </w:r>
            <w:r w:rsidR="00866567" w:rsidRPr="00F574EC">
              <w:rPr>
                <w:rFonts w:ascii="Times New Roman" w:hAnsi="Times New Roman"/>
                <w:b/>
                <w:bCs/>
                <w:sz w:val="22"/>
              </w:rPr>
              <w:t>stavbám, které mají celospolečenský význam</w:t>
            </w:r>
            <w:r w:rsidRPr="00F574EC">
              <w:rPr>
                <w:rFonts w:ascii="Times New Roman" w:hAnsi="Times New Roman"/>
                <w:b/>
                <w:bCs/>
                <w:sz w:val="22"/>
              </w:rPr>
              <w:t>.</w:t>
            </w:r>
          </w:p>
          <w:p w:rsidR="00E616F8" w:rsidRPr="00F574EC" w:rsidRDefault="000865D6" w:rsidP="00E616F8">
            <w:pPr>
              <w:pStyle w:val="Text-Normaln"/>
              <w:widowControl w:val="0"/>
              <w:rPr>
                <w:rFonts w:ascii="Times New Roman" w:hAnsi="Times New Roman"/>
                <w:sz w:val="22"/>
                <w:u w:val="single"/>
              </w:rPr>
            </w:pPr>
            <w:r w:rsidRPr="00F574EC">
              <w:rPr>
                <w:rFonts w:ascii="Times New Roman" w:hAnsi="Times New Roman"/>
                <w:sz w:val="22"/>
                <w:u w:val="single"/>
              </w:rPr>
              <w:t>Operativní cíle</w:t>
            </w:r>
          </w:p>
          <w:p w:rsidR="00C33AE1" w:rsidRPr="00F574EC" w:rsidRDefault="000865D6" w:rsidP="00573612">
            <w:pPr>
              <w:pStyle w:val="Text-Normaln"/>
              <w:widowControl w:val="0"/>
              <w:rPr>
                <w:rFonts w:ascii="Times New Roman" w:hAnsi="Times New Roman"/>
                <w:bCs/>
                <w:sz w:val="22"/>
              </w:rPr>
            </w:pPr>
            <w:r w:rsidRPr="00F574EC">
              <w:rPr>
                <w:rFonts w:ascii="Times New Roman" w:hAnsi="Times New Roman"/>
                <w:sz w:val="22"/>
              </w:rPr>
              <w:t xml:space="preserve">Snížení délky vyvlastňovacího řízení; snížení počtu úspěšných odvolání a délky odvolacího řízení; snížení </w:t>
            </w:r>
            <w:r w:rsidRPr="00F574EC">
              <w:rPr>
                <w:rFonts w:ascii="Times New Roman" w:hAnsi="Times New Roman"/>
                <w:sz w:val="22"/>
              </w:rPr>
              <w:tab/>
              <w:t>počtu a délky soudních řízení</w:t>
            </w:r>
            <w:r w:rsidR="00573612" w:rsidRPr="00F574EC">
              <w:rPr>
                <w:rFonts w:ascii="Times New Roman" w:hAnsi="Times New Roman"/>
                <w:sz w:val="22"/>
              </w:rPr>
              <w:t>; urychlení zahajování staveb, které jsou na vyvlastňovacích procesech závislé.</w:t>
            </w:r>
          </w:p>
        </w:tc>
      </w:tr>
      <w:tr w:rsidR="00FC72A1" w:rsidTr="00593939">
        <w:trPr>
          <w:jc w:val="center"/>
        </w:trPr>
        <w:tc>
          <w:tcPr>
            <w:tcW w:w="9648" w:type="dxa"/>
            <w:gridSpan w:val="2"/>
            <w:tcBorders>
              <w:top w:val="single" w:sz="4" w:space="0" w:color="auto"/>
              <w:left w:val="single" w:sz="12" w:space="0" w:color="auto"/>
              <w:bottom w:val="single" w:sz="12"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 </w:t>
            </w:r>
            <w:r w:rsidRPr="00F574EC">
              <w:rPr>
                <w:rFonts w:ascii="Times New Roman" w:hAnsi="Times New Roman"/>
                <w:sz w:val="22"/>
              </w:rPr>
              <w:t>Agregované</w:t>
            </w:r>
            <w:r w:rsidRPr="00F574EC">
              <w:rPr>
                <w:rFonts w:ascii="Times New Roman" w:hAnsi="Times New Roman"/>
                <w:bCs/>
                <w:sz w:val="22"/>
              </w:rPr>
              <w:t xml:space="preserve"> dopady návrhu zákona</w:t>
            </w:r>
          </w:p>
        </w:tc>
      </w:tr>
      <w:tr w:rsidR="00FC72A1" w:rsidTr="00593939">
        <w:trPr>
          <w:jc w:val="center"/>
        </w:trPr>
        <w:tc>
          <w:tcPr>
            <w:tcW w:w="9648" w:type="dxa"/>
            <w:gridSpan w:val="2"/>
            <w:tcBorders>
              <w:top w:val="single" w:sz="4"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3.1 Dopady na státní rozpočet a ostatní veřejné rozpočty: </w:t>
            </w:r>
            <w:r w:rsidRPr="00F574EC">
              <w:rPr>
                <w:rFonts w:ascii="Times New Roman" w:hAnsi="Times New Roman"/>
                <w:bCs/>
                <w:sz w:val="22"/>
              </w:rPr>
              <w:fldChar w:fldCharType="begin">
                <w:ffData>
                  <w:name w:val=""/>
                  <w:enabled/>
                  <w:calcOnExit w:val="0"/>
                  <w:ddList>
                    <w:listEntry w:val="Ano"/>
                    <w:listEntry w:val="Vyberte Ano / Ne"/>
                    <w:listEntry w:val="Ne"/>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r w:rsidRPr="00F574EC">
              <w:rPr>
                <w:rFonts w:ascii="Times New Roman" w:hAnsi="Times New Roman"/>
                <w:bCs/>
                <w:sz w:val="22"/>
              </w:rPr>
              <w:t xml:space="preserve"> </w:t>
            </w:r>
          </w:p>
        </w:tc>
      </w:tr>
      <w:tr w:rsidR="00FC72A1" w:rsidTr="00593939">
        <w:trPr>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E616F8" w:rsidRPr="00F574EC" w:rsidRDefault="000865D6" w:rsidP="00E616F8">
            <w:pPr>
              <w:rPr>
                <w:rFonts w:ascii="Times New Roman" w:hAnsi="Times New Roman"/>
                <w:bCs/>
                <w:iCs/>
                <w:sz w:val="22"/>
              </w:rPr>
            </w:pPr>
            <w:r w:rsidRPr="00F574EC">
              <w:rPr>
                <w:rFonts w:ascii="Times New Roman" w:hAnsi="Times New Roman"/>
                <w:bCs/>
                <w:iCs/>
                <w:sz w:val="22"/>
              </w:rPr>
              <w:t xml:space="preserve">Hlavní změnou zde bude přesun nákladů na druhé znalecké posudky z vyvlastnitelů na vyvlastňovací </w:t>
            </w:r>
            <w:r w:rsidRPr="00F574EC">
              <w:rPr>
                <w:rFonts w:ascii="Times New Roman" w:hAnsi="Times New Roman"/>
                <w:bCs/>
                <w:iCs/>
                <w:sz w:val="22"/>
              </w:rPr>
              <w:t>úřady.  Pokud by se cena znaleckých posudků pohybovala na úrovni desetitisíců a bylo by jich třeba vyhotovit 100 (1000) ročně, přesun nákladů by byl v úrovni 1 mil. (10 mil.) Kč.</w:t>
            </w:r>
          </w:p>
          <w:p w:rsidR="00593939" w:rsidRPr="00F574EC" w:rsidRDefault="000865D6">
            <w:pPr>
              <w:tabs>
                <w:tab w:val="left" w:pos="1037"/>
              </w:tabs>
              <w:rPr>
                <w:rFonts w:ascii="Times New Roman" w:hAnsi="Times New Roman"/>
                <w:bCs/>
                <w:sz w:val="22"/>
              </w:rPr>
            </w:pPr>
            <w:r w:rsidRPr="00F574EC">
              <w:rPr>
                <w:rFonts w:ascii="Times New Roman" w:hAnsi="Times New Roman"/>
                <w:bCs/>
                <w:iCs/>
                <w:sz w:val="22"/>
              </w:rPr>
              <w:t xml:space="preserve">Jednorázovým nákladem bude výdaj na změnu institucionální struktury </w:t>
            </w:r>
            <w:r w:rsidRPr="00F574EC">
              <w:rPr>
                <w:rFonts w:ascii="Times New Roman" w:hAnsi="Times New Roman"/>
                <w:bCs/>
                <w:iCs/>
                <w:sz w:val="22"/>
              </w:rPr>
              <w:t>vyvlastňovacích úřadů.</w:t>
            </w:r>
          </w:p>
        </w:tc>
      </w:tr>
      <w:tr w:rsidR="00FC72A1" w:rsidTr="00593939">
        <w:trPr>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3.2 Dopady na mezinárodní konkurenceschopnost ČR: </w:t>
            </w:r>
            <w:r w:rsidRPr="00F574EC">
              <w:rPr>
                <w:rFonts w:ascii="Times New Roman" w:hAnsi="Times New Roman"/>
                <w:bCs/>
                <w:sz w:val="22"/>
              </w:rPr>
              <w:fldChar w:fldCharType="begin">
                <w:ffData>
                  <w:name w:val=""/>
                  <w:enabled/>
                  <w:calcOnExit w:val="0"/>
                  <w:ddList>
                    <w:listEntry w:val="Ano"/>
                    <w:listEntry w:val="Vyberte Ano / Ne"/>
                    <w:listEntry w:val="Ne"/>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p>
        </w:tc>
      </w:tr>
      <w:tr w:rsidR="00FC72A1" w:rsidTr="00593939">
        <w:trPr>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Zvýšení právní jistoty v oblasti vyvlastňování pozemků a staveb, jejich následná realizace a stavebnictví obecně přispěje k akceleraci ekonomické aktivity a podpoří ekonomick</w:t>
            </w:r>
            <w:r w:rsidRPr="00F574EC">
              <w:rPr>
                <w:rFonts w:ascii="Times New Roman" w:hAnsi="Times New Roman"/>
                <w:bCs/>
                <w:sz w:val="22"/>
              </w:rPr>
              <w:t>ý růst v ČR. Akcelerace ekonomické aktivity bude výsledkem zjednodušení procedur, snížení transakčních nákladů a zvýšení právní jistoty při přípravě staveb. Zvýšení investic pak ovlivní i ostatní subjekty a dodavatele v celém hodnotovém řetězci, čímž dojde</w:t>
            </w:r>
            <w:r w:rsidRPr="00F574EC">
              <w:rPr>
                <w:rFonts w:ascii="Times New Roman" w:hAnsi="Times New Roman"/>
                <w:bCs/>
                <w:sz w:val="22"/>
              </w:rPr>
              <w:t xml:space="preserve"> ke zvýšení výkonnosti celé ekonomiky a posílení její konkurenceschopnosti.</w:t>
            </w:r>
          </w:p>
        </w:tc>
      </w:tr>
      <w:tr w:rsidR="00FC72A1" w:rsidTr="00593939">
        <w:trPr>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bookmarkStart w:id="2" w:name="_Hlk54015930"/>
            <w:r w:rsidRPr="00F574EC">
              <w:rPr>
                <w:rFonts w:ascii="Times New Roman" w:hAnsi="Times New Roman"/>
                <w:bCs/>
                <w:sz w:val="22"/>
              </w:rPr>
              <w:t xml:space="preserve">3.3 Dopady na podnikatelské prostředí: </w:t>
            </w:r>
            <w:r w:rsidRPr="00F574EC">
              <w:rPr>
                <w:rFonts w:ascii="Times New Roman" w:hAnsi="Times New Roman"/>
                <w:bCs/>
                <w:sz w:val="22"/>
              </w:rPr>
              <w:fldChar w:fldCharType="begin">
                <w:ffData>
                  <w:name w:val=""/>
                  <w:enabled/>
                  <w:calcOnExit w:val="0"/>
                  <w:ddList>
                    <w:listEntry w:val="Ano"/>
                    <w:listEntry w:val="Vyberte Ano / Ne"/>
                    <w:listEntry w:val="Ne"/>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r w:rsidRPr="00F574EC">
              <w:rPr>
                <w:rFonts w:ascii="Times New Roman" w:hAnsi="Times New Roman"/>
                <w:bCs/>
                <w:sz w:val="22"/>
              </w:rPr>
              <w:t xml:space="preserve"> </w:t>
            </w:r>
          </w:p>
        </w:tc>
      </w:tr>
      <w:tr w:rsidR="00FC72A1" w:rsidTr="00593939">
        <w:trPr>
          <w:trHeight w:val="369"/>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C33AE1" w:rsidRPr="00F574EC" w:rsidRDefault="000865D6">
            <w:pPr>
              <w:tabs>
                <w:tab w:val="left" w:pos="1037"/>
              </w:tabs>
              <w:rPr>
                <w:rFonts w:ascii="Times New Roman" w:hAnsi="Times New Roman"/>
                <w:bCs/>
                <w:i/>
                <w:sz w:val="22"/>
              </w:rPr>
            </w:pPr>
            <w:r w:rsidRPr="00F574EC">
              <w:rPr>
                <w:rFonts w:ascii="Times New Roman" w:hAnsi="Times New Roman"/>
                <w:bCs/>
                <w:sz w:val="22"/>
              </w:rPr>
              <w:t xml:space="preserve">Po změně regulace </w:t>
            </w:r>
            <w:r w:rsidR="00F574EC">
              <w:rPr>
                <w:rFonts w:ascii="Times New Roman" w:hAnsi="Times New Roman"/>
                <w:bCs/>
                <w:sz w:val="22"/>
              </w:rPr>
              <w:t>mohou být</w:t>
            </w:r>
            <w:r w:rsidRPr="00F574EC">
              <w:rPr>
                <w:rFonts w:ascii="Times New Roman" w:hAnsi="Times New Roman"/>
                <w:bCs/>
                <w:sz w:val="22"/>
              </w:rPr>
              <w:t xml:space="preserve"> konzervativ</w:t>
            </w:r>
            <w:r w:rsidRPr="00F574EC">
              <w:rPr>
                <w:rFonts w:ascii="Times New Roman" w:hAnsi="Times New Roman"/>
                <w:bCs/>
                <w:sz w:val="22"/>
              </w:rPr>
              <w:t xml:space="preserve">ně očekávány přínosy v roční výši 746 mil. Kč z titulu zkrácení </w:t>
            </w:r>
            <w:r w:rsidR="00972617" w:rsidRPr="00F574EC">
              <w:rPr>
                <w:rFonts w:ascii="Times New Roman" w:hAnsi="Times New Roman"/>
                <w:bCs/>
                <w:sz w:val="22"/>
              </w:rPr>
              <w:t xml:space="preserve">průměrné délky </w:t>
            </w:r>
            <w:r w:rsidRPr="00F574EC">
              <w:rPr>
                <w:rFonts w:ascii="Times New Roman" w:hAnsi="Times New Roman"/>
                <w:bCs/>
                <w:sz w:val="22"/>
              </w:rPr>
              <w:t>vyvlastňovacího řízení o 2 měsíce</w:t>
            </w:r>
            <w:r w:rsidR="00593939" w:rsidRPr="00F574EC">
              <w:rPr>
                <w:rFonts w:ascii="Times New Roman" w:hAnsi="Times New Roman"/>
                <w:bCs/>
                <w:i/>
                <w:sz w:val="22"/>
              </w:rPr>
              <w:t>.</w:t>
            </w:r>
            <w:r w:rsidR="00972617" w:rsidRPr="00F574EC">
              <w:rPr>
                <w:rFonts w:ascii="Times New Roman" w:hAnsi="Times New Roman"/>
                <w:bCs/>
                <w:iCs/>
                <w:sz w:val="22"/>
              </w:rPr>
              <w:t xml:space="preserve"> Na délku vyvlastňovacího řízení je třeba se dívat optikou </w:t>
            </w:r>
            <w:r w:rsidR="00972617" w:rsidRPr="00F574EC">
              <w:rPr>
                <w:rFonts w:ascii="Times New Roman" w:hAnsi="Times New Roman"/>
                <w:bCs/>
                <w:iCs/>
                <w:sz w:val="22"/>
              </w:rPr>
              <w:lastRenderedPageBreak/>
              <w:t xml:space="preserve">celého povolovacího procesu, tj. v případě možného souběhu obou řízení je třeba, aby </w:t>
            </w:r>
            <w:r w:rsidR="005C2CB5" w:rsidRPr="00F574EC">
              <w:rPr>
                <w:rFonts w:ascii="Times New Roman" w:hAnsi="Times New Roman"/>
                <w:bCs/>
                <w:iCs/>
                <w:sz w:val="22"/>
              </w:rPr>
              <w:t>majetkoprávní vypořádání bylo, pokud možno, vyřešeno v době vydání stavebního povolení.</w:t>
            </w:r>
          </w:p>
        </w:tc>
      </w:tr>
      <w:bookmarkEnd w:id="2"/>
      <w:tr w:rsidR="00FC72A1" w:rsidTr="00593939">
        <w:trPr>
          <w:jc w:val="center"/>
        </w:trPr>
        <w:tc>
          <w:tcPr>
            <w:tcW w:w="9648" w:type="dxa"/>
            <w:gridSpan w:val="2"/>
            <w:tcBorders>
              <w:top w:val="single" w:sz="4"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lastRenderedPageBreak/>
              <w:t xml:space="preserve">3.4 Dopady na územní samosprávné celky (obce, kraje): </w:t>
            </w:r>
            <w:r w:rsidR="00805E79" w:rsidRPr="00F574EC">
              <w:rPr>
                <w:rFonts w:ascii="Times New Roman" w:hAnsi="Times New Roman"/>
                <w:bCs/>
                <w:sz w:val="22"/>
              </w:rPr>
              <w:fldChar w:fldCharType="begin">
                <w:ffData>
                  <w:name w:val=""/>
                  <w:enabled/>
                  <w:calcOnExit w:val="0"/>
                  <w:ddList>
                    <w:listEntry w:val="Ano"/>
                    <w:listEntry w:val="Ne"/>
                    <w:listEntry w:val="Vyberte Ano / Ne"/>
                  </w:ddList>
                </w:ffData>
              </w:fldChar>
            </w:r>
            <w:r w:rsidR="00805E79"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00805E79" w:rsidRPr="00F574EC">
              <w:rPr>
                <w:rFonts w:ascii="Times New Roman" w:hAnsi="Times New Roman"/>
                <w:bCs/>
                <w:sz w:val="22"/>
              </w:rPr>
              <w:fldChar w:fldCharType="end"/>
            </w:r>
            <w:r w:rsidRPr="00F574EC">
              <w:rPr>
                <w:rFonts w:ascii="Times New Roman" w:hAnsi="Times New Roman"/>
                <w:bCs/>
                <w:sz w:val="22"/>
              </w:rPr>
              <w:t xml:space="preserve"> </w:t>
            </w:r>
          </w:p>
        </w:tc>
      </w:tr>
      <w:tr w:rsidR="00FC72A1" w:rsidTr="00593939">
        <w:trPr>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593939" w:rsidRPr="00F574EC" w:rsidRDefault="000865D6">
            <w:pPr>
              <w:tabs>
                <w:tab w:val="left" w:pos="1037"/>
              </w:tabs>
              <w:rPr>
                <w:rFonts w:ascii="Times New Roman" w:hAnsi="Times New Roman"/>
                <w:bCs/>
                <w:sz w:val="22"/>
              </w:rPr>
            </w:pPr>
            <w:bookmarkStart w:id="3" w:name="_Hlk54015945"/>
            <w:r w:rsidRPr="00F574EC">
              <w:rPr>
                <w:rFonts w:ascii="Times New Roman" w:hAnsi="Times New Roman"/>
                <w:bCs/>
                <w:sz w:val="22"/>
              </w:rPr>
              <w:t>Rychlejší realizace veřejně prospěšných staveb.</w:t>
            </w:r>
            <w:r w:rsidRPr="00F574EC">
              <w:rPr>
                <w:rFonts w:ascii="Times New Roman" w:hAnsi="Times New Roman"/>
                <w:bCs/>
                <w:i/>
                <w:sz w:val="22"/>
              </w:rPr>
              <w:t xml:space="preserve"> </w:t>
            </w:r>
            <w:bookmarkEnd w:id="3"/>
          </w:p>
        </w:tc>
      </w:tr>
      <w:tr w:rsidR="00FC72A1" w:rsidTr="00593939">
        <w:trPr>
          <w:jc w:val="center"/>
        </w:trPr>
        <w:tc>
          <w:tcPr>
            <w:tcW w:w="9648" w:type="dxa"/>
            <w:gridSpan w:val="2"/>
            <w:tcBorders>
              <w:top w:val="single" w:sz="4"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 w:val="left" w:pos="3970"/>
              </w:tabs>
              <w:rPr>
                <w:rFonts w:ascii="Times New Roman" w:hAnsi="Times New Roman"/>
                <w:bCs/>
                <w:sz w:val="22"/>
              </w:rPr>
            </w:pPr>
            <w:r w:rsidRPr="00F574EC">
              <w:rPr>
                <w:rFonts w:ascii="Times New Roman" w:hAnsi="Times New Roman"/>
                <w:bCs/>
                <w:sz w:val="22"/>
              </w:rPr>
              <w:t xml:space="preserve">3.5 Sociální dopady: </w:t>
            </w:r>
            <w:r w:rsidRPr="00F574EC">
              <w:rPr>
                <w:rFonts w:ascii="Times New Roman" w:hAnsi="Times New Roman"/>
                <w:bCs/>
                <w:sz w:val="22"/>
              </w:rPr>
              <w:fldChar w:fldCharType="begin">
                <w:ffData>
                  <w:name w:val=""/>
                  <w:enabled/>
                  <w:calcOnExit w:val="0"/>
                  <w:ddList>
                    <w:listEntry w:val="Ano"/>
                    <w:listEntry w:val="Vyberte Ano / Ne"/>
                    <w:listEntry w:val="Ne"/>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r w:rsidRPr="00F574EC">
              <w:rPr>
                <w:rFonts w:ascii="Times New Roman" w:hAnsi="Times New Roman"/>
                <w:bCs/>
                <w:sz w:val="22"/>
              </w:rPr>
              <w:t xml:space="preserve"> </w:t>
            </w:r>
          </w:p>
        </w:tc>
      </w:tr>
      <w:tr w:rsidR="00FC72A1" w:rsidTr="00593939">
        <w:trPr>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Rychlejší realizace veřejně prospěšných staveb.</w:t>
            </w:r>
          </w:p>
        </w:tc>
      </w:tr>
      <w:tr w:rsidR="00FC72A1" w:rsidTr="00593939">
        <w:trPr>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3.6 Dopady na spotřebitele: </w:t>
            </w:r>
            <w:r w:rsidRPr="00F574EC">
              <w:rPr>
                <w:rFonts w:ascii="Times New Roman" w:hAnsi="Times New Roman"/>
                <w:bCs/>
                <w:sz w:val="22"/>
              </w:rPr>
              <w:fldChar w:fldCharType="begin">
                <w:ffData>
                  <w:name w:val=""/>
                  <w:enabled/>
                  <w:calcOnExit w:val="0"/>
                  <w:ddList>
                    <w:listEntry w:val="Ano"/>
                    <w:listEntry w:val="Vyberte Ano / Ne"/>
                    <w:listEntry w:val="Ne"/>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p>
        </w:tc>
      </w:tr>
      <w:tr w:rsidR="00FC72A1" w:rsidTr="00593939">
        <w:trPr>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Rychlejší realizace veřejně prospěšných staveb.</w:t>
            </w:r>
          </w:p>
        </w:tc>
      </w:tr>
      <w:tr w:rsidR="00FC72A1" w:rsidTr="00593939">
        <w:trPr>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3.7 Dopady na životní prostředí: </w:t>
            </w:r>
            <w:r w:rsidRPr="00F574EC">
              <w:rPr>
                <w:rFonts w:ascii="Times New Roman" w:hAnsi="Times New Roman"/>
                <w:bCs/>
                <w:sz w:val="22"/>
              </w:rPr>
              <w:fldChar w:fldCharType="begin">
                <w:ffData>
                  <w:name w:val=""/>
                  <w:enabled/>
                  <w:calcOnExit w:val="0"/>
                  <w:ddList>
                    <w:listEntry w:val="Ne"/>
                    <w:listEntry w:val="Vyberte Ano / Ne"/>
                    <w:listEntry w:val="Ano"/>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r w:rsidRPr="00F574EC">
              <w:rPr>
                <w:rFonts w:ascii="Times New Roman" w:hAnsi="Times New Roman"/>
                <w:bCs/>
                <w:sz w:val="22"/>
              </w:rPr>
              <w:t xml:space="preserve"> </w:t>
            </w:r>
          </w:p>
        </w:tc>
      </w:tr>
      <w:tr w:rsidR="00FC72A1" w:rsidTr="00593939">
        <w:trPr>
          <w:trHeight w:val="455"/>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Pokud budou respektovány platné zákony, není předpokládán negativní vliv na životní prostředí. Naopak budou moci být rychleji realizovány záměr, pro něž vyvlastnění umožňuje</w:t>
            </w:r>
            <w:r w:rsidRPr="00F574EC">
              <w:rPr>
                <w:rFonts w:ascii="Times New Roman" w:hAnsi="Times New Roman"/>
                <w:bCs/>
                <w:sz w:val="22"/>
              </w:rPr>
              <w:t xml:space="preserve"> např. zákon o ochraně přírody a krajiny apod.</w:t>
            </w:r>
            <w:r w:rsidRPr="00F574EC">
              <w:rPr>
                <w:rFonts w:ascii="Times New Roman" w:hAnsi="Times New Roman"/>
                <w:bCs/>
                <w:i/>
                <w:sz w:val="22"/>
              </w:rPr>
              <w:t xml:space="preserve">  </w:t>
            </w:r>
          </w:p>
        </w:tc>
      </w:tr>
      <w:tr w:rsidR="00FC72A1" w:rsidTr="00593939">
        <w:trPr>
          <w:trHeight w:val="411"/>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sz w:val="22"/>
              </w:rPr>
              <w:t>3.8 Dopady ve vztahu k zákazu diskriminace a ve vztahu k rovnosti žen a mužů</w:t>
            </w:r>
            <w:r w:rsidRPr="00F574EC">
              <w:rPr>
                <w:rFonts w:ascii="Times New Roman" w:hAnsi="Times New Roman"/>
                <w:bCs/>
                <w:sz w:val="22"/>
              </w:rPr>
              <w:t xml:space="preserve">: </w:t>
            </w:r>
            <w:r w:rsidRPr="00F574EC">
              <w:rPr>
                <w:rFonts w:ascii="Times New Roman" w:hAnsi="Times New Roman"/>
                <w:bCs/>
                <w:sz w:val="22"/>
              </w:rPr>
              <w:fldChar w:fldCharType="begin">
                <w:ffData>
                  <w:name w:val=""/>
                  <w:enabled/>
                  <w:calcOnExit w:val="0"/>
                  <w:ddList>
                    <w:listEntry w:val="Ne"/>
                    <w:listEntry w:val="Vyberte Ano / Ne"/>
                    <w:listEntry w:val="Ano"/>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p>
        </w:tc>
      </w:tr>
      <w:tr w:rsidR="00FC72A1" w:rsidTr="00593939">
        <w:trPr>
          <w:trHeight w:val="411"/>
          <w:jc w:val="center"/>
        </w:trPr>
        <w:tc>
          <w:tcPr>
            <w:tcW w:w="9648" w:type="dxa"/>
            <w:gridSpan w:val="2"/>
            <w:tcBorders>
              <w:top w:val="single" w:sz="4" w:space="0" w:color="auto"/>
              <w:left w:val="single" w:sz="12" w:space="0" w:color="auto"/>
              <w:bottom w:val="single" w:sz="4" w:space="0" w:color="auto"/>
              <w:right w:val="single" w:sz="12" w:space="0" w:color="auto"/>
            </w:tcBorders>
            <w:hideMark/>
          </w:tcPr>
          <w:p w:rsidR="00593939" w:rsidRPr="00F574EC" w:rsidRDefault="00593939">
            <w:pPr>
              <w:tabs>
                <w:tab w:val="left" w:pos="1037"/>
              </w:tabs>
              <w:rPr>
                <w:rFonts w:ascii="Times New Roman" w:hAnsi="Times New Roman"/>
                <w:bCs/>
                <w:sz w:val="22"/>
              </w:rPr>
            </w:pPr>
          </w:p>
        </w:tc>
      </w:tr>
      <w:tr w:rsidR="00FC72A1" w:rsidTr="00593939">
        <w:trPr>
          <w:trHeight w:val="411"/>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3.9 Dopady na výkon státní statistické služby: </w:t>
            </w:r>
            <w:r w:rsidRPr="00F574EC">
              <w:rPr>
                <w:rFonts w:ascii="Times New Roman" w:hAnsi="Times New Roman"/>
                <w:bCs/>
                <w:sz w:val="22"/>
              </w:rPr>
              <w:fldChar w:fldCharType="begin">
                <w:ffData>
                  <w:name w:val=""/>
                  <w:enabled/>
                  <w:calcOnExit w:val="0"/>
                  <w:ddList>
                    <w:listEntry w:val="Ne"/>
                    <w:listEntry w:val="Vyberte Ano / Ne"/>
                    <w:listEntry w:val="Ano"/>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p>
        </w:tc>
      </w:tr>
      <w:tr w:rsidR="00FC72A1" w:rsidTr="00593939">
        <w:trPr>
          <w:trHeight w:val="411"/>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593939" w:rsidRPr="00F574EC" w:rsidRDefault="00593939">
            <w:pPr>
              <w:tabs>
                <w:tab w:val="left" w:pos="1037"/>
              </w:tabs>
              <w:rPr>
                <w:rFonts w:ascii="Times New Roman" w:hAnsi="Times New Roman"/>
                <w:bCs/>
                <w:sz w:val="22"/>
              </w:rPr>
            </w:pPr>
          </w:p>
        </w:tc>
      </w:tr>
      <w:tr w:rsidR="00FC72A1" w:rsidTr="00593939">
        <w:trPr>
          <w:trHeight w:val="411"/>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3.10 Korupční rizika: </w:t>
            </w:r>
            <w:r w:rsidRPr="00F574EC">
              <w:rPr>
                <w:rFonts w:ascii="Times New Roman" w:hAnsi="Times New Roman"/>
                <w:bCs/>
                <w:sz w:val="22"/>
              </w:rPr>
              <w:fldChar w:fldCharType="begin">
                <w:ffData>
                  <w:name w:val=""/>
                  <w:enabled/>
                  <w:calcOnExit w:val="0"/>
                  <w:ddList>
                    <w:listEntry w:val="Ne"/>
                    <w:listEntry w:val="Vyberte Ano / Ne"/>
                    <w:listEntry w:val="Ano"/>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p>
        </w:tc>
      </w:tr>
      <w:tr w:rsidR="00FC72A1" w:rsidTr="00593939">
        <w:trPr>
          <w:trHeight w:val="411"/>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4A4B8E" w:rsidRPr="00F574EC" w:rsidRDefault="000865D6" w:rsidP="004A4B8E">
            <w:pPr>
              <w:widowControl w:val="0"/>
              <w:tabs>
                <w:tab w:val="left" w:pos="1037"/>
              </w:tabs>
              <w:rPr>
                <w:rFonts w:ascii="Times New Roman" w:hAnsi="Times New Roman"/>
                <w:bCs/>
                <w:sz w:val="22"/>
              </w:rPr>
            </w:pPr>
            <w:r w:rsidRPr="00F574EC">
              <w:rPr>
                <w:rFonts w:ascii="Times New Roman" w:hAnsi="Times New Roman"/>
                <w:bCs/>
                <w:sz w:val="22"/>
              </w:rPr>
              <w:t>Zvolené varianty by z hlediska korupčních rizik měl</w:t>
            </w:r>
            <w:r w:rsidR="002B56D4" w:rsidRPr="00F574EC">
              <w:rPr>
                <w:rFonts w:ascii="Times New Roman" w:hAnsi="Times New Roman"/>
                <w:bCs/>
                <w:sz w:val="22"/>
              </w:rPr>
              <w:t>y</w:t>
            </w:r>
            <w:r w:rsidRPr="00F574EC">
              <w:rPr>
                <w:rFonts w:ascii="Times New Roman" w:hAnsi="Times New Roman"/>
                <w:bCs/>
                <w:sz w:val="22"/>
              </w:rPr>
              <w:t xml:space="preserve"> mít několik pozitivních dopadů:</w:t>
            </w:r>
          </w:p>
          <w:p w:rsidR="002B56D4" w:rsidRPr="00F574EC" w:rsidRDefault="000865D6">
            <w:pPr>
              <w:widowControl w:val="0"/>
              <w:numPr>
                <w:ilvl w:val="0"/>
                <w:numId w:val="76"/>
              </w:numPr>
              <w:rPr>
                <w:rFonts w:ascii="Times New Roman" w:hAnsi="Times New Roman"/>
                <w:bCs/>
                <w:sz w:val="22"/>
              </w:rPr>
            </w:pPr>
            <w:r w:rsidRPr="00F574EC">
              <w:rPr>
                <w:rFonts w:ascii="Times New Roman" w:hAnsi="Times New Roman"/>
                <w:bCs/>
                <w:sz w:val="22"/>
              </w:rPr>
              <w:t xml:space="preserve">snížení korupčního potenciálu díky eliminaci rizik podjatosti, </w:t>
            </w:r>
          </w:p>
          <w:p w:rsidR="00593939" w:rsidRPr="00F574EC" w:rsidRDefault="000865D6">
            <w:pPr>
              <w:widowControl w:val="0"/>
              <w:numPr>
                <w:ilvl w:val="0"/>
                <w:numId w:val="76"/>
              </w:numPr>
              <w:rPr>
                <w:rFonts w:ascii="Times New Roman" w:hAnsi="Times New Roman"/>
                <w:bCs/>
                <w:sz w:val="22"/>
              </w:rPr>
            </w:pPr>
            <w:r w:rsidRPr="00F574EC">
              <w:rPr>
                <w:rFonts w:ascii="Times New Roman" w:hAnsi="Times New Roman"/>
                <w:bCs/>
                <w:sz w:val="22"/>
              </w:rPr>
              <w:t xml:space="preserve">snížení korupčního potenciálu díky obecně vyšší profesionalizaci úředníků </w:t>
            </w:r>
            <w:r w:rsidR="002B56D4" w:rsidRPr="00F574EC">
              <w:rPr>
                <w:rFonts w:ascii="Times New Roman" w:hAnsi="Times New Roman"/>
                <w:bCs/>
                <w:sz w:val="22"/>
              </w:rPr>
              <w:t>vyvlastňovacích</w:t>
            </w:r>
            <w:r w:rsidRPr="00F574EC">
              <w:rPr>
                <w:rFonts w:ascii="Times New Roman" w:hAnsi="Times New Roman"/>
                <w:bCs/>
                <w:sz w:val="22"/>
              </w:rPr>
              <w:t xml:space="preserve"> úřadů</w:t>
            </w:r>
            <w:r w:rsidR="001962F8" w:rsidRPr="00F574EC">
              <w:rPr>
                <w:rFonts w:ascii="Times New Roman" w:hAnsi="Times New Roman"/>
                <w:bCs/>
                <w:sz w:val="22"/>
              </w:rPr>
              <w:t>,</w:t>
            </w:r>
          </w:p>
          <w:p w:rsidR="001962F8" w:rsidRPr="00F574EC" w:rsidRDefault="000865D6">
            <w:pPr>
              <w:widowControl w:val="0"/>
              <w:numPr>
                <w:ilvl w:val="0"/>
                <w:numId w:val="76"/>
              </w:numPr>
              <w:rPr>
                <w:rFonts w:ascii="Times New Roman" w:hAnsi="Times New Roman"/>
                <w:bCs/>
                <w:sz w:val="22"/>
              </w:rPr>
            </w:pPr>
            <w:r w:rsidRPr="00F574EC">
              <w:rPr>
                <w:rFonts w:ascii="Times New Roman" w:hAnsi="Times New Roman"/>
                <w:bCs/>
                <w:sz w:val="22"/>
              </w:rPr>
              <w:t>snížení díky digitalizaci agendy spolu s digitalizací stavebního řízení.</w:t>
            </w:r>
          </w:p>
        </w:tc>
      </w:tr>
      <w:tr w:rsidR="00FC72A1" w:rsidTr="00593939">
        <w:trPr>
          <w:trHeight w:val="411"/>
          <w:jc w:val="center"/>
        </w:trPr>
        <w:tc>
          <w:tcPr>
            <w:tcW w:w="9648" w:type="dxa"/>
            <w:gridSpan w:val="2"/>
            <w:tcBorders>
              <w:top w:val="single" w:sz="12" w:space="0" w:color="auto"/>
              <w:left w:val="single" w:sz="12" w:space="0" w:color="auto"/>
              <w:bottom w:val="single" w:sz="4" w:space="0" w:color="auto"/>
              <w:right w:val="single" w:sz="12" w:space="0" w:color="auto"/>
            </w:tcBorders>
            <w:shd w:val="clear" w:color="auto" w:fill="99CCFF"/>
            <w:hideMark/>
          </w:tcPr>
          <w:p w:rsidR="00593939" w:rsidRPr="00F574EC" w:rsidRDefault="000865D6">
            <w:pPr>
              <w:tabs>
                <w:tab w:val="left" w:pos="1037"/>
              </w:tabs>
              <w:rPr>
                <w:rFonts w:ascii="Times New Roman" w:hAnsi="Times New Roman"/>
                <w:bCs/>
                <w:sz w:val="22"/>
              </w:rPr>
            </w:pPr>
            <w:r w:rsidRPr="00F574EC">
              <w:rPr>
                <w:rFonts w:ascii="Times New Roman" w:hAnsi="Times New Roman"/>
                <w:bCs/>
                <w:sz w:val="22"/>
              </w:rPr>
              <w:t xml:space="preserve">3.11 Dopady na bezpečnost nebo obranu státu: </w:t>
            </w:r>
            <w:r w:rsidRPr="00F574EC">
              <w:rPr>
                <w:rFonts w:ascii="Times New Roman" w:hAnsi="Times New Roman"/>
                <w:bCs/>
                <w:sz w:val="22"/>
              </w:rPr>
              <w:fldChar w:fldCharType="begin">
                <w:ffData>
                  <w:name w:val=""/>
                  <w:enabled/>
                  <w:calcOnExit w:val="0"/>
                  <w:ddList>
                    <w:listEntry w:val="Ne"/>
                    <w:listEntry w:val="Vyberte Ano / Ne"/>
                    <w:listEntry w:val="Ano"/>
                  </w:ddList>
                </w:ffData>
              </w:fldChar>
            </w:r>
            <w:r w:rsidRPr="00F574EC">
              <w:rPr>
                <w:rFonts w:ascii="Times New Roman" w:hAnsi="Times New Roman"/>
                <w:bCs/>
                <w:sz w:val="22"/>
              </w:rPr>
              <w:instrText xml:space="preserve"> FORMDROPDOWN </w:instrText>
            </w:r>
            <w:r>
              <w:rPr>
                <w:rFonts w:ascii="Times New Roman" w:hAnsi="Times New Roman"/>
                <w:bCs/>
                <w:sz w:val="22"/>
              </w:rPr>
            </w:r>
            <w:r>
              <w:rPr>
                <w:rFonts w:ascii="Times New Roman" w:hAnsi="Times New Roman"/>
                <w:bCs/>
                <w:sz w:val="22"/>
              </w:rPr>
              <w:fldChar w:fldCharType="separate"/>
            </w:r>
            <w:r w:rsidRPr="00F574EC">
              <w:rPr>
                <w:rFonts w:ascii="Times New Roman" w:hAnsi="Times New Roman"/>
                <w:bCs/>
                <w:sz w:val="22"/>
              </w:rPr>
              <w:fldChar w:fldCharType="end"/>
            </w:r>
          </w:p>
        </w:tc>
      </w:tr>
      <w:tr w:rsidR="00FC72A1" w:rsidTr="00593939">
        <w:trPr>
          <w:trHeight w:val="411"/>
          <w:jc w:val="center"/>
        </w:trPr>
        <w:tc>
          <w:tcPr>
            <w:tcW w:w="9648" w:type="dxa"/>
            <w:gridSpan w:val="2"/>
            <w:tcBorders>
              <w:top w:val="single" w:sz="4" w:space="0" w:color="auto"/>
              <w:left w:val="single" w:sz="12" w:space="0" w:color="auto"/>
              <w:bottom w:val="single" w:sz="12" w:space="0" w:color="auto"/>
              <w:right w:val="single" w:sz="12" w:space="0" w:color="auto"/>
            </w:tcBorders>
            <w:hideMark/>
          </w:tcPr>
          <w:p w:rsidR="00593939" w:rsidRPr="00F574EC" w:rsidRDefault="00593939">
            <w:pPr>
              <w:tabs>
                <w:tab w:val="left" w:pos="1037"/>
              </w:tabs>
              <w:rPr>
                <w:rFonts w:ascii="Times New Roman" w:hAnsi="Times New Roman"/>
                <w:bCs/>
                <w:sz w:val="22"/>
              </w:rPr>
            </w:pPr>
          </w:p>
        </w:tc>
      </w:tr>
    </w:tbl>
    <w:p w:rsidR="00593939" w:rsidRDefault="00593939" w:rsidP="00593939">
      <w:pPr>
        <w:rPr>
          <w:rFonts w:ascii="Times New Roman" w:eastAsia="MS Mincho" w:hAnsi="Times New Roman"/>
          <w:b/>
          <w:szCs w:val="24"/>
          <w:u w:val="single"/>
        </w:rPr>
      </w:pPr>
    </w:p>
    <w:p w:rsidR="00593939" w:rsidRDefault="00593939" w:rsidP="002357D7">
      <w:pPr>
        <w:widowControl w:val="0"/>
        <w:rPr>
          <w:rFonts w:ascii="Cambria" w:eastAsia="Times New Roman" w:hAnsi="Cambria"/>
          <w:b/>
          <w:bCs/>
          <w:color w:val="B6B002"/>
          <w:sz w:val="28"/>
          <w:szCs w:val="28"/>
        </w:rPr>
      </w:pPr>
    </w:p>
    <w:p w:rsidR="00593939" w:rsidRDefault="00593939" w:rsidP="002357D7">
      <w:pPr>
        <w:widowControl w:val="0"/>
        <w:rPr>
          <w:rFonts w:ascii="Cambria" w:eastAsia="Times New Roman" w:hAnsi="Cambria"/>
          <w:b/>
          <w:bCs/>
          <w:color w:val="B6B002"/>
          <w:sz w:val="28"/>
          <w:szCs w:val="28"/>
        </w:rPr>
      </w:pPr>
    </w:p>
    <w:p w:rsidR="00593939" w:rsidRDefault="00593939" w:rsidP="002357D7">
      <w:pPr>
        <w:widowControl w:val="0"/>
        <w:rPr>
          <w:rFonts w:ascii="Cambria" w:eastAsia="Times New Roman" w:hAnsi="Cambria"/>
          <w:b/>
          <w:bCs/>
          <w:color w:val="B6B002"/>
          <w:sz w:val="28"/>
          <w:szCs w:val="28"/>
        </w:rPr>
      </w:pPr>
    </w:p>
    <w:p w:rsidR="00593939" w:rsidRDefault="00593939" w:rsidP="002357D7">
      <w:pPr>
        <w:widowControl w:val="0"/>
        <w:rPr>
          <w:rFonts w:ascii="Cambria" w:eastAsia="Times New Roman" w:hAnsi="Cambria"/>
          <w:b/>
          <w:bCs/>
          <w:color w:val="B6B002"/>
          <w:sz w:val="28"/>
          <w:szCs w:val="28"/>
        </w:rPr>
      </w:pPr>
    </w:p>
    <w:p w:rsidR="00593939" w:rsidRDefault="000865D6">
      <w:pPr>
        <w:spacing w:before="0" w:after="0"/>
        <w:jc w:val="left"/>
        <w:rPr>
          <w:rFonts w:ascii="Cambria" w:eastAsia="Times New Roman" w:hAnsi="Cambria"/>
          <w:b/>
          <w:bCs/>
          <w:color w:val="B6B002"/>
          <w:sz w:val="28"/>
          <w:szCs w:val="28"/>
        </w:rPr>
      </w:pPr>
      <w:r>
        <w:rPr>
          <w:rFonts w:ascii="Cambria" w:eastAsia="Times New Roman" w:hAnsi="Cambria"/>
          <w:b/>
          <w:bCs/>
          <w:color w:val="B6B002"/>
          <w:sz w:val="28"/>
          <w:szCs w:val="28"/>
        </w:rPr>
        <w:br w:type="page"/>
      </w:r>
    </w:p>
    <w:p w:rsidR="0089559F" w:rsidRPr="00FE1B21" w:rsidRDefault="000865D6" w:rsidP="002357D7">
      <w:pPr>
        <w:widowControl w:val="0"/>
        <w:rPr>
          <w:rFonts w:ascii="Cambria" w:eastAsia="Times New Roman" w:hAnsi="Cambria"/>
          <w:b/>
          <w:bCs/>
          <w:sz w:val="28"/>
          <w:szCs w:val="28"/>
        </w:rPr>
      </w:pPr>
      <w:r w:rsidRPr="00FE1B21">
        <w:rPr>
          <w:rFonts w:ascii="Cambria" w:eastAsia="Times New Roman" w:hAnsi="Cambria"/>
          <w:b/>
          <w:bCs/>
          <w:sz w:val="28"/>
          <w:szCs w:val="28"/>
        </w:rPr>
        <w:lastRenderedPageBreak/>
        <w:t>Obsah</w:t>
      </w:r>
    </w:p>
    <w:bookmarkEnd w:id="0"/>
    <w:p w:rsidR="00FC72A1" w:rsidRDefault="000865D6">
      <w:pPr>
        <w:pStyle w:val="Obsah1"/>
        <w:rPr>
          <w:noProof/>
          <w:sz w:val="22"/>
        </w:rPr>
      </w:pPr>
      <w:r w:rsidRPr="00795817">
        <w:rPr>
          <w:rFonts w:ascii="Calibri" w:hAnsi="Calibri"/>
          <w:lang w:eastAsia="cs-CZ"/>
        </w:rPr>
        <w:fldChar w:fldCharType="begin"/>
      </w:r>
      <w:r w:rsidR="00866D93" w:rsidRPr="00795817">
        <w:rPr>
          <w:rFonts w:ascii="Calibri" w:hAnsi="Calibri"/>
          <w:lang w:eastAsia="cs-CZ"/>
        </w:rPr>
        <w:instrText xml:space="preserve"> TOC \o "1-6" \h \z \t "Nadpis (3a);3" </w:instrText>
      </w:r>
      <w:r w:rsidRPr="00795817">
        <w:rPr>
          <w:rFonts w:ascii="Calibri" w:hAnsi="Calibri"/>
          <w:lang w:eastAsia="cs-CZ"/>
        </w:rPr>
        <w:fldChar w:fldCharType="separate"/>
      </w:r>
      <w:hyperlink w:anchor="_Toc256000000" w:history="1">
        <w:r>
          <w:rPr>
            <w:rStyle w:val="Hypertextovodkaz"/>
          </w:rPr>
          <w:t>1.</w:t>
        </w:r>
        <w:r>
          <w:rPr>
            <w:noProof/>
            <w:sz w:val="22"/>
          </w:rPr>
          <w:tab/>
        </w:r>
        <w:r w:rsidRPr="006B26AF">
          <w:rPr>
            <w:rStyle w:val="Hypertextovodkaz"/>
          </w:rPr>
          <w:t>Důvod předložení a cíle</w:t>
        </w:r>
        <w:r>
          <w:tab/>
        </w:r>
        <w:r>
          <w:fldChar w:fldCharType="begin"/>
        </w:r>
        <w:r>
          <w:instrText xml:space="preserve"> PAGEREF _Toc256000000 \h </w:instrText>
        </w:r>
        <w:r>
          <w:fldChar w:fldCharType="separate"/>
        </w:r>
        <w:r>
          <w:t>5</w:t>
        </w:r>
        <w:r>
          <w:fldChar w:fldCharType="end"/>
        </w:r>
      </w:hyperlink>
    </w:p>
    <w:p w:rsidR="00FC72A1" w:rsidRDefault="000865D6">
      <w:pPr>
        <w:pStyle w:val="Obsah2"/>
        <w:tabs>
          <w:tab w:val="left" w:pos="720"/>
          <w:tab w:val="right" w:leader="dot" w:pos="9060"/>
        </w:tabs>
        <w:rPr>
          <w:noProof/>
          <w:sz w:val="22"/>
        </w:rPr>
      </w:pPr>
      <w:hyperlink w:anchor="_Toc256000001" w:history="1">
        <w:r>
          <w:rPr>
            <w:rStyle w:val="Hypertextovodkaz"/>
          </w:rPr>
          <w:t>1.1</w:t>
        </w:r>
        <w:r>
          <w:rPr>
            <w:noProof/>
            <w:sz w:val="22"/>
          </w:rPr>
          <w:tab/>
        </w:r>
        <w:r w:rsidRPr="00A67ED2">
          <w:rPr>
            <w:rStyle w:val="Hypertextovodkaz"/>
          </w:rPr>
          <w:t>Název</w:t>
        </w:r>
        <w:r>
          <w:tab/>
        </w:r>
        <w:r>
          <w:fldChar w:fldCharType="begin"/>
        </w:r>
        <w:r>
          <w:instrText xml:space="preserve"> PAGEREF _Toc256000001 \h </w:instrText>
        </w:r>
        <w:r>
          <w:fldChar w:fldCharType="separate"/>
        </w:r>
        <w:r>
          <w:t>5</w:t>
        </w:r>
        <w:r>
          <w:fldChar w:fldCharType="end"/>
        </w:r>
      </w:hyperlink>
    </w:p>
    <w:p w:rsidR="00FC72A1" w:rsidRDefault="000865D6">
      <w:pPr>
        <w:pStyle w:val="Obsah2"/>
        <w:tabs>
          <w:tab w:val="left" w:pos="720"/>
          <w:tab w:val="right" w:leader="dot" w:pos="9060"/>
        </w:tabs>
        <w:rPr>
          <w:noProof/>
          <w:sz w:val="22"/>
        </w:rPr>
      </w:pPr>
      <w:hyperlink w:anchor="_Toc256000002" w:history="1">
        <w:r>
          <w:rPr>
            <w:rStyle w:val="Hypertextovodkaz"/>
          </w:rPr>
          <w:t>1.2</w:t>
        </w:r>
        <w:r>
          <w:rPr>
            <w:noProof/>
            <w:sz w:val="22"/>
          </w:rPr>
          <w:tab/>
        </w:r>
        <w:r w:rsidRPr="00CA7166">
          <w:rPr>
            <w:rStyle w:val="Hypertextovodkaz"/>
          </w:rPr>
          <w:t>Definice problém</w:t>
        </w:r>
        <w:r w:rsidRPr="00CA7166">
          <w:rPr>
            <w:rStyle w:val="Hypertextovodkaz"/>
          </w:rPr>
          <w:t>u</w:t>
        </w:r>
        <w:r>
          <w:tab/>
        </w:r>
        <w:r>
          <w:fldChar w:fldCharType="begin"/>
        </w:r>
        <w:r>
          <w:instrText xml:space="preserve"> PAGEREF _Toc256000002 \h </w:instrText>
        </w:r>
        <w:r>
          <w:fldChar w:fldCharType="separate"/>
        </w:r>
        <w:r>
          <w:t>5</w:t>
        </w:r>
        <w:r>
          <w:fldChar w:fldCharType="end"/>
        </w:r>
      </w:hyperlink>
    </w:p>
    <w:p w:rsidR="00FC72A1" w:rsidRDefault="000865D6">
      <w:pPr>
        <w:pStyle w:val="Obsah3"/>
        <w:tabs>
          <w:tab w:val="left" w:pos="1200"/>
          <w:tab w:val="right" w:leader="dot" w:pos="9060"/>
        </w:tabs>
        <w:rPr>
          <w:noProof/>
          <w:sz w:val="22"/>
        </w:rPr>
      </w:pPr>
      <w:hyperlink w:anchor="_Toc256000003" w:history="1">
        <w:r>
          <w:rPr>
            <w:rStyle w:val="Hypertextovodkaz"/>
          </w:rPr>
          <w:t>1.2.1</w:t>
        </w:r>
        <w:r>
          <w:rPr>
            <w:noProof/>
            <w:sz w:val="22"/>
          </w:rPr>
          <w:tab/>
        </w:r>
        <w:r w:rsidRPr="00795817">
          <w:rPr>
            <w:rStyle w:val="Hypertextovodkaz"/>
          </w:rPr>
          <w:t>Popis současného stavu</w:t>
        </w:r>
        <w:r>
          <w:tab/>
        </w:r>
        <w:r>
          <w:fldChar w:fldCharType="begin"/>
        </w:r>
        <w:r>
          <w:instrText xml:space="preserve"> PAGEREF _Toc256000003 \h </w:instrText>
        </w:r>
        <w:r>
          <w:fldChar w:fldCharType="separate"/>
        </w:r>
        <w:r>
          <w:t>5</w:t>
        </w:r>
        <w:r>
          <w:fldChar w:fldCharType="end"/>
        </w:r>
      </w:hyperlink>
    </w:p>
    <w:p w:rsidR="00FC72A1" w:rsidRDefault="000865D6">
      <w:pPr>
        <w:pStyle w:val="Obsah3"/>
        <w:tabs>
          <w:tab w:val="left" w:pos="1200"/>
          <w:tab w:val="right" w:leader="dot" w:pos="9060"/>
        </w:tabs>
        <w:rPr>
          <w:noProof/>
          <w:sz w:val="22"/>
        </w:rPr>
      </w:pPr>
      <w:hyperlink w:anchor="_Toc256000004" w:history="1">
        <w:r>
          <w:rPr>
            <w:rStyle w:val="Hypertextovodkaz"/>
          </w:rPr>
          <w:t>1.2.2</w:t>
        </w:r>
        <w:r>
          <w:rPr>
            <w:noProof/>
            <w:sz w:val="22"/>
          </w:rPr>
          <w:tab/>
        </w:r>
        <w:r w:rsidRPr="00795817">
          <w:rPr>
            <w:rStyle w:val="Hypertextovodkaz"/>
          </w:rPr>
          <w:t>Definice problému</w:t>
        </w:r>
        <w:r>
          <w:tab/>
        </w:r>
        <w:r>
          <w:fldChar w:fldCharType="begin"/>
        </w:r>
        <w:r>
          <w:instrText xml:space="preserve"> PAGEREF _Toc256000004 \h </w:instrText>
        </w:r>
        <w:r>
          <w:fldChar w:fldCharType="separate"/>
        </w:r>
        <w:r>
          <w:t>1</w:t>
        </w:r>
        <w:r>
          <w:fldChar w:fldCharType="end"/>
        </w:r>
      </w:hyperlink>
    </w:p>
    <w:p w:rsidR="00FC72A1" w:rsidRDefault="000865D6">
      <w:pPr>
        <w:pStyle w:val="Obsah2"/>
        <w:tabs>
          <w:tab w:val="left" w:pos="720"/>
          <w:tab w:val="right" w:leader="dot" w:pos="9060"/>
        </w:tabs>
        <w:rPr>
          <w:noProof/>
          <w:sz w:val="22"/>
        </w:rPr>
      </w:pPr>
      <w:hyperlink w:anchor="_Toc256000005" w:history="1">
        <w:r>
          <w:rPr>
            <w:rStyle w:val="Hypertextovodkaz"/>
          </w:rPr>
          <w:t>1.3</w:t>
        </w:r>
        <w:r>
          <w:rPr>
            <w:noProof/>
            <w:sz w:val="22"/>
          </w:rPr>
          <w:tab/>
        </w:r>
        <w:r w:rsidRPr="00193A70">
          <w:rPr>
            <w:rStyle w:val="Hypertextovodkaz"/>
          </w:rPr>
          <w:t>Popis existujícího právního stavu v dané oblasti</w:t>
        </w:r>
        <w:r>
          <w:tab/>
        </w:r>
        <w:r>
          <w:fldChar w:fldCharType="begin"/>
        </w:r>
        <w:r>
          <w:instrText xml:space="preserve"> PAGEREF _Toc256000005 \h </w:instrText>
        </w:r>
        <w:r>
          <w:fldChar w:fldCharType="separate"/>
        </w:r>
        <w:r>
          <w:t>28</w:t>
        </w:r>
        <w:r>
          <w:fldChar w:fldCharType="end"/>
        </w:r>
      </w:hyperlink>
    </w:p>
    <w:p w:rsidR="00FC72A1" w:rsidRDefault="000865D6">
      <w:pPr>
        <w:pStyle w:val="Obsah2"/>
        <w:tabs>
          <w:tab w:val="left" w:pos="720"/>
          <w:tab w:val="right" w:leader="dot" w:pos="9060"/>
        </w:tabs>
        <w:rPr>
          <w:noProof/>
          <w:sz w:val="22"/>
        </w:rPr>
      </w:pPr>
      <w:hyperlink w:anchor="_Toc256000006" w:history="1">
        <w:r>
          <w:rPr>
            <w:rStyle w:val="Hypertextovodkaz"/>
          </w:rPr>
          <w:t>1.4</w:t>
        </w:r>
        <w:r>
          <w:rPr>
            <w:noProof/>
            <w:sz w:val="22"/>
          </w:rPr>
          <w:tab/>
        </w:r>
        <w:r w:rsidRPr="00795817">
          <w:rPr>
            <w:rStyle w:val="Hypertextovodkaz"/>
          </w:rPr>
          <w:t>Identifikace dotčených subjektů</w:t>
        </w:r>
        <w:r>
          <w:tab/>
        </w:r>
        <w:r>
          <w:fldChar w:fldCharType="begin"/>
        </w:r>
        <w:r>
          <w:instrText xml:space="preserve"> PAGEREF _Toc256000006 \h </w:instrText>
        </w:r>
        <w:r>
          <w:fldChar w:fldCharType="separate"/>
        </w:r>
        <w:r>
          <w:t>30</w:t>
        </w:r>
        <w:r>
          <w:fldChar w:fldCharType="end"/>
        </w:r>
      </w:hyperlink>
    </w:p>
    <w:p w:rsidR="00FC72A1" w:rsidRDefault="000865D6">
      <w:pPr>
        <w:pStyle w:val="Obsah2"/>
        <w:tabs>
          <w:tab w:val="left" w:pos="720"/>
          <w:tab w:val="right" w:leader="dot" w:pos="9060"/>
        </w:tabs>
        <w:rPr>
          <w:noProof/>
          <w:sz w:val="22"/>
        </w:rPr>
      </w:pPr>
      <w:hyperlink w:anchor="_Toc256000007" w:history="1">
        <w:r>
          <w:rPr>
            <w:rStyle w:val="Hypertextovodkaz"/>
          </w:rPr>
          <w:t>1.5</w:t>
        </w:r>
        <w:r>
          <w:rPr>
            <w:noProof/>
            <w:sz w:val="22"/>
          </w:rPr>
          <w:tab/>
        </w:r>
        <w:r w:rsidRPr="00795817">
          <w:rPr>
            <w:rStyle w:val="Hypertextovodkaz"/>
          </w:rPr>
          <w:t>Popis cílového stavu</w:t>
        </w:r>
        <w:r>
          <w:tab/>
        </w:r>
        <w:r>
          <w:fldChar w:fldCharType="begin"/>
        </w:r>
        <w:r>
          <w:instrText xml:space="preserve"> PAGEREF _Toc256000007 \h </w:instrText>
        </w:r>
        <w:r>
          <w:fldChar w:fldCharType="separate"/>
        </w:r>
        <w:r>
          <w:t>31</w:t>
        </w:r>
        <w:r>
          <w:fldChar w:fldCharType="end"/>
        </w:r>
      </w:hyperlink>
    </w:p>
    <w:p w:rsidR="00FC72A1" w:rsidRDefault="000865D6">
      <w:pPr>
        <w:pStyle w:val="Obsah2"/>
        <w:tabs>
          <w:tab w:val="left" w:pos="720"/>
          <w:tab w:val="right" w:leader="dot" w:pos="9060"/>
        </w:tabs>
        <w:rPr>
          <w:noProof/>
          <w:sz w:val="22"/>
        </w:rPr>
      </w:pPr>
      <w:hyperlink w:anchor="_Toc256000008" w:history="1">
        <w:r>
          <w:rPr>
            <w:rStyle w:val="Hypertextovodkaz"/>
          </w:rPr>
          <w:t>1.6</w:t>
        </w:r>
        <w:r>
          <w:rPr>
            <w:noProof/>
            <w:sz w:val="22"/>
          </w:rPr>
          <w:tab/>
        </w:r>
        <w:r w:rsidRPr="00795817">
          <w:rPr>
            <w:rStyle w:val="Hypertextovodkaz"/>
          </w:rPr>
          <w:t>Zhodnocení rizik</w:t>
        </w:r>
        <w:r>
          <w:tab/>
        </w:r>
        <w:r>
          <w:fldChar w:fldCharType="begin"/>
        </w:r>
        <w:r>
          <w:instrText xml:space="preserve"> PAGEREF _Toc256000008 \h </w:instrText>
        </w:r>
        <w:r>
          <w:fldChar w:fldCharType="separate"/>
        </w:r>
        <w:r>
          <w:t>32</w:t>
        </w:r>
        <w:r>
          <w:fldChar w:fldCharType="end"/>
        </w:r>
      </w:hyperlink>
    </w:p>
    <w:p w:rsidR="00FC72A1" w:rsidRDefault="000865D6">
      <w:pPr>
        <w:pStyle w:val="Obsah1"/>
        <w:rPr>
          <w:noProof/>
          <w:sz w:val="22"/>
        </w:rPr>
      </w:pPr>
      <w:hyperlink w:anchor="_Toc256000009" w:history="1">
        <w:r w:rsidRPr="00795817">
          <w:rPr>
            <w:rStyle w:val="Hypertextovodkaz"/>
          </w:rPr>
          <w:t>2–3</w:t>
        </w:r>
        <w:r w:rsidR="00C65260" w:rsidRPr="00795817">
          <w:rPr>
            <w:rStyle w:val="Hypertextovodkaz"/>
          </w:rPr>
          <w:t xml:space="preserve"> Návrh variant řešení, vyhodnocení nákladů a </w:t>
        </w:r>
        <w:r w:rsidRPr="00795817">
          <w:rPr>
            <w:rStyle w:val="Hypertextovodkaz"/>
          </w:rPr>
          <w:t>přínosů – hodnocení</w:t>
        </w:r>
        <w:r w:rsidR="00C65260" w:rsidRPr="00795817">
          <w:rPr>
            <w:rStyle w:val="Hypertextovodkaz"/>
          </w:rPr>
          <w:t xml:space="preserve"> dopadů opatření jednotlivých věcně souvisejících okruhů</w:t>
        </w:r>
        <w:r>
          <w:tab/>
        </w:r>
        <w:r>
          <w:fldChar w:fldCharType="begin"/>
        </w:r>
        <w:r>
          <w:instrText xml:space="preserve"> PAGEREF _Toc256000009 \h </w:instrText>
        </w:r>
        <w:r>
          <w:fldChar w:fldCharType="separate"/>
        </w:r>
        <w:r>
          <w:t>33</w:t>
        </w:r>
        <w:r>
          <w:fldChar w:fldCharType="end"/>
        </w:r>
      </w:hyperlink>
    </w:p>
    <w:p w:rsidR="00FC72A1" w:rsidRDefault="000865D6">
      <w:pPr>
        <w:pStyle w:val="Obsah2"/>
        <w:tabs>
          <w:tab w:val="left" w:pos="720"/>
          <w:tab w:val="right" w:leader="dot" w:pos="9060"/>
        </w:tabs>
        <w:rPr>
          <w:noProof/>
          <w:sz w:val="22"/>
        </w:rPr>
      </w:pPr>
      <w:hyperlink w:anchor="_Toc256000010" w:history="1">
        <w:r>
          <w:rPr>
            <w:rStyle w:val="Hypertextovodkaz"/>
          </w:rPr>
          <w:t>A.</w:t>
        </w:r>
        <w:r>
          <w:rPr>
            <w:noProof/>
            <w:sz w:val="22"/>
          </w:rPr>
          <w:tab/>
        </w:r>
        <w:r w:rsidRPr="00795817">
          <w:rPr>
            <w:rStyle w:val="Hypertextovodkaz"/>
          </w:rPr>
          <w:t>Účel vyvlastnění</w:t>
        </w:r>
        <w:r>
          <w:tab/>
        </w:r>
        <w:r>
          <w:fldChar w:fldCharType="begin"/>
        </w:r>
        <w:r>
          <w:instrText xml:space="preserve"> PAGEREF _Toc256000010 \h </w:instrText>
        </w:r>
        <w:r>
          <w:fldChar w:fldCharType="separate"/>
        </w:r>
        <w:r>
          <w:t>33</w:t>
        </w:r>
        <w:r>
          <w:fldChar w:fldCharType="end"/>
        </w:r>
      </w:hyperlink>
    </w:p>
    <w:p w:rsidR="00FC72A1" w:rsidRDefault="000865D6">
      <w:pPr>
        <w:pStyle w:val="Obsah2"/>
        <w:tabs>
          <w:tab w:val="left" w:pos="720"/>
          <w:tab w:val="right" w:leader="dot" w:pos="9060"/>
        </w:tabs>
        <w:rPr>
          <w:noProof/>
          <w:sz w:val="22"/>
        </w:rPr>
      </w:pPr>
      <w:hyperlink w:anchor="_Toc256000011" w:history="1">
        <w:r>
          <w:rPr>
            <w:rStyle w:val="Hypertextovodkaz"/>
          </w:rPr>
          <w:t>B.</w:t>
        </w:r>
        <w:r>
          <w:rPr>
            <w:noProof/>
            <w:sz w:val="22"/>
          </w:rPr>
          <w:tab/>
        </w:r>
        <w:r w:rsidRPr="00795817">
          <w:rPr>
            <w:rStyle w:val="Hypertextovodkaz"/>
          </w:rPr>
          <w:t>Veřej</w:t>
        </w:r>
        <w:r w:rsidRPr="00795817">
          <w:rPr>
            <w:rStyle w:val="Hypertextovodkaz"/>
          </w:rPr>
          <w:t>ný zájem</w:t>
        </w:r>
        <w:r>
          <w:tab/>
        </w:r>
        <w:r>
          <w:fldChar w:fldCharType="begin"/>
        </w:r>
        <w:r>
          <w:instrText xml:space="preserve"> PAGEREF _Toc256000011 \h </w:instrText>
        </w:r>
        <w:r>
          <w:fldChar w:fldCharType="separate"/>
        </w:r>
        <w:r>
          <w:t>34</w:t>
        </w:r>
        <w:r>
          <w:fldChar w:fldCharType="end"/>
        </w:r>
      </w:hyperlink>
    </w:p>
    <w:p w:rsidR="00FC72A1" w:rsidRDefault="000865D6">
      <w:pPr>
        <w:pStyle w:val="Obsah2"/>
        <w:tabs>
          <w:tab w:val="left" w:pos="720"/>
          <w:tab w:val="right" w:leader="dot" w:pos="9060"/>
        </w:tabs>
        <w:rPr>
          <w:noProof/>
          <w:sz w:val="22"/>
        </w:rPr>
      </w:pPr>
      <w:hyperlink w:anchor="_Toc256000012" w:history="1">
        <w:r>
          <w:rPr>
            <w:rStyle w:val="Hypertextovodkaz"/>
          </w:rPr>
          <w:t>C.</w:t>
        </w:r>
        <w:r>
          <w:rPr>
            <w:noProof/>
            <w:sz w:val="22"/>
          </w:rPr>
          <w:tab/>
        </w:r>
        <w:r w:rsidRPr="00795817">
          <w:rPr>
            <w:rStyle w:val="Hypertextovodkaz"/>
          </w:rPr>
          <w:t>Rozsah vyvlastnění</w:t>
        </w:r>
        <w:r>
          <w:tab/>
        </w:r>
        <w:r>
          <w:fldChar w:fldCharType="begin"/>
        </w:r>
        <w:r>
          <w:instrText xml:space="preserve"> PAGEREF _Toc256000012 \h </w:instrText>
        </w:r>
        <w:r>
          <w:fldChar w:fldCharType="separate"/>
        </w:r>
        <w:r>
          <w:t>36</w:t>
        </w:r>
        <w:r>
          <w:fldChar w:fldCharType="end"/>
        </w:r>
      </w:hyperlink>
    </w:p>
    <w:p w:rsidR="00FC72A1" w:rsidRDefault="000865D6">
      <w:pPr>
        <w:pStyle w:val="Obsah2"/>
        <w:tabs>
          <w:tab w:val="left" w:pos="720"/>
          <w:tab w:val="right" w:leader="dot" w:pos="9060"/>
        </w:tabs>
        <w:rPr>
          <w:noProof/>
          <w:sz w:val="22"/>
        </w:rPr>
      </w:pPr>
      <w:hyperlink w:anchor="_Toc256000013" w:history="1">
        <w:r>
          <w:rPr>
            <w:rStyle w:val="Hypertextovodkaz"/>
          </w:rPr>
          <w:t>D.</w:t>
        </w:r>
        <w:r>
          <w:rPr>
            <w:noProof/>
            <w:sz w:val="22"/>
          </w:rPr>
          <w:tab/>
        </w:r>
        <w:r w:rsidRPr="009A2C5C">
          <w:rPr>
            <w:rStyle w:val="Hypertextovodkaz"/>
          </w:rPr>
          <w:t>Směna</w:t>
        </w:r>
        <w:r>
          <w:tab/>
        </w:r>
        <w:r>
          <w:fldChar w:fldCharType="begin"/>
        </w:r>
        <w:r>
          <w:instrText xml:space="preserve"> PAGEREF _Toc256000013 \h </w:instrText>
        </w:r>
        <w:r>
          <w:fldChar w:fldCharType="separate"/>
        </w:r>
        <w:r>
          <w:t>39</w:t>
        </w:r>
        <w:r>
          <w:fldChar w:fldCharType="end"/>
        </w:r>
      </w:hyperlink>
    </w:p>
    <w:p w:rsidR="00FC72A1" w:rsidRDefault="000865D6">
      <w:pPr>
        <w:pStyle w:val="Obsah2"/>
        <w:tabs>
          <w:tab w:val="left" w:pos="720"/>
          <w:tab w:val="right" w:leader="dot" w:pos="9060"/>
        </w:tabs>
        <w:rPr>
          <w:noProof/>
          <w:sz w:val="22"/>
        </w:rPr>
      </w:pPr>
      <w:hyperlink w:anchor="_Toc256000014" w:history="1">
        <w:r>
          <w:rPr>
            <w:rStyle w:val="Hypertextovodkaz"/>
          </w:rPr>
          <w:t>E.</w:t>
        </w:r>
        <w:r>
          <w:rPr>
            <w:noProof/>
            <w:sz w:val="22"/>
          </w:rPr>
          <w:tab/>
        </w:r>
        <w:r w:rsidRPr="00795817">
          <w:rPr>
            <w:rStyle w:val="Hypertextovodkaz"/>
          </w:rPr>
          <w:t>Smlouva o získání práv k pozemku nebo ke stavbě</w:t>
        </w:r>
        <w:r>
          <w:tab/>
        </w:r>
        <w:r>
          <w:fldChar w:fldCharType="begin"/>
        </w:r>
        <w:r>
          <w:instrText xml:space="preserve"> PAGEREF _Toc256000014 \h </w:instrText>
        </w:r>
        <w:r>
          <w:fldChar w:fldCharType="separate"/>
        </w:r>
        <w:r>
          <w:t>40</w:t>
        </w:r>
        <w:r>
          <w:fldChar w:fldCharType="end"/>
        </w:r>
      </w:hyperlink>
    </w:p>
    <w:p w:rsidR="00FC72A1" w:rsidRDefault="000865D6">
      <w:pPr>
        <w:pStyle w:val="Obsah2"/>
        <w:tabs>
          <w:tab w:val="left" w:pos="720"/>
          <w:tab w:val="right" w:leader="dot" w:pos="9060"/>
        </w:tabs>
        <w:rPr>
          <w:noProof/>
          <w:sz w:val="22"/>
        </w:rPr>
      </w:pPr>
      <w:hyperlink w:anchor="_Toc256000015" w:history="1">
        <w:r>
          <w:rPr>
            <w:rStyle w:val="Hypertextovodkaz"/>
          </w:rPr>
          <w:t>F.</w:t>
        </w:r>
        <w:r>
          <w:rPr>
            <w:noProof/>
            <w:sz w:val="22"/>
          </w:rPr>
          <w:tab/>
        </w:r>
        <w:r w:rsidRPr="00977A5E">
          <w:rPr>
            <w:rStyle w:val="Hypertextovodkaz"/>
          </w:rPr>
          <w:t>Doručování</w:t>
        </w:r>
        <w:r w:rsidR="00370A95" w:rsidRPr="00977A5E">
          <w:rPr>
            <w:rStyle w:val="Hypertextovodkaz"/>
          </w:rPr>
          <w:t xml:space="preserve"> </w:t>
        </w:r>
        <w:r w:rsidR="00125DE7" w:rsidRPr="00977A5E">
          <w:rPr>
            <w:rStyle w:val="Hypertextovodkaz"/>
          </w:rPr>
          <w:t xml:space="preserve">návrhu </w:t>
        </w:r>
        <w:r w:rsidR="00370A95" w:rsidRPr="00977A5E">
          <w:rPr>
            <w:rStyle w:val="Hypertextovodkaz"/>
          </w:rPr>
          <w:t>smlouvy</w:t>
        </w:r>
        <w:r>
          <w:tab/>
        </w:r>
        <w:r>
          <w:fldChar w:fldCharType="begin"/>
        </w:r>
        <w:r>
          <w:instrText xml:space="preserve"> PAGEREF _Toc256000015 \h </w:instrText>
        </w:r>
        <w:r>
          <w:fldChar w:fldCharType="separate"/>
        </w:r>
        <w:r>
          <w:t>48</w:t>
        </w:r>
        <w:r>
          <w:fldChar w:fldCharType="end"/>
        </w:r>
      </w:hyperlink>
    </w:p>
    <w:p w:rsidR="00FC72A1" w:rsidRDefault="000865D6">
      <w:pPr>
        <w:pStyle w:val="Obsah2"/>
        <w:tabs>
          <w:tab w:val="left" w:pos="720"/>
          <w:tab w:val="right" w:leader="dot" w:pos="9060"/>
        </w:tabs>
        <w:rPr>
          <w:noProof/>
          <w:sz w:val="22"/>
        </w:rPr>
      </w:pPr>
      <w:hyperlink w:anchor="_Toc256000016" w:history="1">
        <w:r>
          <w:rPr>
            <w:rStyle w:val="Hypertextovodkaz"/>
          </w:rPr>
          <w:t>G.</w:t>
        </w:r>
        <w:r>
          <w:rPr>
            <w:noProof/>
            <w:sz w:val="22"/>
          </w:rPr>
          <w:tab/>
        </w:r>
        <w:r>
          <w:rPr>
            <w:rStyle w:val="Hypertextovodkaz"/>
          </w:rPr>
          <w:t>P</w:t>
        </w:r>
        <w:r w:rsidRPr="007A0E8D">
          <w:rPr>
            <w:rStyle w:val="Hypertextovodkaz"/>
          </w:rPr>
          <w:t>osloupnost znaleckých posudků</w:t>
        </w:r>
        <w:r w:rsidR="00322ADD">
          <w:rPr>
            <w:rStyle w:val="Hypertextovodkaz"/>
          </w:rPr>
          <w:t xml:space="preserve"> (ZP)</w:t>
        </w:r>
        <w:r>
          <w:tab/>
        </w:r>
        <w:r>
          <w:fldChar w:fldCharType="begin"/>
        </w:r>
        <w:r>
          <w:instrText xml:space="preserve"> PAGEREF _Toc256000016 \h </w:instrText>
        </w:r>
        <w:r>
          <w:fldChar w:fldCharType="separate"/>
        </w:r>
        <w:r>
          <w:t>50</w:t>
        </w:r>
        <w:r>
          <w:fldChar w:fldCharType="end"/>
        </w:r>
      </w:hyperlink>
    </w:p>
    <w:p w:rsidR="00FC72A1" w:rsidRDefault="000865D6">
      <w:pPr>
        <w:pStyle w:val="Obsah2"/>
        <w:tabs>
          <w:tab w:val="left" w:pos="720"/>
          <w:tab w:val="right" w:leader="dot" w:pos="9060"/>
        </w:tabs>
        <w:rPr>
          <w:noProof/>
          <w:sz w:val="22"/>
        </w:rPr>
      </w:pPr>
      <w:hyperlink w:anchor="_Toc256000017" w:history="1">
        <w:r>
          <w:rPr>
            <w:rStyle w:val="Hypertextovodkaz"/>
          </w:rPr>
          <w:t>H.</w:t>
        </w:r>
        <w:r>
          <w:rPr>
            <w:noProof/>
            <w:sz w:val="22"/>
          </w:rPr>
          <w:tab/>
        </w:r>
        <w:r w:rsidRPr="00795817">
          <w:rPr>
            <w:rStyle w:val="Hypertextovodkaz"/>
          </w:rPr>
          <w:t>Náhrady při vyvlastnění</w:t>
        </w:r>
        <w:r>
          <w:tab/>
        </w:r>
        <w:r>
          <w:fldChar w:fldCharType="begin"/>
        </w:r>
        <w:r>
          <w:instrText xml:space="preserve"> PAGEREF _Toc256000017 \h </w:instrText>
        </w:r>
        <w:r>
          <w:fldChar w:fldCharType="separate"/>
        </w:r>
        <w:r>
          <w:t>56</w:t>
        </w:r>
        <w:r>
          <w:fldChar w:fldCharType="end"/>
        </w:r>
      </w:hyperlink>
    </w:p>
    <w:p w:rsidR="00FC72A1" w:rsidRDefault="000865D6">
      <w:pPr>
        <w:pStyle w:val="Obsah2"/>
        <w:tabs>
          <w:tab w:val="left" w:pos="720"/>
          <w:tab w:val="right" w:leader="dot" w:pos="9060"/>
        </w:tabs>
        <w:rPr>
          <w:noProof/>
          <w:sz w:val="22"/>
        </w:rPr>
      </w:pPr>
      <w:hyperlink w:anchor="_Toc256000018" w:history="1">
        <w:r>
          <w:rPr>
            <w:rStyle w:val="Hypertextovodkaz"/>
          </w:rPr>
          <w:t>I.</w:t>
        </w:r>
        <w:r>
          <w:rPr>
            <w:noProof/>
            <w:sz w:val="22"/>
          </w:rPr>
          <w:tab/>
        </w:r>
        <w:r w:rsidRPr="00B34E14">
          <w:rPr>
            <w:rStyle w:val="Hypertextovodkaz"/>
          </w:rPr>
          <w:t>Vyvlastňovací úřady</w:t>
        </w:r>
        <w:r>
          <w:tab/>
        </w:r>
        <w:r>
          <w:fldChar w:fldCharType="begin"/>
        </w:r>
        <w:r>
          <w:instrText xml:space="preserve"> PAGEREF _Toc256000018 \h </w:instrText>
        </w:r>
        <w:r>
          <w:fldChar w:fldCharType="separate"/>
        </w:r>
        <w:r>
          <w:t>63</w:t>
        </w:r>
        <w:r>
          <w:fldChar w:fldCharType="end"/>
        </w:r>
      </w:hyperlink>
    </w:p>
    <w:p w:rsidR="00FC72A1" w:rsidRDefault="000865D6">
      <w:pPr>
        <w:pStyle w:val="Obsah2"/>
        <w:tabs>
          <w:tab w:val="left" w:pos="720"/>
          <w:tab w:val="right" w:leader="dot" w:pos="9060"/>
        </w:tabs>
        <w:rPr>
          <w:noProof/>
          <w:sz w:val="22"/>
        </w:rPr>
      </w:pPr>
      <w:hyperlink w:anchor="_Toc256000019" w:history="1">
        <w:r>
          <w:rPr>
            <w:rStyle w:val="Hypertextovodkaz"/>
          </w:rPr>
          <w:t>J.</w:t>
        </w:r>
        <w:r>
          <w:rPr>
            <w:noProof/>
            <w:sz w:val="22"/>
          </w:rPr>
          <w:tab/>
        </w:r>
        <w:r>
          <w:rPr>
            <w:rStyle w:val="Hypertextovodkaz"/>
          </w:rPr>
          <w:t>Vyvlastňovací řízení - p</w:t>
        </w:r>
        <w:r w:rsidR="00B34E14" w:rsidRPr="00B34E14">
          <w:rPr>
            <w:rStyle w:val="Hypertextovodkaz"/>
          </w:rPr>
          <w:t>roces</w:t>
        </w:r>
        <w:r>
          <w:tab/>
        </w:r>
        <w:r>
          <w:fldChar w:fldCharType="begin"/>
        </w:r>
        <w:r>
          <w:instrText xml:space="preserve"> PAGEREF _Toc256000019 \h </w:instrText>
        </w:r>
        <w:r>
          <w:fldChar w:fldCharType="separate"/>
        </w:r>
        <w:r>
          <w:t>67</w:t>
        </w:r>
        <w:r>
          <w:fldChar w:fldCharType="end"/>
        </w:r>
      </w:hyperlink>
    </w:p>
    <w:p w:rsidR="00FC72A1" w:rsidRDefault="000865D6">
      <w:pPr>
        <w:pStyle w:val="Obsah2"/>
        <w:tabs>
          <w:tab w:val="left" w:pos="720"/>
          <w:tab w:val="right" w:leader="dot" w:pos="9060"/>
        </w:tabs>
        <w:rPr>
          <w:noProof/>
          <w:sz w:val="22"/>
        </w:rPr>
      </w:pPr>
      <w:hyperlink w:anchor="_Toc256000020" w:history="1">
        <w:r>
          <w:rPr>
            <w:rStyle w:val="Hypertextovodkaz"/>
          </w:rPr>
          <w:t>K.</w:t>
        </w:r>
        <w:r>
          <w:rPr>
            <w:noProof/>
            <w:sz w:val="22"/>
          </w:rPr>
          <w:tab/>
        </w:r>
        <w:r w:rsidRPr="00776A5F">
          <w:rPr>
            <w:rStyle w:val="Hypertextovodkaz"/>
          </w:rPr>
          <w:t>Vyvlastňovací řízení</w:t>
        </w:r>
        <w:r w:rsidR="003F78FE" w:rsidRPr="00776A5F">
          <w:rPr>
            <w:rStyle w:val="Hypertextovodkaz"/>
          </w:rPr>
          <w:t xml:space="preserve"> - </w:t>
        </w:r>
        <w:r w:rsidR="00735261" w:rsidRPr="00776A5F">
          <w:rPr>
            <w:rStyle w:val="Hypertextovodkaz"/>
          </w:rPr>
          <w:t>souběh</w:t>
        </w:r>
        <w:r w:rsidR="00260A8D" w:rsidRPr="00776A5F">
          <w:rPr>
            <w:rStyle w:val="Hypertextovodkaz"/>
          </w:rPr>
          <w:t xml:space="preserve"> vyvlastňovacího a dalších řízení</w:t>
        </w:r>
        <w:r>
          <w:tab/>
        </w:r>
        <w:r>
          <w:fldChar w:fldCharType="begin"/>
        </w:r>
        <w:r>
          <w:instrText xml:space="preserve"> PAGEREF _Toc256000020 \h </w:instrText>
        </w:r>
        <w:r>
          <w:fldChar w:fldCharType="separate"/>
        </w:r>
        <w:r>
          <w:t>76</w:t>
        </w:r>
        <w:r>
          <w:fldChar w:fldCharType="end"/>
        </w:r>
      </w:hyperlink>
    </w:p>
    <w:p w:rsidR="00FC72A1" w:rsidRDefault="000865D6">
      <w:pPr>
        <w:pStyle w:val="Obsah2"/>
        <w:tabs>
          <w:tab w:val="left" w:pos="720"/>
          <w:tab w:val="right" w:leader="dot" w:pos="9060"/>
        </w:tabs>
        <w:rPr>
          <w:noProof/>
          <w:sz w:val="22"/>
        </w:rPr>
      </w:pPr>
      <w:hyperlink w:anchor="_Toc256000021" w:history="1">
        <w:r>
          <w:rPr>
            <w:rStyle w:val="Hypertextovodkaz"/>
          </w:rPr>
          <w:t>L.</w:t>
        </w:r>
        <w:r>
          <w:rPr>
            <w:noProof/>
            <w:sz w:val="22"/>
          </w:rPr>
          <w:tab/>
        </w:r>
        <w:r>
          <w:rPr>
            <w:rStyle w:val="Hypertextovodkaz"/>
          </w:rPr>
          <w:t>Výjimky pro strategické stavby</w:t>
        </w:r>
        <w:r>
          <w:tab/>
        </w:r>
        <w:r>
          <w:fldChar w:fldCharType="begin"/>
        </w:r>
        <w:r>
          <w:instrText xml:space="preserve"> PAGEREF _Toc256000021 \h </w:instrText>
        </w:r>
        <w:r>
          <w:fldChar w:fldCharType="separate"/>
        </w:r>
        <w:r>
          <w:t>93</w:t>
        </w:r>
        <w:r>
          <w:fldChar w:fldCharType="end"/>
        </w:r>
      </w:hyperlink>
    </w:p>
    <w:p w:rsidR="00FC72A1" w:rsidRDefault="000865D6">
      <w:pPr>
        <w:pStyle w:val="Obsah2"/>
        <w:tabs>
          <w:tab w:val="left" w:pos="720"/>
          <w:tab w:val="right" w:leader="dot" w:pos="9060"/>
        </w:tabs>
        <w:rPr>
          <w:noProof/>
          <w:sz w:val="22"/>
        </w:rPr>
      </w:pPr>
      <w:hyperlink w:anchor="_Toc256000022" w:history="1">
        <w:r>
          <w:rPr>
            <w:rStyle w:val="Hypertextovodkaz"/>
          </w:rPr>
          <w:t>M.</w:t>
        </w:r>
        <w:r>
          <w:rPr>
            <w:noProof/>
            <w:sz w:val="22"/>
          </w:rPr>
          <w:tab/>
        </w:r>
        <w:r w:rsidRPr="00660D6F">
          <w:rPr>
            <w:rStyle w:val="Hypertextovodkaz"/>
          </w:rPr>
          <w:t>Soudní přezkum</w:t>
        </w:r>
        <w:r>
          <w:tab/>
        </w:r>
        <w:r>
          <w:fldChar w:fldCharType="begin"/>
        </w:r>
        <w:r>
          <w:instrText xml:space="preserve"> PAGEREF _Toc256000022 \h </w:instrText>
        </w:r>
        <w:r>
          <w:fldChar w:fldCharType="separate"/>
        </w:r>
        <w:r>
          <w:t>94</w:t>
        </w:r>
        <w:r>
          <w:fldChar w:fldCharType="end"/>
        </w:r>
      </w:hyperlink>
    </w:p>
    <w:p w:rsidR="00FC72A1" w:rsidRDefault="000865D6">
      <w:pPr>
        <w:pStyle w:val="Obsah1"/>
        <w:rPr>
          <w:noProof/>
          <w:sz w:val="22"/>
        </w:rPr>
      </w:pPr>
      <w:hyperlink w:anchor="_Toc256000023" w:history="1">
        <w:r>
          <w:rPr>
            <w:rStyle w:val="Hypertextovodkaz"/>
            <w:rFonts w:asciiTheme="majorHAnsi" w:hAnsiTheme="majorHAnsi"/>
          </w:rPr>
          <w:t>4</w:t>
        </w:r>
        <w:r>
          <w:rPr>
            <w:noProof/>
            <w:sz w:val="22"/>
          </w:rPr>
          <w:tab/>
        </w:r>
        <w:r w:rsidRPr="00795817">
          <w:rPr>
            <w:rStyle w:val="Hypertextovodkaz"/>
          </w:rPr>
          <w:t>Návrh řešení</w:t>
        </w:r>
        <w:r>
          <w:tab/>
        </w:r>
        <w:r>
          <w:fldChar w:fldCharType="begin"/>
        </w:r>
        <w:r>
          <w:instrText xml:space="preserve"> PAGEREF _Toc25600002</w:instrText>
        </w:r>
        <w:r>
          <w:instrText xml:space="preserve">3 \h </w:instrText>
        </w:r>
        <w:r>
          <w:fldChar w:fldCharType="separate"/>
        </w:r>
        <w:r>
          <w:t>94</w:t>
        </w:r>
        <w:r>
          <w:fldChar w:fldCharType="end"/>
        </w:r>
      </w:hyperlink>
    </w:p>
    <w:p w:rsidR="00FC72A1" w:rsidRDefault="000865D6">
      <w:pPr>
        <w:pStyle w:val="Obsah1"/>
        <w:rPr>
          <w:noProof/>
          <w:sz w:val="22"/>
        </w:rPr>
      </w:pPr>
      <w:hyperlink w:anchor="_Toc256000024" w:history="1">
        <w:r>
          <w:rPr>
            <w:rStyle w:val="Hypertextovodkaz"/>
            <w:rFonts w:asciiTheme="majorHAnsi" w:hAnsiTheme="majorHAnsi"/>
          </w:rPr>
          <w:t>5</w:t>
        </w:r>
        <w:r>
          <w:rPr>
            <w:noProof/>
            <w:sz w:val="22"/>
          </w:rPr>
          <w:tab/>
        </w:r>
        <w:r w:rsidRPr="00795817">
          <w:rPr>
            <w:rStyle w:val="Hypertextovodkaz"/>
          </w:rPr>
          <w:t>Implementace doporučené varianty a vynucování</w:t>
        </w:r>
        <w:r>
          <w:tab/>
        </w:r>
        <w:r>
          <w:fldChar w:fldCharType="begin"/>
        </w:r>
        <w:r>
          <w:instrText xml:space="preserve"> PAGEREF _Toc256000024 \h </w:instrText>
        </w:r>
        <w:r>
          <w:fldChar w:fldCharType="separate"/>
        </w:r>
        <w:r>
          <w:t>95</w:t>
        </w:r>
        <w:r>
          <w:fldChar w:fldCharType="end"/>
        </w:r>
      </w:hyperlink>
    </w:p>
    <w:p w:rsidR="00FC72A1" w:rsidRDefault="000865D6">
      <w:pPr>
        <w:pStyle w:val="Obsah1"/>
        <w:rPr>
          <w:noProof/>
          <w:sz w:val="22"/>
        </w:rPr>
      </w:pPr>
      <w:hyperlink w:anchor="_Toc256000025" w:history="1">
        <w:r>
          <w:rPr>
            <w:rStyle w:val="Hypertextovodkaz"/>
            <w:rFonts w:asciiTheme="majorHAnsi" w:hAnsiTheme="majorHAnsi"/>
          </w:rPr>
          <w:t>6</w:t>
        </w:r>
        <w:r>
          <w:rPr>
            <w:noProof/>
            <w:sz w:val="22"/>
          </w:rPr>
          <w:tab/>
        </w:r>
        <w:r w:rsidRPr="00795817">
          <w:rPr>
            <w:rStyle w:val="Hypertextovodkaz"/>
          </w:rPr>
          <w:t>Přezkum účinnosti regulace</w:t>
        </w:r>
        <w:r>
          <w:tab/>
        </w:r>
        <w:r>
          <w:fldChar w:fldCharType="begin"/>
        </w:r>
        <w:r>
          <w:instrText xml:space="preserve"> PAGEREF _Toc256000025 \h </w:instrText>
        </w:r>
        <w:r>
          <w:fldChar w:fldCharType="separate"/>
        </w:r>
        <w:r>
          <w:t>95</w:t>
        </w:r>
        <w:r>
          <w:fldChar w:fldCharType="end"/>
        </w:r>
      </w:hyperlink>
    </w:p>
    <w:p w:rsidR="00FC72A1" w:rsidRDefault="000865D6">
      <w:pPr>
        <w:pStyle w:val="Obsah1"/>
        <w:rPr>
          <w:noProof/>
          <w:sz w:val="22"/>
        </w:rPr>
      </w:pPr>
      <w:hyperlink w:anchor="_Toc256000026" w:history="1">
        <w:r>
          <w:rPr>
            <w:rStyle w:val="Hypertextovodkaz"/>
            <w:rFonts w:asciiTheme="majorHAnsi" w:hAnsiTheme="majorHAnsi"/>
          </w:rPr>
          <w:t>7</w:t>
        </w:r>
        <w:r>
          <w:rPr>
            <w:noProof/>
            <w:sz w:val="22"/>
          </w:rPr>
          <w:tab/>
        </w:r>
        <w:r w:rsidRPr="00795817">
          <w:rPr>
            <w:rStyle w:val="Hypertextovodkaz"/>
          </w:rPr>
          <w:t>Konzultace a zdroje dat</w:t>
        </w:r>
        <w:r>
          <w:tab/>
        </w:r>
        <w:r>
          <w:fldChar w:fldCharType="begin"/>
        </w:r>
        <w:r>
          <w:instrText xml:space="preserve"> PAGEREF _Toc256000026 \h </w:instrText>
        </w:r>
        <w:r>
          <w:fldChar w:fldCharType="separate"/>
        </w:r>
        <w:r>
          <w:t>96</w:t>
        </w:r>
        <w:r>
          <w:fldChar w:fldCharType="end"/>
        </w:r>
      </w:hyperlink>
    </w:p>
    <w:p w:rsidR="00FC72A1" w:rsidRDefault="000865D6">
      <w:pPr>
        <w:pStyle w:val="Obsah1"/>
        <w:rPr>
          <w:noProof/>
          <w:sz w:val="22"/>
        </w:rPr>
      </w:pPr>
      <w:hyperlink w:anchor="_Toc256000027" w:history="1">
        <w:r>
          <w:rPr>
            <w:rStyle w:val="Hypertextovodkaz"/>
            <w:rFonts w:asciiTheme="majorHAnsi" w:hAnsiTheme="majorHAnsi"/>
          </w:rPr>
          <w:t>8</w:t>
        </w:r>
        <w:r>
          <w:rPr>
            <w:noProof/>
            <w:sz w:val="22"/>
          </w:rPr>
          <w:tab/>
        </w:r>
        <w:r w:rsidRPr="005E5B33">
          <w:rPr>
            <w:rStyle w:val="Hypertextovodkaz"/>
          </w:rPr>
          <w:t>Kontakt na zpracovatele RIA</w:t>
        </w:r>
        <w:r>
          <w:tab/>
        </w:r>
        <w:r>
          <w:fldChar w:fldCharType="begin"/>
        </w:r>
        <w:r>
          <w:instrText xml:space="preserve"> PAGEREF _Toc256000027 \h </w:instrText>
        </w:r>
        <w:r>
          <w:fldChar w:fldCharType="separate"/>
        </w:r>
        <w:r>
          <w:t>97</w:t>
        </w:r>
        <w:r>
          <w:fldChar w:fldCharType="end"/>
        </w:r>
      </w:hyperlink>
    </w:p>
    <w:p w:rsidR="00D004D9" w:rsidRPr="00795817" w:rsidRDefault="000865D6" w:rsidP="002357D7">
      <w:pPr>
        <w:widowControl w:val="0"/>
        <w:outlineLvl w:val="0"/>
        <w:rPr>
          <w:rFonts w:ascii="Calibri" w:hAnsi="Calibri"/>
          <w:sz w:val="22"/>
          <w:lang w:eastAsia="cs-CZ"/>
        </w:rPr>
      </w:pPr>
      <w:r w:rsidRPr="00795817">
        <w:rPr>
          <w:rFonts w:ascii="Calibri" w:hAnsi="Calibri"/>
          <w:sz w:val="20"/>
          <w:szCs w:val="20"/>
          <w:lang w:eastAsia="cs-CZ"/>
        </w:rPr>
        <w:fldChar w:fldCharType="end"/>
      </w:r>
      <w:r w:rsidRPr="00795817">
        <w:br w:type="page"/>
      </w:r>
    </w:p>
    <w:p w:rsidR="00345ACF" w:rsidRPr="006B26AF" w:rsidRDefault="000865D6" w:rsidP="006B26AF">
      <w:pPr>
        <w:pStyle w:val="Nadpis10"/>
        <w:rPr>
          <w:rFonts w:eastAsia="Calibri"/>
        </w:rPr>
      </w:pPr>
      <w:bookmarkStart w:id="4" w:name="_Toc256000000"/>
      <w:r w:rsidRPr="006B26AF">
        <w:lastRenderedPageBreak/>
        <w:t>Důvod předložení a cíle</w:t>
      </w:r>
      <w:bookmarkEnd w:id="4"/>
    </w:p>
    <w:p w:rsidR="00345ACF" w:rsidRPr="00A67ED2" w:rsidRDefault="000865D6" w:rsidP="00E31B60">
      <w:pPr>
        <w:pStyle w:val="Nadpis2"/>
        <w:keepNext w:val="0"/>
        <w:widowControl w:val="0"/>
        <w:numPr>
          <w:ilvl w:val="1"/>
          <w:numId w:val="36"/>
        </w:numPr>
        <w:rPr>
          <w:rFonts w:eastAsia="Calibri"/>
        </w:rPr>
      </w:pPr>
      <w:bookmarkStart w:id="5" w:name="_Toc256000001"/>
      <w:r w:rsidRPr="00A67ED2">
        <w:rPr>
          <w:rFonts w:eastAsia="Calibri"/>
        </w:rPr>
        <w:t>Název</w:t>
      </w:r>
      <w:bookmarkEnd w:id="5"/>
      <w:r w:rsidRPr="00A67ED2">
        <w:rPr>
          <w:rFonts w:eastAsia="Calibri"/>
        </w:rPr>
        <w:t xml:space="preserve"> </w:t>
      </w:r>
      <w:bookmarkStart w:id="6" w:name="_Toc98324287"/>
      <w:bookmarkStart w:id="7" w:name="_Toc98326054"/>
      <w:bookmarkStart w:id="8" w:name="_Toc99651034"/>
      <w:bookmarkStart w:id="9" w:name="_Toc99989461"/>
      <w:bookmarkStart w:id="10" w:name="_Toc100606988"/>
      <w:bookmarkStart w:id="11" w:name="_Toc110856267"/>
      <w:bookmarkStart w:id="12" w:name="_Toc110856302"/>
      <w:bookmarkStart w:id="13" w:name="_Toc110933800"/>
      <w:bookmarkStart w:id="14" w:name="_Toc110934060"/>
      <w:bookmarkEnd w:id="6"/>
      <w:bookmarkEnd w:id="7"/>
      <w:bookmarkEnd w:id="8"/>
      <w:bookmarkEnd w:id="9"/>
      <w:bookmarkEnd w:id="10"/>
      <w:bookmarkEnd w:id="11"/>
      <w:bookmarkEnd w:id="12"/>
      <w:bookmarkEnd w:id="13"/>
      <w:bookmarkEnd w:id="14"/>
    </w:p>
    <w:p w:rsidR="004A55DB" w:rsidRDefault="000865D6" w:rsidP="002357D7">
      <w:pPr>
        <w:pStyle w:val="Normln-tun"/>
        <w:widowControl w:val="0"/>
      </w:pPr>
      <w:r>
        <w:t>Hodnocení dopadů regulace k paragrafovému znění nového</w:t>
      </w:r>
      <w:r w:rsidR="00AD74E8">
        <w:t xml:space="preserve"> zákona o vyvlastnění</w:t>
      </w:r>
    </w:p>
    <w:p w:rsidR="000F79A8" w:rsidRPr="00CA7166" w:rsidRDefault="000865D6" w:rsidP="00CA7166">
      <w:pPr>
        <w:pStyle w:val="Nadpis2"/>
        <w:keepNext w:val="0"/>
        <w:widowControl w:val="0"/>
        <w:numPr>
          <w:ilvl w:val="1"/>
          <w:numId w:val="36"/>
        </w:numPr>
        <w:rPr>
          <w:rFonts w:eastAsia="Calibri"/>
        </w:rPr>
      </w:pPr>
      <w:bookmarkStart w:id="15" w:name="_Toc256000002"/>
      <w:bookmarkStart w:id="16" w:name="_Ref380057366"/>
      <w:r w:rsidRPr="00CA7166">
        <w:rPr>
          <w:rFonts w:eastAsia="Calibri"/>
        </w:rPr>
        <w:t>Definice problému</w:t>
      </w:r>
      <w:bookmarkStart w:id="17" w:name="_Toc98324288"/>
      <w:bookmarkStart w:id="18" w:name="_Toc98326055"/>
      <w:bookmarkStart w:id="19" w:name="_Toc99651035"/>
      <w:bookmarkStart w:id="20" w:name="_Toc99989462"/>
      <w:bookmarkStart w:id="21" w:name="_Toc100606989"/>
      <w:bookmarkStart w:id="22" w:name="_Toc110856268"/>
      <w:bookmarkStart w:id="23" w:name="_Toc110856303"/>
      <w:bookmarkStart w:id="24" w:name="_Toc110933801"/>
      <w:bookmarkEnd w:id="15"/>
      <w:bookmarkEnd w:id="16"/>
      <w:bookmarkEnd w:id="17"/>
      <w:bookmarkEnd w:id="18"/>
      <w:bookmarkEnd w:id="19"/>
      <w:bookmarkEnd w:id="20"/>
      <w:bookmarkEnd w:id="21"/>
      <w:bookmarkEnd w:id="22"/>
      <w:bookmarkEnd w:id="23"/>
      <w:bookmarkEnd w:id="24"/>
    </w:p>
    <w:p w:rsidR="00D426D2" w:rsidRPr="00795817" w:rsidRDefault="000865D6" w:rsidP="000565BF">
      <w:pPr>
        <w:pStyle w:val="Nadpis3"/>
      </w:pPr>
      <w:bookmarkStart w:id="25" w:name="_Toc256000003"/>
      <w:bookmarkStart w:id="26" w:name="_Ref98425812"/>
      <w:r w:rsidRPr="00795817">
        <w:t>Popis současného stavu</w:t>
      </w:r>
      <w:bookmarkEnd w:id="25"/>
      <w:bookmarkEnd w:id="26"/>
    </w:p>
    <w:p w:rsidR="005248C7" w:rsidRPr="00795817" w:rsidRDefault="000865D6" w:rsidP="00882052">
      <w:pPr>
        <w:pStyle w:val="Normln-tun"/>
      </w:pPr>
      <w:bookmarkStart w:id="27" w:name="_Toc535835927"/>
      <w:bookmarkStart w:id="28" w:name="_Toc25570961"/>
      <w:r w:rsidRPr="00795817">
        <w:t xml:space="preserve">Institut vyvlastnění představuje nucené odnětí nebo omezení vlastnického </w:t>
      </w:r>
      <w:r w:rsidRPr="00795817">
        <w:t>práva nebo práva odpovídajícího věcnému břemeni v důsledku individuálního právního aktu, nejčastěji pak rozhodnutím správního orgánu. Vyvlastnění tak představuje závažný zásah do vlastnických práv přiznaných ústavním pořádkem ČR. Na ústavní úrovni upravuje</w:t>
      </w:r>
      <w:r w:rsidRPr="00795817">
        <w:t xml:space="preserve"> vyvlastnění čl. 11 odst. 4 Listiny základních práv a svobod (dále t</w:t>
      </w:r>
      <w:r w:rsidR="009209CF" w:rsidRPr="00795817">
        <w:t>éž</w:t>
      </w:r>
      <w:r w:rsidRPr="00795817">
        <w:t xml:space="preserve"> „LZPS“), který stanovuje kumulativní podmínky přípustnosti nuceného zbavení nebo omezení vlastnického práva v takových případech, kdy je vyvlastnění nezbytné ve veřejném zájmu, na zákla</w:t>
      </w:r>
      <w:r w:rsidRPr="00795817">
        <w:t xml:space="preserve">dě zákonného zmocnění a vždy za náhradu. </w:t>
      </w:r>
    </w:p>
    <w:p w:rsidR="002166C9" w:rsidRPr="00795817" w:rsidRDefault="000865D6" w:rsidP="00882052">
      <w:pPr>
        <w:pStyle w:val="Normln-tun"/>
      </w:pPr>
      <w:r w:rsidRPr="00795817">
        <w:t xml:space="preserve">Právní úprava institutu vyvlastnění není obsažena komplexně v jednom právním předpise, neboť VyvlZ je sice samostatný vyvlastňovací předpis, ale plní pouze funkci předpisu obecného. </w:t>
      </w:r>
    </w:p>
    <w:p w:rsidR="00882052" w:rsidRPr="00795817" w:rsidRDefault="000865D6" w:rsidP="00882052">
      <w:pPr>
        <w:pStyle w:val="Normln-tun"/>
      </w:pPr>
      <w:r w:rsidRPr="00795817">
        <w:t>Základní zákonné zmocnění k vyv</w:t>
      </w:r>
      <w:r w:rsidRPr="00795817">
        <w:t xml:space="preserve">lastnění </w:t>
      </w:r>
      <w:r w:rsidR="002166C9" w:rsidRPr="00795817">
        <w:t xml:space="preserve">tedy </w:t>
      </w:r>
      <w:r w:rsidRPr="00795817">
        <w:t>představuje zákon č. 184/2006 Sb., o odnětí nebo omezení vlastnického práva k pozemku nebo ke stavbě (VyvlZ). VyvlZ</w:t>
      </w:r>
      <w:r w:rsidR="0090523A" w:rsidRPr="00795817">
        <w:t xml:space="preserve"> </w:t>
      </w:r>
      <w:r w:rsidRPr="00795817">
        <w:t>upravuje</w:t>
      </w:r>
      <w:r w:rsidR="0090523A" w:rsidRPr="00795817">
        <w:t xml:space="preserve"> </w:t>
      </w:r>
      <w:r w:rsidRPr="00795817">
        <w:t>jak postup vyvlastnitele před vyvlastněním, tak samotný průběh vyvlastňovacího řízení.</w:t>
      </w:r>
      <w:r w:rsidR="0090523A" w:rsidRPr="00795817">
        <w:t xml:space="preserve"> </w:t>
      </w:r>
      <w:bookmarkEnd w:id="27"/>
      <w:bookmarkEnd w:id="28"/>
      <w:r w:rsidRPr="00795817">
        <w:t>Vyvlastnění ve smyslu tohoto z</w:t>
      </w:r>
      <w:r w:rsidRPr="00795817">
        <w:t>ákona je odnětí, ale i omezení vlastnického práva nebo práva odpovídajícího věcnému břemenu k pozemku nebo ke stavbě pro dosažení účelu vyvlastnění stanoveného zvláštním zákonem. Zákon o vyvlastnění obsahuje normy hmotněprávní i procesně právní. Hmotněpráv</w:t>
      </w:r>
      <w:r w:rsidRPr="00795817">
        <w:t xml:space="preserve">ní úprava se týká ustanovení například o podmínkách vyvlastnění, práv třetích osob či náhrad při vyvlastnění. Procesně je zde upraveno vyvlastňovací řízení, které má statut zvláštního správního řízení. </w:t>
      </w:r>
    </w:p>
    <w:p w:rsidR="00882052" w:rsidRPr="00795817" w:rsidRDefault="000865D6" w:rsidP="00882052">
      <w:pPr>
        <w:pStyle w:val="Normln-tun"/>
      </w:pPr>
      <w:r w:rsidRPr="00795817">
        <w:t>Aby mohlo dojít k vyvlastnění, musí být současně napl</w:t>
      </w:r>
      <w:r w:rsidRPr="00795817">
        <w:t>něny podmínky uvedené v zákoně o vyvlastnění. Vyvlastnění je tedy přípustné:</w:t>
      </w:r>
    </w:p>
    <w:p w:rsidR="00882052" w:rsidRPr="00795817" w:rsidRDefault="000865D6">
      <w:pPr>
        <w:pStyle w:val="Normln-tun"/>
        <w:numPr>
          <w:ilvl w:val="0"/>
          <w:numId w:val="73"/>
        </w:numPr>
        <w:ind w:left="426" w:hanging="426"/>
      </w:pPr>
      <w:r w:rsidRPr="00795817">
        <w:t>jen pro účel vyvlastnění stanovený zvláštním zákonem;</w:t>
      </w:r>
    </w:p>
    <w:p w:rsidR="00882052" w:rsidRPr="00795817" w:rsidRDefault="000865D6">
      <w:pPr>
        <w:pStyle w:val="Normln-tun"/>
        <w:numPr>
          <w:ilvl w:val="0"/>
          <w:numId w:val="73"/>
        </w:numPr>
        <w:ind w:left="426" w:hanging="426"/>
      </w:pPr>
      <w:r w:rsidRPr="00795817">
        <w:t>jestliže veřejný zájem na dosažení tohoto účelu převažuje nad zachováním dosavadních práv vyvlastňovaného;</w:t>
      </w:r>
    </w:p>
    <w:p w:rsidR="00882052" w:rsidRPr="00795817" w:rsidRDefault="000865D6">
      <w:pPr>
        <w:pStyle w:val="Normln-tun"/>
        <w:numPr>
          <w:ilvl w:val="0"/>
          <w:numId w:val="73"/>
        </w:numPr>
        <w:ind w:left="426" w:hanging="426"/>
      </w:pPr>
      <w:r w:rsidRPr="00795817">
        <w:t xml:space="preserve">pokud stanoveného </w:t>
      </w:r>
      <w:r w:rsidRPr="00795817">
        <w:t>účelu nelze dosáhnout jinak;</w:t>
      </w:r>
    </w:p>
    <w:p w:rsidR="00882052" w:rsidRPr="00795817" w:rsidRDefault="000865D6">
      <w:pPr>
        <w:pStyle w:val="Normln-tun"/>
        <w:numPr>
          <w:ilvl w:val="0"/>
          <w:numId w:val="73"/>
        </w:numPr>
        <w:ind w:left="426" w:hanging="426"/>
      </w:pPr>
      <w:r w:rsidRPr="00795817">
        <w:t>účel vyvlastnění musí být v souladu s cíli a úkoly územního plánování v případě, že se vyvlastnění týká staveb;</w:t>
      </w:r>
    </w:p>
    <w:p w:rsidR="00882052" w:rsidRPr="00795817" w:rsidRDefault="000865D6">
      <w:pPr>
        <w:pStyle w:val="Normln-tun"/>
        <w:numPr>
          <w:ilvl w:val="0"/>
          <w:numId w:val="73"/>
        </w:numPr>
        <w:ind w:left="426" w:hanging="426"/>
      </w:pPr>
      <w:r w:rsidRPr="00795817">
        <w:t>pouze v takovém rozsahu, který je nezbytný pro dosažení jeho účelu;</w:t>
      </w:r>
    </w:p>
    <w:p w:rsidR="00882052" w:rsidRPr="00795817" w:rsidRDefault="000865D6">
      <w:pPr>
        <w:pStyle w:val="Normln-tun"/>
        <w:numPr>
          <w:ilvl w:val="0"/>
          <w:numId w:val="73"/>
        </w:numPr>
        <w:ind w:left="426" w:hanging="426"/>
      </w:pPr>
      <w:r w:rsidRPr="00795817">
        <w:t>za náhradu.</w:t>
      </w:r>
    </w:p>
    <w:p w:rsidR="0074353A" w:rsidRPr="00795817" w:rsidRDefault="000865D6" w:rsidP="0074353A">
      <w:pPr>
        <w:pStyle w:val="Normln-tun"/>
      </w:pPr>
      <w:r w:rsidRPr="00795817">
        <w:t>Samotné vedení řízení je pak ze zák</w:t>
      </w:r>
      <w:r w:rsidRPr="00795817">
        <w:t>ona svěřeno vyvlastňovacímu úřadu, a to takovému, který bude k tomuto řízení místně, věcně a funkčně příslušný. V rámci své úpravy vyvlastňovací zákon stanoví, že jako vyvlastňovací úřad je možno označovat:</w:t>
      </w:r>
    </w:p>
    <w:p w:rsidR="0074353A" w:rsidRPr="00795817" w:rsidRDefault="000865D6">
      <w:pPr>
        <w:pStyle w:val="Normln-tun"/>
        <w:numPr>
          <w:ilvl w:val="0"/>
          <w:numId w:val="73"/>
        </w:numPr>
        <w:ind w:left="426" w:hanging="426"/>
      </w:pPr>
      <w:r w:rsidRPr="00795817">
        <w:t>obecní úřad obce s rozšířenou působností,</w:t>
      </w:r>
    </w:p>
    <w:p w:rsidR="0074353A" w:rsidRPr="00795817" w:rsidRDefault="000865D6">
      <w:pPr>
        <w:pStyle w:val="Normln-tun"/>
        <w:numPr>
          <w:ilvl w:val="0"/>
          <w:numId w:val="73"/>
        </w:numPr>
        <w:ind w:left="426" w:hanging="426"/>
      </w:pPr>
      <w:r w:rsidRPr="00795817">
        <w:t>Magistr</w:t>
      </w:r>
      <w:r w:rsidRPr="00795817">
        <w:t>át hlavního města Prahy,</w:t>
      </w:r>
    </w:p>
    <w:p w:rsidR="0074353A" w:rsidRPr="00795817" w:rsidRDefault="000865D6">
      <w:pPr>
        <w:pStyle w:val="Normln-tun"/>
        <w:numPr>
          <w:ilvl w:val="0"/>
          <w:numId w:val="73"/>
        </w:numPr>
        <w:ind w:left="426" w:hanging="426"/>
      </w:pPr>
      <w:r w:rsidRPr="00795817">
        <w:lastRenderedPageBreak/>
        <w:t>magistrát územně členěného statutárního města,</w:t>
      </w:r>
    </w:p>
    <w:p w:rsidR="0074353A" w:rsidRPr="00795817" w:rsidRDefault="000865D6" w:rsidP="0074353A">
      <w:pPr>
        <w:pStyle w:val="Normln-tun"/>
      </w:pPr>
      <w:r w:rsidRPr="00795817">
        <w:t xml:space="preserve">v jejichž správním obvodu se nachází předmětný pozemek nebo stavba. Tyto správní obvody jsou stanoveny na základě vyhlášky </w:t>
      </w:r>
      <w:r w:rsidR="005A141F" w:rsidRPr="00795817">
        <w:t>M</w:t>
      </w:r>
      <w:r w:rsidRPr="00795817">
        <w:t>inisterstva vnitra. V situacích, kdy se potenciálně vyvlastň</w:t>
      </w:r>
      <w:r w:rsidRPr="00795817">
        <w:t>ované pozemky nebo stavby nacházejí ve správních obvodech více úřadů, zákon přináší řešení, jež spočívá v rozhodnutí nejblíže společného nadřízeného správního orgánu a v jeho určení, který vyvlastňovací úřad příslušné řízení provede.</w:t>
      </w:r>
    </w:p>
    <w:p w:rsidR="00E84636" w:rsidRPr="00795817" w:rsidRDefault="000865D6" w:rsidP="00E84636">
      <w:pPr>
        <w:pStyle w:val="Titulek"/>
        <w:keepNext/>
      </w:pPr>
      <w:r w:rsidRPr="00795817">
        <w:t xml:space="preserve">Tabulka </w:t>
      </w:r>
      <w:r w:rsidR="00D644CC">
        <w:fldChar w:fldCharType="begin"/>
      </w:r>
      <w:r>
        <w:instrText xml:space="preserve"> SEQ Tabulka \</w:instrText>
      </w:r>
      <w:r>
        <w:instrText xml:space="preserve">* ARABIC </w:instrText>
      </w:r>
      <w:r w:rsidR="00D644CC">
        <w:fldChar w:fldCharType="separate"/>
      </w:r>
      <w:r>
        <w:t>1</w:t>
      </w:r>
      <w:r w:rsidR="00D644CC">
        <w:rPr>
          <w:noProof/>
        </w:rPr>
        <w:fldChar w:fldCharType="end"/>
      </w:r>
      <w:r w:rsidRPr="00795817">
        <w:t xml:space="preserve">: </w:t>
      </w:r>
      <w:r w:rsidRPr="00795817">
        <w:rPr>
          <w:rFonts w:asciiTheme="minorHAnsi" w:hAnsiTheme="minorHAnsi" w:cstheme="minorHAnsi"/>
          <w:color w:val="auto"/>
          <w:sz w:val="18"/>
          <w:szCs w:val="18"/>
        </w:rPr>
        <w:t>Definice činnostních rolí pro kategorie OVM</w:t>
      </w:r>
    </w:p>
    <w:tbl>
      <w:tblPr>
        <w:tblStyle w:val="Svtlstnovn1"/>
        <w:tblW w:w="9072" w:type="dxa"/>
        <w:tblLayout w:type="fixed"/>
        <w:tblLook w:val="04A0" w:firstRow="1" w:lastRow="0" w:firstColumn="1" w:lastColumn="0" w:noHBand="0" w:noVBand="1"/>
      </w:tblPr>
      <w:tblGrid>
        <w:gridCol w:w="4536"/>
        <w:gridCol w:w="907"/>
        <w:gridCol w:w="907"/>
        <w:gridCol w:w="907"/>
        <w:gridCol w:w="907"/>
        <w:gridCol w:w="908"/>
      </w:tblGrid>
      <w:tr w:rsidR="00FC72A1" w:rsidTr="00FC72A1">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536" w:type="dxa"/>
            <w:hideMark/>
          </w:tcPr>
          <w:p w:rsidR="00E84636" w:rsidRPr="00795817" w:rsidRDefault="000865D6" w:rsidP="00E84636">
            <w:pPr>
              <w:spacing w:before="0" w:after="0"/>
              <w:jc w:val="left"/>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Název činnosti</w:t>
            </w:r>
          </w:p>
        </w:tc>
        <w:tc>
          <w:tcPr>
            <w:tcW w:w="907" w:type="dxa"/>
            <w:hideMark/>
          </w:tcPr>
          <w:p w:rsidR="00E84636" w:rsidRPr="00795817" w:rsidRDefault="000865D6" w:rsidP="00E8463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ORP</w:t>
            </w:r>
          </w:p>
        </w:tc>
        <w:tc>
          <w:tcPr>
            <w:tcW w:w="907" w:type="dxa"/>
            <w:hideMark/>
          </w:tcPr>
          <w:p w:rsidR="00E84636" w:rsidRPr="00795817" w:rsidRDefault="000865D6" w:rsidP="00E8463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Kraje a hl. m. Praha</w:t>
            </w:r>
          </w:p>
        </w:tc>
        <w:tc>
          <w:tcPr>
            <w:tcW w:w="907" w:type="dxa"/>
            <w:hideMark/>
          </w:tcPr>
          <w:p w:rsidR="00E84636" w:rsidRPr="00795817" w:rsidRDefault="000865D6" w:rsidP="00E8463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Statutární města</w:t>
            </w:r>
          </w:p>
        </w:tc>
        <w:tc>
          <w:tcPr>
            <w:tcW w:w="907" w:type="dxa"/>
            <w:hideMark/>
          </w:tcPr>
          <w:p w:rsidR="00E84636" w:rsidRPr="00795817" w:rsidRDefault="000865D6" w:rsidP="00E8463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HLAVNÍ MĚSTO PRAHA</w:t>
            </w:r>
          </w:p>
        </w:tc>
        <w:tc>
          <w:tcPr>
            <w:tcW w:w="908" w:type="dxa"/>
            <w:hideMark/>
          </w:tcPr>
          <w:p w:rsidR="00E84636" w:rsidRPr="00795817" w:rsidRDefault="000865D6" w:rsidP="00E84636">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MMR</w:t>
            </w:r>
          </w:p>
        </w:tc>
      </w:tr>
      <w:tr w:rsidR="00FC72A1" w:rsidTr="00FC72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hideMark/>
          </w:tcPr>
          <w:p w:rsidR="00E84636" w:rsidRPr="00795817" w:rsidRDefault="000865D6" w:rsidP="00E84636">
            <w:pPr>
              <w:spacing w:before="0" w:after="0"/>
              <w:jc w:val="left"/>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Rozhodování o určení vyvlastňovacího úřadu, který provede vyvlastňovací řízení na území více vyvlastňovacích úřadů</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8"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r>
      <w:tr w:rsidR="00FC72A1" w:rsidTr="00FC72A1">
        <w:trPr>
          <w:trHeight w:val="300"/>
        </w:trPr>
        <w:tc>
          <w:tcPr>
            <w:cnfStyle w:val="001000000000" w:firstRow="0" w:lastRow="0" w:firstColumn="1" w:lastColumn="0" w:oddVBand="0" w:evenVBand="0" w:oddHBand="0" w:evenHBand="0" w:firstRowFirstColumn="0" w:firstRowLastColumn="0" w:lastRowFirstColumn="0" w:lastRowLastColumn="0"/>
            <w:tcW w:w="4536" w:type="dxa"/>
            <w:hideMark/>
          </w:tcPr>
          <w:p w:rsidR="00E84636" w:rsidRPr="00795817" w:rsidRDefault="000865D6" w:rsidP="00E84636">
            <w:pPr>
              <w:spacing w:before="0" w:after="0"/>
              <w:jc w:val="left"/>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Pověření jiného vyvlastňovacího úřadu ve správním obvodu kraje provedením vyvlastňovacího řízení</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8"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r>
      <w:tr w:rsidR="00FC72A1" w:rsidTr="00FC72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hideMark/>
          </w:tcPr>
          <w:p w:rsidR="00E84636" w:rsidRPr="00795817" w:rsidRDefault="000865D6" w:rsidP="00E84636">
            <w:pPr>
              <w:spacing w:before="0" w:after="0"/>
              <w:jc w:val="left"/>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Pověření jiného vyvlastňovacího úřadu než Magistrátu hlavního města Prahy provedením vyvlastňovacího řízení</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Pr>
                <w:rFonts w:asciiTheme="minorHAnsi" w:eastAsia="Times New Roman" w:hAnsiTheme="minorHAnsi" w:cstheme="minorHAnsi"/>
                <w:color w:val="auto"/>
                <w:sz w:val="18"/>
                <w:szCs w:val="18"/>
                <w:lang w:eastAsia="cs-CZ"/>
              </w:rPr>
              <w:t>Q+</w:t>
            </w:r>
            <w:r w:rsidRPr="00795817">
              <w:rPr>
                <w:rFonts w:asciiTheme="minorHAnsi" w:eastAsia="Times New Roman" w:hAnsiTheme="minorHAnsi" w:cstheme="minorHAnsi"/>
                <w:color w:val="auto"/>
                <w:sz w:val="18"/>
                <w:szCs w:val="18"/>
                <w:lang w:eastAsia="cs-CZ"/>
              </w:rPr>
              <w:t>Ne</w:t>
            </w:r>
          </w:p>
        </w:tc>
        <w:tc>
          <w:tcPr>
            <w:tcW w:w="908"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Pr>
                <w:rFonts w:asciiTheme="minorHAnsi" w:eastAsia="Times New Roman" w:hAnsiTheme="minorHAnsi" w:cstheme="minorHAnsi"/>
                <w:color w:val="auto"/>
                <w:sz w:val="18"/>
                <w:szCs w:val="18"/>
                <w:lang w:eastAsia="cs-CZ"/>
              </w:rPr>
              <w:t>SD</w:t>
            </w:r>
          </w:p>
        </w:tc>
      </w:tr>
      <w:tr w:rsidR="00FC72A1" w:rsidTr="00FC72A1">
        <w:trPr>
          <w:trHeight w:val="300"/>
        </w:trPr>
        <w:tc>
          <w:tcPr>
            <w:cnfStyle w:val="001000000000" w:firstRow="0" w:lastRow="0" w:firstColumn="1" w:lastColumn="0" w:oddVBand="0" w:evenVBand="0" w:oddHBand="0" w:evenHBand="0" w:firstRowFirstColumn="0" w:firstRowLastColumn="0" w:lastRowFirstColumn="0" w:lastRowLastColumn="0"/>
            <w:tcW w:w="4536" w:type="dxa"/>
            <w:hideMark/>
          </w:tcPr>
          <w:p w:rsidR="00E84636" w:rsidRPr="00795817" w:rsidRDefault="000865D6" w:rsidP="00E84636">
            <w:pPr>
              <w:spacing w:before="0" w:after="0"/>
              <w:jc w:val="left"/>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Pověření jiného odvolacího správního orgánu provedením odvolacího řízení</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8"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r>
      <w:tr w:rsidR="00FC72A1" w:rsidTr="00FC72A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36" w:type="dxa"/>
            <w:hideMark/>
          </w:tcPr>
          <w:p w:rsidR="00E84636" w:rsidRPr="00795817" w:rsidRDefault="000865D6" w:rsidP="00E84636">
            <w:pPr>
              <w:spacing w:before="0" w:after="0"/>
              <w:jc w:val="left"/>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Vedení vyvlastňovacího řízení včetně stanovení náhrady za vyvlastnění</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7"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8" w:type="dxa"/>
            <w:hideMark/>
          </w:tcPr>
          <w:p w:rsidR="00E84636" w:rsidRPr="00795817" w:rsidRDefault="000865D6" w:rsidP="00E84636">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r>
      <w:tr w:rsidR="00FC72A1" w:rsidTr="00FC72A1">
        <w:trPr>
          <w:trHeight w:val="300"/>
        </w:trPr>
        <w:tc>
          <w:tcPr>
            <w:cnfStyle w:val="001000000000" w:firstRow="0" w:lastRow="0" w:firstColumn="1" w:lastColumn="0" w:oddVBand="0" w:evenVBand="0" w:oddHBand="0" w:evenHBand="0" w:firstRowFirstColumn="0" w:firstRowLastColumn="0" w:lastRowFirstColumn="0" w:lastRowLastColumn="0"/>
            <w:tcW w:w="4536" w:type="dxa"/>
            <w:hideMark/>
          </w:tcPr>
          <w:p w:rsidR="00E84636" w:rsidRPr="00795817" w:rsidRDefault="000865D6" w:rsidP="00E84636">
            <w:pPr>
              <w:spacing w:before="0" w:after="0"/>
              <w:jc w:val="left"/>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Zrušení vyvlastnění</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7"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Ano</w:t>
            </w:r>
          </w:p>
        </w:tc>
        <w:tc>
          <w:tcPr>
            <w:tcW w:w="908" w:type="dxa"/>
            <w:hideMark/>
          </w:tcPr>
          <w:p w:rsidR="00E84636" w:rsidRPr="00795817" w:rsidRDefault="000865D6" w:rsidP="00E84636">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eastAsia="cs-CZ"/>
              </w:rPr>
            </w:pPr>
            <w:r w:rsidRPr="00795817">
              <w:rPr>
                <w:rFonts w:asciiTheme="minorHAnsi" w:eastAsia="Times New Roman" w:hAnsiTheme="minorHAnsi" w:cstheme="minorHAnsi"/>
                <w:color w:val="auto"/>
                <w:sz w:val="18"/>
                <w:szCs w:val="18"/>
                <w:lang w:eastAsia="cs-CZ"/>
              </w:rPr>
              <w:t>Ne</w:t>
            </w:r>
          </w:p>
        </w:tc>
      </w:tr>
    </w:tbl>
    <w:p w:rsidR="005A2A1C" w:rsidRPr="00795817" w:rsidRDefault="000865D6" w:rsidP="005A2A1C">
      <w:pPr>
        <w:pStyle w:val="Citt"/>
      </w:pPr>
      <w:r w:rsidRPr="00795817">
        <w:t>Zdroj: RPP</w:t>
      </w:r>
    </w:p>
    <w:p w:rsidR="00882052" w:rsidRPr="00795817" w:rsidRDefault="000865D6" w:rsidP="0074353A">
      <w:pPr>
        <w:pStyle w:val="Normln-tun"/>
      </w:pPr>
      <w:r w:rsidRPr="00795817">
        <w:t xml:space="preserve">Dle zákona vykonávají </w:t>
      </w:r>
      <w:r w:rsidRPr="00795817">
        <w:t>tyto orgány svoji funkci vyvlastňovacího úřadu v přenesené působnosti.</w:t>
      </w:r>
    </w:p>
    <w:p w:rsidR="00E84636" w:rsidRPr="00795817" w:rsidRDefault="00E84636" w:rsidP="0074353A">
      <w:pPr>
        <w:pStyle w:val="Normln-tun"/>
      </w:pPr>
    </w:p>
    <w:p w:rsidR="00882052" w:rsidRPr="00CD554D" w:rsidRDefault="000865D6" w:rsidP="00882052">
      <w:pPr>
        <w:pStyle w:val="Normln-tun"/>
        <w:rPr>
          <w:b/>
          <w:bCs/>
          <w:smallCaps/>
        </w:rPr>
      </w:pPr>
      <w:r w:rsidRPr="00CD554D">
        <w:rPr>
          <w:b/>
          <w:bCs/>
          <w:smallCaps/>
        </w:rPr>
        <w:t>Specifika řízení</w:t>
      </w:r>
    </w:p>
    <w:p w:rsidR="00882052" w:rsidRPr="00795817" w:rsidRDefault="000865D6">
      <w:pPr>
        <w:pStyle w:val="Normln-tun"/>
        <w:numPr>
          <w:ilvl w:val="0"/>
          <w:numId w:val="73"/>
        </w:numPr>
        <w:ind w:left="426" w:hanging="426"/>
      </w:pPr>
      <w:r w:rsidRPr="00795817">
        <w:t xml:space="preserve">po zahájení řízení jsou právní úkony, kterými by se vyvlastňovaný pokusil vyvlastňovaný pozemek nebo stavbu převést, pronajmout nebo jinak zatížit neplatné; </w:t>
      </w:r>
    </w:p>
    <w:p w:rsidR="00882052" w:rsidRPr="00795817" w:rsidRDefault="000865D6">
      <w:pPr>
        <w:pStyle w:val="Normln-tun"/>
        <w:numPr>
          <w:ilvl w:val="0"/>
          <w:numId w:val="73"/>
        </w:numPr>
        <w:ind w:left="426" w:hanging="426"/>
      </w:pPr>
      <w:r w:rsidRPr="00795817">
        <w:t>za omezen</w:t>
      </w:r>
      <w:r w:rsidRPr="00795817">
        <w:t>í vlastníka v dispozici s předmětem vyvlastnění ukládá zákon vyvlastniteli povinnost poskytnout vyvlastňovanému náhradu v prokázané výši újmy způsobené tímto omezením;</w:t>
      </w:r>
    </w:p>
    <w:p w:rsidR="00882052" w:rsidRPr="00795817" w:rsidRDefault="000865D6">
      <w:pPr>
        <w:pStyle w:val="Normln-tun"/>
        <w:numPr>
          <w:ilvl w:val="0"/>
          <w:numId w:val="73"/>
        </w:numPr>
        <w:ind w:left="426" w:hanging="426"/>
      </w:pPr>
      <w:r w:rsidRPr="00795817">
        <w:t>výroková část rozhodnutí je rozdělena do dvou skupin výroků, a to na výroky o vyvlastněn</w:t>
      </w:r>
      <w:r w:rsidRPr="00795817">
        <w:t>í práv k pozemku nebo ke stavbě a na výroky o náhradě za vyvlastnění;</w:t>
      </w:r>
    </w:p>
    <w:p w:rsidR="00882052" w:rsidRPr="00795817" w:rsidRDefault="000865D6">
      <w:pPr>
        <w:pStyle w:val="Normln-tun"/>
        <w:numPr>
          <w:ilvl w:val="0"/>
          <w:numId w:val="73"/>
        </w:numPr>
        <w:ind w:left="426" w:hanging="426"/>
      </w:pPr>
      <w:r w:rsidRPr="00795817">
        <w:t>ve výrocích týkajících se vyvlastnění práv k pozemku nebo ke stavbě rozhodne vyvlastňovací úřad o rozsahu, v jakém se vyvlastňuje;</w:t>
      </w:r>
    </w:p>
    <w:p w:rsidR="00882052" w:rsidRPr="00795817" w:rsidRDefault="000865D6">
      <w:pPr>
        <w:pStyle w:val="Normln-tun"/>
        <w:numPr>
          <w:ilvl w:val="0"/>
          <w:numId w:val="73"/>
        </w:numPr>
        <w:ind w:left="426" w:hanging="426"/>
      </w:pPr>
      <w:r w:rsidRPr="00795817">
        <w:t>výrokové části týkající se náhrady za vyvlastnění stano</w:t>
      </w:r>
      <w:r w:rsidRPr="00795817">
        <w:t>ví výši náhrady pro vyvlastňovaného a oprávněného z věcného břemene, jejichž práva daným rozhodnutím zanikají;</w:t>
      </w:r>
    </w:p>
    <w:p w:rsidR="00882052" w:rsidRPr="00795817" w:rsidRDefault="000865D6">
      <w:pPr>
        <w:pStyle w:val="Normln-tun"/>
        <w:numPr>
          <w:ilvl w:val="0"/>
          <w:numId w:val="73"/>
        </w:numPr>
        <w:ind w:left="426" w:hanging="426"/>
      </w:pPr>
      <w:r w:rsidRPr="00795817">
        <w:t>v případě, že bude podáno odvolání proti výrokům týkajícím se náhrady, nemá toto odvolání na rozdíl od případu týkajícího se výrokové části vztah</w:t>
      </w:r>
      <w:r w:rsidRPr="00795817">
        <w:t xml:space="preserve">ující se k vyvlastnění práv, odkladný účinek na ostatní výroky rozhodnutí. </w:t>
      </w:r>
    </w:p>
    <w:p w:rsidR="00882052" w:rsidRPr="00795817" w:rsidRDefault="000865D6" w:rsidP="00882052">
      <w:pPr>
        <w:pStyle w:val="Normln-tun"/>
      </w:pPr>
      <w:r w:rsidRPr="00795817">
        <w:t>Zákon o vyvlastnění připouští možnost zrušení vyvlastnění, a to na žádost vyvlastňovaného. V případě, že vyvlastňovací úřad vydá rozhodnutí o vyvlastnění a následné odvolání účastn</w:t>
      </w:r>
      <w:r w:rsidRPr="00795817">
        <w:t xml:space="preserve">íka je neúspěšné, má účastník dále možnost projednání vyvlastnění v řízení před soudem. Pokud podá žalobu proti výrokům vztahujícím se k vyvlastnění práv k pozemku nebo ke stavbě vyvlastňovaný, má tato žaloba automaticky </w:t>
      </w:r>
      <w:r w:rsidRPr="00795817">
        <w:lastRenderedPageBreak/>
        <w:t>odkladný účinek. Jestliže bude žalo</w:t>
      </w:r>
      <w:r w:rsidRPr="00795817">
        <w:t xml:space="preserve">ba podána jinými účastníky řízení než vyvlastňovaným, odkladný účinek nemá, čímž ovšem není dotčena možnost soudu tento odkladný účinek usnesením žalobě přiznat. </w:t>
      </w:r>
    </w:p>
    <w:p w:rsidR="00882052" w:rsidRPr="00795817" w:rsidRDefault="000865D6" w:rsidP="00882052">
      <w:pPr>
        <w:pStyle w:val="Normln-tun"/>
      </w:pPr>
      <w:r w:rsidRPr="00795817">
        <w:t>Pokud nedojde k zamítnutí žaloby, mohou soudy rozhodnout tímto způsobem:</w:t>
      </w:r>
    </w:p>
    <w:p w:rsidR="00882052" w:rsidRPr="00795817" w:rsidRDefault="000865D6">
      <w:pPr>
        <w:pStyle w:val="Normln-tun"/>
        <w:numPr>
          <w:ilvl w:val="0"/>
          <w:numId w:val="73"/>
        </w:numPr>
        <w:ind w:left="426" w:hanging="426"/>
      </w:pPr>
      <w:r w:rsidRPr="00795817">
        <w:t>žalobě proti výrokům</w:t>
      </w:r>
      <w:r w:rsidRPr="00795817">
        <w:t xml:space="preserve"> vztahujícím se k vyvlastnění soud vyhoví, napadené rozhodnutí zruší a věc vrátí vyvlastňovacímu úřadu se závazným právním názorem k dalšímu řízení;</w:t>
      </w:r>
    </w:p>
    <w:p w:rsidR="00882052" w:rsidRPr="00795817" w:rsidRDefault="000865D6">
      <w:pPr>
        <w:pStyle w:val="Normln-tun"/>
        <w:numPr>
          <w:ilvl w:val="0"/>
          <w:numId w:val="73"/>
        </w:numPr>
        <w:ind w:left="426" w:hanging="426"/>
      </w:pPr>
      <w:r w:rsidRPr="00795817">
        <w:t xml:space="preserve">v případě žaloby podané proti výrokům o náhradě soud rozhodne ve věci samé rozsudkem, který nahrazuje </w:t>
      </w:r>
      <w:r w:rsidRPr="00795817">
        <w:t>rozhodnutí vyvlastňovacího úřadu v takovém rozsahu, v jakém je rozsudkem soudu dotčeno.</w:t>
      </w:r>
    </w:p>
    <w:p w:rsidR="00882052" w:rsidRDefault="000865D6" w:rsidP="00882052">
      <w:pPr>
        <w:pStyle w:val="Normln-tun"/>
      </w:pPr>
      <w:r w:rsidRPr="00795817">
        <w:t>Dalším prostředkem ochrany může být ústavní stížnost, a to s ohledem na fakt, že institut vyvlastnění zasahuje do vlastnického práva, které je jedním ze základních lids</w:t>
      </w:r>
      <w:r w:rsidRPr="00795817">
        <w:t>kých práv. (</w:t>
      </w:r>
      <w:r w:rsidRPr="00795817">
        <w:rPr>
          <w:i/>
        </w:rPr>
        <w:t>Zdroj: Hodnocení dopadů regulace (RIA) k novele zákona stávajícího stavebního zákona (2016</w:t>
      </w:r>
      <w:r w:rsidRPr="00795817">
        <w:t xml:space="preserve">)) </w:t>
      </w:r>
    </w:p>
    <w:p w:rsidR="00882052" w:rsidRDefault="000865D6" w:rsidP="000565BF">
      <w:pPr>
        <w:pStyle w:val="Normln-tun"/>
      </w:pPr>
      <w:r>
        <w:t>O</w:t>
      </w:r>
      <w:r w:rsidRPr="00C20A62">
        <w:t>dchylně od zákona o vyvlastnění upravuje</w:t>
      </w:r>
      <w:r>
        <w:t xml:space="preserve"> některé aspekty vyvlastňovacího řízení</w:t>
      </w:r>
      <w:r w:rsidRPr="00C20A62">
        <w:t xml:space="preserve"> </w:t>
      </w:r>
      <w:r>
        <w:t>pro vybrané stavby dopravní, vodní a energetické infrastruktury a inf</w:t>
      </w:r>
      <w:r>
        <w:t>rastruktury elektronických komunikací z</w:t>
      </w:r>
      <w:r w:rsidR="00C20A62" w:rsidRPr="00C20A62">
        <w:t xml:space="preserve">ákon </w:t>
      </w:r>
      <w:r w:rsidR="00F02636">
        <w:t xml:space="preserve">č. </w:t>
      </w:r>
      <w:r w:rsidRPr="00032A5F">
        <w:t>416/2009 Sb., o urychlení výstavby dopravní, vodní, energetické infrastruktury a infrastruktury elektronických komunikací</w:t>
      </w:r>
      <w:r>
        <w:t xml:space="preserve">. </w:t>
      </w:r>
      <w:r w:rsidR="00C20A62" w:rsidRPr="00C20A62">
        <w:t xml:space="preserve"> </w:t>
      </w:r>
    </w:p>
    <w:p w:rsidR="00032A5F" w:rsidRPr="000D3BCB" w:rsidRDefault="000865D6" w:rsidP="00032A5F">
      <w:pPr>
        <w:pStyle w:val="Normln-tun"/>
      </w:pPr>
      <w:r>
        <w:t>Zákon o urychlení výstavby upravuje odchylně od zákona o vyvlastnění zejména následu</w:t>
      </w:r>
      <w:r>
        <w:t xml:space="preserve">jící </w:t>
      </w:r>
      <w:r w:rsidRPr="000D3BCB">
        <w:t>záležitosti:</w:t>
      </w:r>
    </w:p>
    <w:p w:rsidR="00845BEE" w:rsidRDefault="000865D6">
      <w:pPr>
        <w:pStyle w:val="Normln-tun"/>
        <w:numPr>
          <w:ilvl w:val="0"/>
          <w:numId w:val="77"/>
        </w:numPr>
        <w:ind w:left="426" w:hanging="426"/>
      </w:pPr>
      <w:r w:rsidRPr="000D3BCB">
        <w:t>K vedení vyvlastňovacího řízení pro dopravní infrastrukturu je v prvním stupni příslušný krajsk</w:t>
      </w:r>
      <w:r>
        <w:t>ý úřad kraje, na jehož území se má stavba uskutečnit, o</w:t>
      </w:r>
      <w:r w:rsidRPr="000D3BCB">
        <w:t>dvolacím a přezkumným orgánem pro rozhodnutí o vyvlastnění pro dopravní infrastrukturu v</w:t>
      </w:r>
      <w:r w:rsidRPr="000D3BCB">
        <w:t>e vlastnictví státu (dálnice, silnice I. tř., celostátní dráhy) je Ministerstvo dopravy v ostatních případech Ministerstvo pro místní rozvoj.</w:t>
      </w:r>
    </w:p>
    <w:p w:rsidR="00032A5F" w:rsidRDefault="000865D6">
      <w:pPr>
        <w:pStyle w:val="Normln-tun"/>
        <w:numPr>
          <w:ilvl w:val="0"/>
          <w:numId w:val="77"/>
        </w:numPr>
        <w:ind w:left="426" w:hanging="426"/>
      </w:pPr>
      <w:r w:rsidRPr="00E7180D">
        <w:rPr>
          <w:rFonts w:eastAsia="Times New Roman"/>
        </w:rPr>
        <w:t>Postačí</w:t>
      </w:r>
      <w:r w:rsidRPr="00E7180D">
        <w:rPr>
          <w:i/>
        </w:rPr>
        <w:t xml:space="preserve"> </w:t>
      </w:r>
      <w:r w:rsidRPr="00E7180D">
        <w:rPr>
          <w:rFonts w:eastAsia="Times New Roman"/>
        </w:rPr>
        <w:t>doručení návrhu smlouvy na získání potřebných práv</w:t>
      </w:r>
      <w:r w:rsidRPr="000D3BCB">
        <w:t xml:space="preserve"> </w:t>
      </w:r>
      <w:r w:rsidRPr="00E7180D">
        <w:rPr>
          <w:rFonts w:eastAsia="Times New Roman"/>
        </w:rPr>
        <w:t>k pozemku nebo stavbě na adresu, kterou vlastník nemovi</w:t>
      </w:r>
      <w:r w:rsidRPr="00E7180D">
        <w:rPr>
          <w:rFonts w:eastAsia="Times New Roman"/>
        </w:rPr>
        <w:t>tosti předem písemně sdělil, na adresu místa trvalého pobytu vlastníka nemovitosti</w:t>
      </w:r>
      <w:r w:rsidR="00AE7BBD" w:rsidRPr="00E7180D">
        <w:rPr>
          <w:rFonts w:eastAsia="Times New Roman"/>
        </w:rPr>
        <w:t>,</w:t>
      </w:r>
      <w:r w:rsidRPr="00E7180D">
        <w:rPr>
          <w:rFonts w:eastAsia="Times New Roman"/>
        </w:rPr>
        <w:t xml:space="preserve"> </w:t>
      </w:r>
      <w:r w:rsidR="00AE7BBD" w:rsidRPr="00E7180D">
        <w:rPr>
          <w:rFonts w:eastAsia="Times New Roman"/>
        </w:rPr>
        <w:t xml:space="preserve">na </w:t>
      </w:r>
      <w:r w:rsidRPr="00E7180D">
        <w:rPr>
          <w:rFonts w:eastAsia="Times New Roman"/>
        </w:rPr>
        <w:t>jeho adresu bydliště v cizině nebo na adresu evidovanou v katastru nemovitostí, jde-li o fyzickou osobu, nebo</w:t>
      </w:r>
      <w:r w:rsidR="00845BEE" w:rsidRPr="00E7180D">
        <w:rPr>
          <w:rFonts w:eastAsia="Times New Roman"/>
        </w:rPr>
        <w:t xml:space="preserve"> </w:t>
      </w:r>
      <w:r w:rsidRPr="00E7180D">
        <w:rPr>
          <w:rFonts w:eastAsia="Times New Roman"/>
        </w:rPr>
        <w:t>na adresu sídla evidovanou v katastru nemovitostí, jde-li o</w:t>
      </w:r>
      <w:r w:rsidRPr="00E7180D">
        <w:rPr>
          <w:rFonts w:eastAsia="Times New Roman"/>
        </w:rPr>
        <w:t xml:space="preserve"> právnickou osobu</w:t>
      </w:r>
      <w:r w:rsidR="00AE7BBD" w:rsidRPr="00E7180D">
        <w:rPr>
          <w:rFonts w:eastAsia="Times New Roman"/>
        </w:rPr>
        <w:t xml:space="preserve">, </w:t>
      </w:r>
      <w:r w:rsidRPr="00E7180D">
        <w:rPr>
          <w:rFonts w:eastAsia="Times New Roman"/>
        </w:rPr>
        <w:t>a tím vyvlastnitel prokáže, že se pokusil získat potřebná práva dohodou, pokud se mu v 90denní lhůtě, která uplyne od doručení na uvedené adresy, nepodaří smlouvu uzavřít.</w:t>
      </w:r>
      <w:r w:rsidR="008567DC" w:rsidRPr="008567DC">
        <w:t xml:space="preserve"> </w:t>
      </w:r>
      <w:r w:rsidR="004C6E41">
        <w:t xml:space="preserve">Toto </w:t>
      </w:r>
      <w:r w:rsidR="004C6E41">
        <w:rPr>
          <w:rFonts w:eastAsia="Times New Roman"/>
        </w:rPr>
        <w:t>u</w:t>
      </w:r>
      <w:r w:rsidR="004C6E41" w:rsidRPr="008567DC">
        <w:rPr>
          <w:rFonts w:eastAsia="Times New Roman"/>
        </w:rPr>
        <w:t xml:space="preserve">stanovení bylo doplněno zákonem č. 403/2020 Sb., který </w:t>
      </w:r>
      <w:r w:rsidR="00EC72AA">
        <w:rPr>
          <w:rFonts w:eastAsia="Times New Roman"/>
        </w:rPr>
        <w:t>nabyl</w:t>
      </w:r>
      <w:r w:rsidR="004C6E41" w:rsidRPr="008567DC">
        <w:rPr>
          <w:rFonts w:eastAsia="Times New Roman"/>
        </w:rPr>
        <w:t xml:space="preserve"> účinnosti dnem</w:t>
      </w:r>
      <w:r w:rsidR="004C6E41">
        <w:rPr>
          <w:rFonts w:eastAsia="Times New Roman"/>
        </w:rPr>
        <w:t xml:space="preserve"> 1. 1. 2021. </w:t>
      </w:r>
      <w:r w:rsidR="004C6E41" w:rsidRPr="00E7180D">
        <w:rPr>
          <w:rFonts w:eastAsia="Times New Roman"/>
        </w:rPr>
        <w:t xml:space="preserve"> </w:t>
      </w:r>
      <w:r w:rsidR="00A87D15">
        <w:rPr>
          <w:rFonts w:eastAsia="Times New Roman"/>
        </w:rPr>
        <w:t>Nově plat</w:t>
      </w:r>
      <w:r w:rsidR="00EC72AA">
        <w:rPr>
          <w:rFonts w:eastAsia="Times New Roman"/>
        </w:rPr>
        <w:t>í</w:t>
      </w:r>
      <w:r w:rsidR="00A87D15">
        <w:rPr>
          <w:rFonts w:eastAsia="Times New Roman"/>
        </w:rPr>
        <w:t>, že p</w:t>
      </w:r>
      <w:r w:rsidR="008567DC" w:rsidRPr="008567DC">
        <w:rPr>
          <w:rFonts w:eastAsia="Times New Roman"/>
        </w:rPr>
        <w:t>okud se doruč</w:t>
      </w:r>
      <w:r w:rsidR="00394BE6">
        <w:rPr>
          <w:rFonts w:eastAsia="Times New Roman"/>
        </w:rPr>
        <w:t>uje</w:t>
      </w:r>
      <w:r w:rsidR="008567DC" w:rsidRPr="008567DC">
        <w:rPr>
          <w:rFonts w:eastAsia="Times New Roman"/>
        </w:rPr>
        <w:t xml:space="preserve"> do ciziny, </w:t>
      </w:r>
      <w:r w:rsidR="00394BE6">
        <w:rPr>
          <w:rFonts w:eastAsia="Times New Roman"/>
        </w:rPr>
        <w:t>platí</w:t>
      </w:r>
      <w:r w:rsidR="008567DC" w:rsidRPr="008567DC">
        <w:rPr>
          <w:rFonts w:eastAsia="Times New Roman"/>
        </w:rPr>
        <w:t xml:space="preserve">, že dnem doručení </w:t>
      </w:r>
      <w:r w:rsidR="00394BE6">
        <w:rPr>
          <w:rFonts w:eastAsia="Times New Roman"/>
        </w:rPr>
        <w:t>j</w:t>
      </w:r>
      <w:r w:rsidR="00A87D15">
        <w:rPr>
          <w:rFonts w:eastAsia="Times New Roman"/>
        </w:rPr>
        <w:t>e</w:t>
      </w:r>
      <w:r w:rsidR="008567DC" w:rsidRPr="008567DC">
        <w:rPr>
          <w:rFonts w:eastAsia="Times New Roman"/>
        </w:rPr>
        <w:t xml:space="preserve"> třicátý den ode dne, kdy vyvlastnitel odeslal návrh na uzavření smlouvy prostřednictvím provozovatele poštovních služeb.  </w:t>
      </w:r>
    </w:p>
    <w:p w:rsidR="00032A5F" w:rsidRPr="00E7180D" w:rsidRDefault="000865D6">
      <w:pPr>
        <w:pStyle w:val="Normln-tun"/>
        <w:numPr>
          <w:ilvl w:val="0"/>
          <w:numId w:val="77"/>
        </w:numPr>
        <w:ind w:left="426" w:hanging="426"/>
      </w:pPr>
      <w:r w:rsidRPr="00AE356C">
        <w:t xml:space="preserve">Získávají-li se práva </w:t>
      </w:r>
      <w:r>
        <w:t>s</w:t>
      </w:r>
      <w:r w:rsidRPr="00AE356C">
        <w:t>mlouv</w:t>
      </w:r>
      <w:r>
        <w:t>ou</w:t>
      </w:r>
      <w:r w:rsidRPr="00AE356C">
        <w:t xml:space="preserve"> o získání potřebných práv k pozemku nebo ke stavbě</w:t>
      </w:r>
      <w:r>
        <w:t>,</w:t>
      </w:r>
      <w:r w:rsidRPr="00AE356C">
        <w:t xml:space="preserve"> </w:t>
      </w:r>
      <w:r>
        <w:t>p</w:t>
      </w:r>
      <w:r w:rsidRPr="00E7180D">
        <w:t>ředkupní právo spoluvlastníka vzniklé ze zákona nebo zřízené smlouvou se neuplatní. Podle obecné úpravy se předkupní právo vzniklé z</w:t>
      </w:r>
      <w:r>
        <w:t>e</w:t>
      </w:r>
      <w:r w:rsidRPr="00E7180D">
        <w:t xml:space="preserve"> zákona nebo smluvně neuplatní až </w:t>
      </w:r>
      <w:r>
        <w:t>při</w:t>
      </w:r>
      <w:r w:rsidRPr="00E7180D">
        <w:t xml:space="preserve"> vyvlastňovacím řízení. </w:t>
      </w:r>
    </w:p>
    <w:p w:rsidR="00032A5F" w:rsidRPr="00E7180D" w:rsidRDefault="000865D6">
      <w:pPr>
        <w:pStyle w:val="Normln-tun"/>
        <w:numPr>
          <w:ilvl w:val="0"/>
          <w:numId w:val="77"/>
        </w:numPr>
        <w:ind w:left="426" w:hanging="426"/>
      </w:pPr>
      <w:r w:rsidRPr="00E7180D">
        <w:t xml:space="preserve">Jde-li </w:t>
      </w:r>
      <w:r w:rsidRPr="00E7180D">
        <w:t>o vyvlastnění pro stavby dopravní</w:t>
      </w:r>
      <w:r w:rsidR="00D23745">
        <w:t>,</w:t>
      </w:r>
      <w:r w:rsidRPr="00E7180D">
        <w:t xml:space="preserve"> </w:t>
      </w:r>
      <w:r w:rsidR="00D23745" w:rsidRPr="00D23745">
        <w:t xml:space="preserve">vodní nebo </w:t>
      </w:r>
      <w:r w:rsidRPr="00E7180D">
        <w:t xml:space="preserve">energetické infrastruktury, musí se vyvlastnitel prokazatelně snažit jednat s vyvlastňovaným, a to minimálně posledních 30 dnů před podáním žádosti o vyvlastnění. Obecná úprava nebrání vyvlastniteli v tom, aby </w:t>
      </w:r>
      <w:r w:rsidRPr="00E7180D">
        <w:t>s vyvlastňovaným kdykoli před podáním žádosti jednal, ale nestanoví mu takovou povinnost.</w:t>
      </w:r>
    </w:p>
    <w:p w:rsidR="00032A5F" w:rsidRPr="00E7180D" w:rsidRDefault="000865D6">
      <w:pPr>
        <w:pStyle w:val="Normln-tun"/>
        <w:numPr>
          <w:ilvl w:val="0"/>
          <w:numId w:val="77"/>
        </w:numPr>
        <w:ind w:left="426" w:hanging="426"/>
      </w:pPr>
      <w:r w:rsidRPr="00E7180D">
        <w:lastRenderedPageBreak/>
        <w:t xml:space="preserve">Byla-li práva převedena smlouvou za účelem realizace infrastruktury dopravní, energetické </w:t>
      </w:r>
      <w:r w:rsidRPr="00E7180D">
        <w:br/>
        <w:t xml:space="preserve">a infrastruktury elektronických komunikací lhůta pro navrácení práv činí 5 </w:t>
      </w:r>
      <w:r w:rsidRPr="00E7180D">
        <w:t xml:space="preserve">let od uzavření smlouvy.  Obecná úprava stanoví, bez ohledu na účel, lhůtu 3 roky.   </w:t>
      </w:r>
    </w:p>
    <w:p w:rsidR="00EE51E1" w:rsidRDefault="000865D6">
      <w:pPr>
        <w:pStyle w:val="Normln-tun"/>
        <w:numPr>
          <w:ilvl w:val="0"/>
          <w:numId w:val="77"/>
        </w:numPr>
        <w:ind w:left="426" w:hanging="426"/>
      </w:pPr>
      <w:r w:rsidRPr="00E7180D">
        <w:t xml:space="preserve">Pro dopravní infrastrukturu </w:t>
      </w:r>
      <w:r w:rsidR="002C21F0" w:rsidRPr="002C21F0">
        <w:t xml:space="preserve">a infrastruktury elektronických komunikací nebo energetické infrastruktury </w:t>
      </w:r>
      <w:r w:rsidRPr="00E7180D">
        <w:t xml:space="preserve">upravuje </w:t>
      </w:r>
      <w:r>
        <w:t>s</w:t>
      </w:r>
      <w:r w:rsidRPr="00EE51E1">
        <w:t xml:space="preserve">tanovení kupní ceny </w:t>
      </w:r>
      <w:r w:rsidRPr="00E7180D">
        <w:t>§ 3b zákona</w:t>
      </w:r>
      <w:r>
        <w:t>:</w:t>
      </w:r>
    </w:p>
    <w:p w:rsidR="00032A5F" w:rsidRPr="000D3BCB" w:rsidRDefault="000865D6" w:rsidP="00EE51E1">
      <w:pPr>
        <w:pStyle w:val="Normln-tun"/>
        <w:ind w:left="426"/>
      </w:pPr>
      <w:r w:rsidRPr="00E7180D">
        <w:t>Získávají-li se potřebná</w:t>
      </w:r>
      <w:r w:rsidRPr="00E7180D">
        <w:t xml:space="preserve"> práva koupí, sjednává se v kupní smlouvě kupní cena ve výši</w:t>
      </w:r>
    </w:p>
    <w:p w:rsidR="00032A5F" w:rsidRPr="000D3BCB" w:rsidRDefault="000865D6">
      <w:pPr>
        <w:pStyle w:val="Normln-tun"/>
        <w:numPr>
          <w:ilvl w:val="0"/>
          <w:numId w:val="78"/>
        </w:numPr>
      </w:pPr>
      <w:r w:rsidRPr="00E7180D">
        <w:t>ceny stanovené znaleckým posudkem vynásobené koeficientem 8 v případě pozemku s výjimkou stavebního pozemku), nebo</w:t>
      </w:r>
    </w:p>
    <w:p w:rsidR="00032A5F" w:rsidRPr="000D3BCB" w:rsidRDefault="000865D6">
      <w:pPr>
        <w:pStyle w:val="Normln-tun"/>
        <w:numPr>
          <w:ilvl w:val="0"/>
          <w:numId w:val="78"/>
        </w:numPr>
      </w:pPr>
      <w:r w:rsidRPr="00E7180D">
        <w:t>ceny stanovené znaleckým posudkem vynásobené koeficientem 1,5 v případě stavební</w:t>
      </w:r>
      <w:r w:rsidRPr="00E7180D">
        <w:t>ho pozemku nebo stavby.</w:t>
      </w:r>
    </w:p>
    <w:p w:rsidR="00032A5F" w:rsidRPr="000D3BCB" w:rsidRDefault="000865D6" w:rsidP="00D15787">
      <w:pPr>
        <w:pStyle w:val="Normln-tun"/>
        <w:ind w:left="426"/>
      </w:pPr>
      <w:r w:rsidRPr="00E7180D">
        <w:t xml:space="preserve">Získávají-li se potřebná práva </w:t>
      </w:r>
      <w:r w:rsidR="00A91893">
        <w:t>s</w:t>
      </w:r>
      <w:r w:rsidRPr="00E7180D">
        <w:t>mlouvou o zřízení, změně nebo zrušení práva odpovídajícího věcnému břemenu nebo práva stavby, sjednává se výše úplaty ve výši 10 000 Kč.</w:t>
      </w:r>
    </w:p>
    <w:p w:rsidR="00032A5F" w:rsidRPr="000D3BCB" w:rsidRDefault="000865D6" w:rsidP="00A91893">
      <w:pPr>
        <w:pStyle w:val="Normln-tun"/>
        <w:ind w:left="426"/>
      </w:pPr>
      <w:r w:rsidRPr="00E7180D">
        <w:t>Získávají-li se potřebná práva za úplatu od právnické osoby zří</w:t>
      </w:r>
      <w:r w:rsidRPr="00E7180D">
        <w:t xml:space="preserve">zené zákonem nebo zřízené nebo založené státem, vůči níž je stát ovládající osobou, </w:t>
      </w:r>
      <w:r w:rsidR="00954E4A">
        <w:t>násobky se nepoužijí</w:t>
      </w:r>
      <w:r w:rsidRPr="00E7180D">
        <w:t>.</w:t>
      </w:r>
    </w:p>
    <w:p w:rsidR="00032A5F" w:rsidRPr="000D3BCB" w:rsidRDefault="000865D6" w:rsidP="00A91893">
      <w:pPr>
        <w:pStyle w:val="Normln-tun"/>
        <w:ind w:left="426"/>
      </w:pPr>
      <w:r>
        <w:t>Předchozí o</w:t>
      </w:r>
      <w:r w:rsidRPr="00E7180D">
        <w:t>dstavce se použijí na získávání potřebných práv,</w:t>
      </w:r>
      <w:r>
        <w:t xml:space="preserve"> </w:t>
      </w:r>
      <w:r w:rsidRPr="00E7180D">
        <w:t>je-li jejich nabyvatelem Česká republika nebo právnická osoba zřízená zákonem nebo zřízená</w:t>
      </w:r>
      <w:r w:rsidRPr="00E7180D">
        <w:t xml:space="preserve"> nebo založená státem, vůči níž je stát ovládající osobou, nebo</w:t>
      </w:r>
      <w:r>
        <w:t xml:space="preserve"> </w:t>
      </w:r>
      <w:r w:rsidRPr="00E7180D">
        <w:t>jde-li o zřízení, změnu nebo zrušení práva odpovídajícího věcnému břemenu nebo práva stavby za účelem provedení přeložky inženýrské sítě v souvislosti se stavbou dálnice nebo silnice I. třídy.</w:t>
      </w:r>
    </w:p>
    <w:p w:rsidR="00032A5F" w:rsidRPr="000D3BCB" w:rsidRDefault="000865D6" w:rsidP="00A91893">
      <w:pPr>
        <w:pStyle w:val="Normln-tun"/>
        <w:ind w:left="426"/>
      </w:pPr>
      <w:r>
        <w:t>Předchozí p</w:t>
      </w:r>
      <w:r w:rsidRPr="00E7180D">
        <w:t>ostup lze rozšířit i na právo k pozemku nebo stavbě, které není nezbytné pro uskutečnění stavby dopravní infrastruktury, pokud by v důsledku převodu práv tento pozemek nebo stavbu nebylo možné užívat vůbec nebo jen s nepřiměřenými obtížemi.</w:t>
      </w:r>
    </w:p>
    <w:p w:rsidR="00032A5F" w:rsidRPr="00E7180D" w:rsidRDefault="000865D6">
      <w:pPr>
        <w:pStyle w:val="Normln-tun"/>
        <w:numPr>
          <w:ilvl w:val="0"/>
          <w:numId w:val="77"/>
        </w:numPr>
        <w:ind w:left="426" w:hanging="426"/>
      </w:pPr>
      <w:r w:rsidRPr="00E7180D">
        <w:t>U s</w:t>
      </w:r>
      <w:r w:rsidRPr="00E7180D">
        <w:t xml:space="preserve">tavby dopravní infrastruktury, energetické infrastruktury a infrastruktury elektronických komunikací nesmí být lhůta stanovená pro zahájení uskutečňování účelu vyvlastnění delší než 4 roky od právní moci rozhodnutí o vyvlastnění; na žádost vyvlastňovaného </w:t>
      </w:r>
      <w:r w:rsidRPr="00E7180D">
        <w:t>lze tuto lhůtu jedenkrát prodloužit maximálně o 2 roky – (obecná úprava stanoví obě lhůty maximálně 2 roky).</w:t>
      </w:r>
    </w:p>
    <w:p w:rsidR="00A13C65" w:rsidRDefault="000865D6">
      <w:pPr>
        <w:pStyle w:val="Normln-tun"/>
        <w:numPr>
          <w:ilvl w:val="0"/>
          <w:numId w:val="77"/>
        </w:numPr>
        <w:ind w:left="426" w:hanging="426"/>
      </w:pPr>
      <w:r w:rsidRPr="00E7180D">
        <w:t xml:space="preserve">Použití instrumentu </w:t>
      </w:r>
      <w:r w:rsidR="00C256CC">
        <w:t>v</w:t>
      </w:r>
      <w:r w:rsidR="00C256CC" w:rsidRPr="00E7180D">
        <w:t xml:space="preserve">yvlastnění mezitímním rozhodnutím </w:t>
      </w:r>
      <w:r w:rsidRPr="00E7180D">
        <w:t xml:space="preserve">je </w:t>
      </w:r>
      <w:r w:rsidR="00177346">
        <w:t>omeze</w:t>
      </w:r>
      <w:r w:rsidRPr="00E7180D">
        <w:t>no na dopravní</w:t>
      </w:r>
      <w:r w:rsidR="00177346">
        <w:t>,</w:t>
      </w:r>
      <w:r w:rsidRPr="00E7180D">
        <w:t xml:space="preserve"> </w:t>
      </w:r>
      <w:r w:rsidR="00394BE6" w:rsidRPr="00394BE6">
        <w:t>vodní nebo energetick</w:t>
      </w:r>
      <w:r w:rsidR="00236C9F">
        <w:t>ou</w:t>
      </w:r>
      <w:r w:rsidR="00394BE6" w:rsidRPr="00394BE6">
        <w:t xml:space="preserve"> </w:t>
      </w:r>
      <w:r w:rsidR="00394BE6" w:rsidRPr="00E7180D">
        <w:t>infrastrukturu</w:t>
      </w:r>
      <w:r w:rsidR="00394BE6">
        <w:t xml:space="preserve">, </w:t>
      </w:r>
      <w:r w:rsidR="00394BE6" w:rsidRPr="00394BE6">
        <w:t>vymezen</w:t>
      </w:r>
      <w:r w:rsidR="00236C9F">
        <w:t>ou</w:t>
      </w:r>
      <w:r w:rsidR="00394BE6" w:rsidRPr="00394BE6">
        <w:t xml:space="preserve"> v územním rozvojovém plánu nebo v zásadách územního rozvoje</w:t>
      </w:r>
      <w:r w:rsidR="00394BE6">
        <w:t xml:space="preserve">, </w:t>
      </w:r>
      <w:r w:rsidRPr="00E7180D">
        <w:t>a to pouze pro konkrétní záměry stanovené v příloze zákona o urychlení výstavby.  Jde o stavby dálnic, silnic, drah, infrastruktury pro vodní a pro leteckou dopravu konkrétně uvedené v příloze k</w:t>
      </w:r>
      <w:r w:rsidRPr="00E7180D">
        <w:t> zákonu. Dojde-li vyvlastňovací úřad ve vyvlastňovacím řízení, které se týká práva k pozemku nebo ke stavbě potřebného k uskutečnění uvedených staveb k závěru, že podmínky pro vyvlastnění jsou splněny, vydá rozhodnutí, kterým uvedená práva vyvlastní – mezi</w:t>
      </w:r>
      <w:r w:rsidRPr="00E7180D">
        <w:t>tímní rozhodnutí, ale nerozhoduje zároveň o náhradě. Proti mezitímnímu rozhodnutí se nelze odvolat, pouze podat správní žalobu.</w:t>
      </w:r>
      <w:r w:rsidR="00F730BE">
        <w:t xml:space="preserve"> </w:t>
      </w:r>
    </w:p>
    <w:p w:rsidR="00F730BE" w:rsidRDefault="000865D6" w:rsidP="0081232D">
      <w:pPr>
        <w:pStyle w:val="Normln-tun"/>
        <w:ind w:left="426"/>
      </w:pPr>
      <w:r>
        <w:t>Zákonem č. 403/2020 Sb., účinným od 1. 1. 2021 a novelizujícím zákon č. 416/2020 Sb., byl režim vyvlastnění mezitímním rozhodnu</w:t>
      </w:r>
      <w:r>
        <w:t xml:space="preserve">tím rozšířen na další stavby dopravní infrastruktury a také na stavby energetické </w:t>
      </w:r>
      <w:r w:rsidR="0069109F">
        <w:t>a</w:t>
      </w:r>
      <w:r>
        <w:t xml:space="preserve"> vodní infrastruktury doplněné do přílohy. Jde například o nový jaderný zdroj v lokalitě Temelín nebo nový jaderný zdroj v lokalitě Dukovany</w:t>
      </w:r>
      <w:r w:rsidR="0069109F">
        <w:t>,</w:t>
      </w:r>
      <w:r>
        <w:t xml:space="preserve"> z vodní infrastruktury je to na</w:t>
      </w:r>
      <w:r>
        <w:t>příklad vodní dílo Nové Heřm</w:t>
      </w:r>
      <w:r w:rsidR="0069109F">
        <w:t>i</w:t>
      </w:r>
      <w:r>
        <w:t xml:space="preserve">novy </w:t>
      </w:r>
      <w:r>
        <w:lastRenderedPageBreak/>
        <w:t xml:space="preserve">nebo vodní dílo Senomaty.  Možnost vyvlastnit s použitím mezitímního rozhodnutí byla rozšířena také na další stavby energetické infrastruktury neuvedené v příloze, avšak v těchto případech </w:t>
      </w:r>
      <w:r w:rsidR="005D520B">
        <w:t>j</w:t>
      </w:r>
      <w:r>
        <w:t>e odvolání proti mezitímnímu roz</w:t>
      </w:r>
      <w:r>
        <w:t xml:space="preserve">hodnutí přípustné (§ 4b). </w:t>
      </w:r>
      <w:r w:rsidR="0081232D">
        <w:t xml:space="preserve">U strategických dopravních staveb (stavby dálnic nebo silnic I. třídy nebo stavby s nimi související, stavby dráhy celostátní nebo stavby s nimi související,) </w:t>
      </w:r>
      <w:r w:rsidR="00755D33">
        <w:t>může</w:t>
      </w:r>
      <w:r w:rsidR="0081232D">
        <w:t xml:space="preserve"> o</w:t>
      </w:r>
      <w:r>
        <w:t>právněný investor společně s žádostí o vydání rozhodnutí podle st</w:t>
      </w:r>
      <w:r>
        <w:t>avebního zákona, kterým se umisťuje stavba dopravní infrastruktury (například stavba dálnice, silnice I. třídy nebo celostátní dráhy) požádat příslušný stavební úřad o vydání mezitímního rozhodnutí o vyvlastnění práv potřebných k realizaci těchto staveb. S</w:t>
      </w:r>
      <w:r>
        <w:t xml:space="preserve">tavební úřad pak vede vyvlastňovací řízení společně s řízením o umístění nebo povolení stavby, jehož výsledkem </w:t>
      </w:r>
      <w:r w:rsidR="00755D33">
        <w:t>je</w:t>
      </w:r>
      <w:r>
        <w:t xml:space="preserve"> společné rozhodnutí, kterým se stavba povolí a zároveň se mezitímním rozhodnutím práva potřebné při její realizaci vyvlastní. Spojit řízení o </w:t>
      </w:r>
      <w:r>
        <w:t xml:space="preserve">povolení stavby s vyvlastněním práv potřebných pro její realizaci </w:t>
      </w:r>
      <w:r w:rsidR="00755D33">
        <w:t>j</w:t>
      </w:r>
      <w:r w:rsidR="00914A71">
        <w:t>e možné</w:t>
      </w:r>
      <w:r>
        <w:t xml:space="preserve"> také pro stavbu energetické infrastruktury (stavby a zařízení přenosové soustavy nebo výrobny elektřiny o celkovém instalovaném výkonu 100 MW a více). </w:t>
      </w:r>
      <w:r w:rsidR="00755D33">
        <w:t>J</w:t>
      </w:r>
      <w:r w:rsidR="007C34D5">
        <w:t>e</w:t>
      </w:r>
      <w:r>
        <w:t xml:space="preserve"> např. též v úpravě znalecké</w:t>
      </w:r>
      <w:r>
        <w:t>ho posudku a v určování ceny pozemku nebo stavby.</w:t>
      </w:r>
    </w:p>
    <w:p w:rsidR="00032A5F" w:rsidRPr="00E7180D" w:rsidRDefault="000865D6">
      <w:pPr>
        <w:pStyle w:val="Normln-tun"/>
        <w:numPr>
          <w:ilvl w:val="0"/>
          <w:numId w:val="77"/>
        </w:numPr>
        <w:ind w:left="426" w:hanging="426"/>
      </w:pPr>
      <w:r w:rsidRPr="00E7180D">
        <w:t xml:space="preserve">Do 60 dnů od právní moci mezitímního rozhodnutí </w:t>
      </w:r>
      <w:r w:rsidR="005D520B">
        <w:t xml:space="preserve">musí </w:t>
      </w:r>
      <w:r w:rsidRPr="00E7180D">
        <w:t xml:space="preserve">vyvlastnitel </w:t>
      </w:r>
      <w:r w:rsidR="005D520B" w:rsidRPr="00E7180D">
        <w:t>zaplat</w:t>
      </w:r>
      <w:r w:rsidR="005D520B">
        <w:t>it</w:t>
      </w:r>
      <w:r w:rsidR="005D520B" w:rsidRPr="00E7180D">
        <w:t xml:space="preserve"> </w:t>
      </w:r>
      <w:r w:rsidRPr="00E7180D">
        <w:t>vyvlastňovanému zálohu na náhradu za vyvlastnění ve výši stanovené znaleckým posudkem, který připojil k návrhu smlouvy o získání pr</w:t>
      </w:r>
      <w:r w:rsidRPr="00E7180D">
        <w:t xml:space="preserve">áv k pozemku nebo ke stavbě. Teprve na základě rozhodnutí ve zbytku věci mezi nimi dojde k definitivnímu finančnímu vyrovnání. Stavba však může být zahájena ihned po </w:t>
      </w:r>
      <w:r w:rsidR="00933EFA">
        <w:t xml:space="preserve">nabytí </w:t>
      </w:r>
      <w:r w:rsidRPr="00E7180D">
        <w:t>právní moci mezitímního rozhodnutí. Je-li náhrada za vyvlastnění stanovená v rozhod</w:t>
      </w:r>
      <w:r w:rsidRPr="00E7180D">
        <w:t xml:space="preserve">nutí o zbytku věci vyšší než zaplacená záloha na náhradu za vyvlastnění, vyvlastnitel vyrovná rozdíl nejpozději do 60 dnů od právní moci rozhodnutí o zbytku věci. Je-li náhrada za vyvlastnění stanovená v rozhodnutí o zbytku věci nižší než zaplacená záloha </w:t>
      </w:r>
      <w:r w:rsidRPr="00E7180D">
        <w:t>na náhradu za vyvlastnění, vyvlastňovaný vrátí rozdíl nejpozději do 60 dnů od právní moci rozhodnutí o zbytku věci.</w:t>
      </w:r>
    </w:p>
    <w:p w:rsidR="00C20A62" w:rsidRPr="00795817" w:rsidRDefault="000865D6" w:rsidP="000565BF">
      <w:pPr>
        <w:pStyle w:val="Normln-tun"/>
      </w:pPr>
      <w:r w:rsidRPr="00E7180D">
        <w:t>V praxi přináší problém již samotná existence zákona č. 416/2009 Sb. a roztříštěnost právní úpravy, která z</w:t>
      </w:r>
      <w:r w:rsidR="00AC5455">
        <w:t xml:space="preserve"> </w:t>
      </w:r>
      <w:r w:rsidRPr="00E7180D">
        <w:t xml:space="preserve">tohoto vyplývá. </w:t>
      </w:r>
      <w:r w:rsidR="00F07156" w:rsidRPr="00784FF0">
        <w:t>V zákoně č. 416/2009 Sb. je obtížná orientace. Některá ustanovení týkající se vyvlastnění se vztahují pouze na dopravní infrastrukturu, jiná na dopravní, vodní a energetickou infrastrukturu, další zahrnují také infrastrukturu elektronických komunikací.  Mezitímní rozhodnutí může být užito pro vyvlastnění práv potřebných k</w:t>
      </w:r>
      <w:r w:rsidR="00AC5455">
        <w:t xml:space="preserve"> </w:t>
      </w:r>
      <w:r w:rsidR="00F07156" w:rsidRPr="00784FF0">
        <w:t>uskutečnění staveb dopravní infrastruktury uvedených v</w:t>
      </w:r>
      <w:r w:rsidR="00AC5455">
        <w:t xml:space="preserve"> </w:t>
      </w:r>
      <w:r w:rsidR="00F07156" w:rsidRPr="00784FF0">
        <w:t>příloze k</w:t>
      </w:r>
      <w:r w:rsidR="00AC5455">
        <w:t xml:space="preserve"> </w:t>
      </w:r>
      <w:r w:rsidR="00F07156" w:rsidRPr="00784FF0">
        <w:t>zákonu; po novele (zák</w:t>
      </w:r>
      <w:r w:rsidR="00784FF0">
        <w:t>on</w:t>
      </w:r>
      <w:r w:rsidR="00F07156" w:rsidRPr="00784FF0">
        <w:t xml:space="preserve"> č. 403/2020 Sb.) také k uskutečnění staveb energetické a vodní infrastruktury do přílohy doplněných.</w:t>
      </w:r>
      <w:r w:rsidR="004E3360">
        <w:t xml:space="preserve"> </w:t>
      </w:r>
      <w:r w:rsidR="00F07156" w:rsidRPr="00784FF0">
        <w:t>V těchto případech jde o mezitímní rozhodnutí o vyvlastnění, proti kterému je odvolání nepřípustné a vyvlastňovaný může přímo podat žalobu ke správnímu soudu. Pro ostatní stavby energetické infrastruktury</w:t>
      </w:r>
      <w:r w:rsidR="00933EFA">
        <w:t>,</w:t>
      </w:r>
      <w:r w:rsidR="00F07156" w:rsidRPr="00784FF0">
        <w:t xml:space="preserve"> </w:t>
      </w:r>
      <w:r w:rsidR="00933EFA" w:rsidRPr="00933EFA">
        <w:t>v příloze k tomuto zákonu</w:t>
      </w:r>
      <w:r w:rsidR="00933EFA">
        <w:t xml:space="preserve"> </w:t>
      </w:r>
      <w:r w:rsidR="00933EFA" w:rsidRPr="00933EFA">
        <w:t>neuvedené</w:t>
      </w:r>
      <w:r w:rsidR="00933EFA">
        <w:t>,</w:t>
      </w:r>
      <w:r w:rsidR="00933EFA" w:rsidRPr="00933EFA">
        <w:t xml:space="preserve"> </w:t>
      </w:r>
      <w:r w:rsidR="00F07156" w:rsidRPr="00784FF0">
        <w:t>může být využito mezitímní rozhodnutí rovněž, avšak v</w:t>
      </w:r>
      <w:r w:rsidR="00AC5455">
        <w:t xml:space="preserve"> </w:t>
      </w:r>
      <w:r w:rsidR="00F07156" w:rsidRPr="00784FF0">
        <w:t xml:space="preserve">těchto případech je již odvolání přípustné. Novela přinesla další specifickou úpravu umožňující vést společné řízení o povolení stavby a mezitímní rozhodnutí o vyvlastnění týkající se vymezených staveb dopravní infrastruktury a infrastruktury energetické. </w:t>
      </w:r>
      <w:r w:rsidR="00963679">
        <w:t>I</w:t>
      </w:r>
      <w:r w:rsidR="00F07156" w:rsidRPr="00784FF0">
        <w:t xml:space="preserve"> v</w:t>
      </w:r>
      <w:r w:rsidR="00AC5455">
        <w:t xml:space="preserve"> </w:t>
      </w:r>
      <w:r w:rsidR="00F07156" w:rsidRPr="00784FF0">
        <w:t xml:space="preserve">těchto případech jsou rozdíly týkající se znaleckého posudku. </w:t>
      </w:r>
      <w:r w:rsidR="00963679">
        <w:t>P</w:t>
      </w:r>
      <w:r w:rsidR="00784FF0">
        <w:t>roto</w:t>
      </w:r>
      <w:r w:rsidR="00784FF0" w:rsidRPr="00E7180D">
        <w:t xml:space="preserve"> často dochází k pochybení při jeho aplikaci. </w:t>
      </w:r>
      <w:r w:rsidR="00784FF0">
        <w:t>Ř</w:t>
      </w:r>
      <w:r w:rsidR="00784FF0" w:rsidRPr="00E7180D">
        <w:t xml:space="preserve">ešením </w:t>
      </w:r>
      <w:r w:rsidR="004E3360">
        <w:t>by mohlo být</w:t>
      </w:r>
      <w:r w:rsidR="00784FF0">
        <w:t xml:space="preserve"> </w:t>
      </w:r>
      <w:r w:rsidR="00784FF0" w:rsidRPr="00E7180D">
        <w:t xml:space="preserve">speciální úpravu vyvlastnění z tohoto zákona úplně vypustit a instituty, které </w:t>
      </w:r>
      <w:r w:rsidR="00784FF0" w:rsidRPr="000D3BCB">
        <w:t>mají být</w:t>
      </w:r>
      <w:r w:rsidR="00784FF0" w:rsidRPr="00E7180D">
        <w:t xml:space="preserve"> zachovány, včlenit přímo do nového zákona o vyvlastnění.</w:t>
      </w:r>
      <w:r w:rsidR="004E3360">
        <w:t xml:space="preserve"> Výhody a nevýhody tohoto řešení budou diskutovány dále.</w:t>
      </w:r>
    </w:p>
    <w:p w:rsidR="00CD554D" w:rsidRDefault="00CD554D" w:rsidP="004A6811">
      <w:pPr>
        <w:pStyle w:val="Normln-tun"/>
        <w:rPr>
          <w:b/>
          <w:bCs/>
        </w:rPr>
      </w:pPr>
    </w:p>
    <w:p w:rsidR="00FC2B13" w:rsidRDefault="000865D6">
      <w:pPr>
        <w:spacing w:before="0" w:after="0"/>
        <w:jc w:val="left"/>
        <w:rPr>
          <w:rFonts w:ascii="Cambria" w:hAnsi="Cambria"/>
          <w:b/>
          <w:bCs/>
          <w:smallCaps/>
        </w:rPr>
      </w:pPr>
      <w:r>
        <w:rPr>
          <w:b/>
          <w:bCs/>
          <w:smallCaps/>
        </w:rPr>
        <w:br w:type="page"/>
      </w:r>
    </w:p>
    <w:p w:rsidR="009C239B" w:rsidRPr="00CD554D" w:rsidRDefault="000865D6" w:rsidP="004A6811">
      <w:pPr>
        <w:pStyle w:val="Normln-tun"/>
        <w:rPr>
          <w:b/>
          <w:bCs/>
          <w:smallCaps/>
        </w:rPr>
      </w:pPr>
      <w:r w:rsidRPr="00CD554D">
        <w:rPr>
          <w:b/>
          <w:bCs/>
          <w:smallCaps/>
        </w:rPr>
        <w:lastRenderedPageBreak/>
        <w:t xml:space="preserve">Účel </w:t>
      </w:r>
      <w:r w:rsidR="004A6811" w:rsidRPr="00CD554D">
        <w:rPr>
          <w:b/>
          <w:bCs/>
          <w:smallCaps/>
        </w:rPr>
        <w:t>vyvlastnění</w:t>
      </w:r>
    </w:p>
    <w:p w:rsidR="00767579" w:rsidRPr="00795817" w:rsidRDefault="000865D6" w:rsidP="004A6811">
      <w:pPr>
        <w:pStyle w:val="Normln-tun"/>
      </w:pPr>
      <w:r w:rsidRPr="00795817">
        <w:t>Konkrétní účel představuje další zákonnou podmínku, která musí být splněna, aby mohlo být na základě rozhodnutí vyvlastňo</w:t>
      </w:r>
      <w:r w:rsidRPr="00795817">
        <w:t xml:space="preserve">vacího úřadu přistoupeno k vyvlastnění, tedy k odnětí, případně k omezení vlastnického práva nebo práva odpovídajícího věcnému břemeni k pozemku nebo ke stavbě. </w:t>
      </w:r>
      <w:r w:rsidR="004A6811" w:rsidRPr="00795817">
        <w:t>D</w:t>
      </w:r>
      <w:r w:rsidRPr="00795817">
        <w:t>ůvody</w:t>
      </w:r>
      <w:r w:rsidR="004A6811" w:rsidRPr="00795817">
        <w:t xml:space="preserve"> jsou</w:t>
      </w:r>
      <w:r w:rsidRPr="00795817">
        <w:t xml:space="preserve"> občas relativně široce vymezené (např. jde-li o úpravu v zákoně o ochraně přírody a</w:t>
      </w:r>
      <w:r w:rsidRPr="00795817">
        <w:t xml:space="preserve"> krajiny), jejich realizace je</w:t>
      </w:r>
      <w:r w:rsidR="004A6811" w:rsidRPr="00795817">
        <w:t xml:space="preserve"> ale</w:t>
      </w:r>
      <w:r w:rsidRPr="00795817">
        <w:t xml:space="preserve"> předpokladem pro to, aby vlastník, popř. oprávněný z věcného břemene, ustoupil ve svých majetkových právech. </w:t>
      </w:r>
      <w:r w:rsidR="004A6811" w:rsidRPr="00795817">
        <w:t>Lze to chápat jako</w:t>
      </w:r>
      <w:r w:rsidRPr="00795817">
        <w:t xml:space="preserve"> konkretizaci podmínky veřejného zájmu. Zákon o vyvlastnění </w:t>
      </w:r>
      <w:r w:rsidR="004A6811" w:rsidRPr="00795817">
        <w:t xml:space="preserve">tak </w:t>
      </w:r>
      <w:r w:rsidRPr="00795817">
        <w:t>ve svém ust. § 3 sice hovoří o</w:t>
      </w:r>
      <w:r w:rsidRPr="00795817">
        <w:t xml:space="preserve"> účelu vyvlastnění jakožto o jedné z podmínek samotného procesu vyvlastnění, avšak co se týká konkrétních účelů samotných, odkazuje již na jejich úpravu ve zvláštních zákonech. </w:t>
      </w:r>
    </w:p>
    <w:p w:rsidR="00767579" w:rsidRPr="00795817" w:rsidRDefault="000865D6" w:rsidP="004A6811">
      <w:pPr>
        <w:pStyle w:val="Normln-tun"/>
        <w:rPr>
          <w:u w:val="single"/>
        </w:rPr>
      </w:pPr>
      <w:r w:rsidRPr="00795817">
        <w:rPr>
          <w:u w:val="single"/>
        </w:rPr>
        <w:t xml:space="preserve">Účely vyvlastnění podle </w:t>
      </w:r>
      <w:r w:rsidR="00B87C35">
        <w:rPr>
          <w:u w:val="single"/>
        </w:rPr>
        <w:t xml:space="preserve">nového </w:t>
      </w:r>
      <w:r w:rsidRPr="00795817">
        <w:rPr>
          <w:u w:val="single"/>
        </w:rPr>
        <w:t xml:space="preserve">stavebního zákona </w:t>
      </w:r>
    </w:p>
    <w:p w:rsidR="004A6811" w:rsidRPr="00795817" w:rsidRDefault="000865D6" w:rsidP="004A6811">
      <w:pPr>
        <w:pStyle w:val="Normln-tun"/>
      </w:pPr>
      <w:r w:rsidRPr="00795817">
        <w:t>V tomto předpise je obsažena</w:t>
      </w:r>
      <w:r w:rsidRPr="00795817">
        <w:t xml:space="preserve"> úprava některých konkrétních účelů, pro které je možné k vyvlastnění přistoupit. Jsou vymezeny v jeho ust. § 170, ve kterém je stanoveno, že: </w:t>
      </w:r>
    </w:p>
    <w:p w:rsidR="004A6811" w:rsidRPr="00795817" w:rsidRDefault="000865D6" w:rsidP="004A6811">
      <w:pPr>
        <w:pStyle w:val="Normln-tun"/>
        <w:rPr>
          <w:i/>
          <w:iCs/>
        </w:rPr>
      </w:pPr>
      <w:r w:rsidRPr="00795817">
        <w:rPr>
          <w:i/>
          <w:iCs/>
        </w:rPr>
        <w:t xml:space="preserve">(1) </w:t>
      </w:r>
      <w:r w:rsidR="0005514D" w:rsidRPr="0005514D">
        <w:rPr>
          <w:i/>
          <w:iCs/>
        </w:rPr>
        <w:t>Práva k pozemkům a stavbám lze odejmout nebo omezit, jsou-li vymezeny v územně plánovací dokumentaci a jde-li o</w:t>
      </w:r>
    </w:p>
    <w:p w:rsidR="0005514D" w:rsidRPr="0005514D" w:rsidRDefault="000865D6" w:rsidP="0005514D">
      <w:pPr>
        <w:pStyle w:val="Normln-tun"/>
        <w:rPr>
          <w:i/>
          <w:iCs/>
        </w:rPr>
      </w:pPr>
      <w:r w:rsidRPr="0005514D">
        <w:rPr>
          <w:i/>
          <w:iCs/>
        </w:rPr>
        <w:t>a) uskutečnění veřejně prospěšné stavby,</w:t>
      </w:r>
    </w:p>
    <w:p w:rsidR="0005514D" w:rsidRPr="0005514D" w:rsidRDefault="000865D6" w:rsidP="0005514D">
      <w:pPr>
        <w:pStyle w:val="Normln-tun"/>
        <w:rPr>
          <w:i/>
          <w:iCs/>
        </w:rPr>
      </w:pPr>
      <w:r w:rsidRPr="0005514D">
        <w:rPr>
          <w:i/>
          <w:iCs/>
        </w:rPr>
        <w:t>b) uskutečnění veřejně prospěšného opatření,</w:t>
      </w:r>
    </w:p>
    <w:p w:rsidR="0005514D" w:rsidRPr="0005514D" w:rsidRDefault="000865D6" w:rsidP="0005514D">
      <w:pPr>
        <w:pStyle w:val="Normln-tun"/>
        <w:rPr>
          <w:i/>
          <w:iCs/>
        </w:rPr>
      </w:pPr>
      <w:r w:rsidRPr="0005514D">
        <w:rPr>
          <w:i/>
          <w:iCs/>
        </w:rPr>
        <w:t>c) realizaci stavby a opatření k zajišťování obrany a bezpečnosti státu, nebo</w:t>
      </w:r>
    </w:p>
    <w:p w:rsidR="0005514D" w:rsidRDefault="000865D6" w:rsidP="0005514D">
      <w:pPr>
        <w:pStyle w:val="Normln-tun"/>
        <w:rPr>
          <w:i/>
          <w:iCs/>
        </w:rPr>
      </w:pPr>
      <w:r w:rsidRPr="0005514D">
        <w:rPr>
          <w:i/>
          <w:iCs/>
        </w:rPr>
        <w:t xml:space="preserve">d) asanaci území. </w:t>
      </w:r>
    </w:p>
    <w:p w:rsidR="004A6811" w:rsidRPr="00795817" w:rsidRDefault="000865D6" w:rsidP="0005514D">
      <w:pPr>
        <w:pStyle w:val="Normln-tun"/>
        <w:rPr>
          <w:i/>
          <w:iCs/>
        </w:rPr>
      </w:pPr>
      <w:r w:rsidRPr="00795817">
        <w:rPr>
          <w:i/>
          <w:iCs/>
        </w:rPr>
        <w:t xml:space="preserve">(2) </w:t>
      </w:r>
      <w:r w:rsidR="0005514D" w:rsidRPr="0005514D">
        <w:rPr>
          <w:i/>
          <w:iCs/>
        </w:rPr>
        <w:t>Právo k pozemku nebo stavbě lze odejmout nebo omezit též k vytvoření podmínek pro nezbytný přístup k pozemku nebo stavbě, a pro řádné užívání veřejně prospěšné stavby nebo veřejně prospěšného opatření.</w:t>
      </w:r>
    </w:p>
    <w:p w:rsidR="00767579" w:rsidRPr="00795817" w:rsidRDefault="000865D6" w:rsidP="004A6811">
      <w:pPr>
        <w:pStyle w:val="Normln-tun"/>
      </w:pPr>
      <w:r w:rsidRPr="00795817">
        <w:t xml:space="preserve">a) Veřejně prospěšná stavba dopravní a technické infrastruktury </w:t>
      </w:r>
    </w:p>
    <w:p w:rsidR="00767579" w:rsidRPr="00795817" w:rsidRDefault="000865D6" w:rsidP="00D5174D">
      <w:pPr>
        <w:pStyle w:val="Normln-tun"/>
      </w:pPr>
      <w:r w:rsidRPr="00377B49">
        <w:t>Veřejně prospěšnou stavbou se rozumí stavba nebo</w:t>
      </w:r>
      <w:r w:rsidRPr="00377B49">
        <w:t xml:space="preserve"> zařízení pro veřejnou infrastrukturu určená k rozvoji nebo ochraně území obce, kraje nebo státu vymezená v územně plánovací dokumentaci a stavby a zařízení s ní související nebo podmiňující její realizaci.</w:t>
      </w:r>
      <w:r w:rsidRPr="00795817">
        <w:t xml:space="preserve"> </w:t>
      </w:r>
      <w:r w:rsidRPr="00377B49">
        <w:t>Veřejnou infrastrukturou se rozumí pozemky, stavb</w:t>
      </w:r>
      <w:r w:rsidRPr="00377B49">
        <w:t>y a zařízení sloužící veřejné potřebě</w:t>
      </w:r>
      <w:r w:rsidRPr="00795817">
        <w:t xml:space="preserve">. Veřejná infrastruktura je </w:t>
      </w:r>
      <w:r w:rsidR="00D5174D" w:rsidRPr="00795817">
        <w:t xml:space="preserve">pak </w:t>
      </w:r>
      <w:r w:rsidRPr="00795817">
        <w:t xml:space="preserve">dále dělena na dopravní infrastrukturu, technickou infrastrukturu, </w:t>
      </w:r>
      <w:r w:rsidR="00625660" w:rsidRPr="00625660">
        <w:t>zelen</w:t>
      </w:r>
      <w:r w:rsidR="00625660">
        <w:t>ou</w:t>
      </w:r>
      <w:r w:rsidR="00625660" w:rsidRPr="00625660">
        <w:t xml:space="preserve"> infrastruktur</w:t>
      </w:r>
      <w:r w:rsidR="00625660">
        <w:t xml:space="preserve">u, </w:t>
      </w:r>
      <w:r w:rsidRPr="00795817">
        <w:t xml:space="preserve">občanské vybavení a veřejné prostranství. </w:t>
      </w:r>
    </w:p>
    <w:p w:rsidR="00767579" w:rsidRPr="00795817" w:rsidRDefault="000865D6" w:rsidP="004A6811">
      <w:pPr>
        <w:pStyle w:val="Normln-tun"/>
      </w:pPr>
      <w:r w:rsidRPr="00795817">
        <w:t xml:space="preserve">b) Veřejně prospěšné opatření </w:t>
      </w:r>
    </w:p>
    <w:p w:rsidR="00767579" w:rsidRPr="00795817" w:rsidRDefault="000865D6" w:rsidP="004A6811">
      <w:pPr>
        <w:pStyle w:val="Normln-tun"/>
      </w:pPr>
      <w:r w:rsidRPr="00795817">
        <w:t xml:space="preserve">Druhým možným účelem, </w:t>
      </w:r>
      <w:r w:rsidR="00D5174D" w:rsidRPr="00795817">
        <w:t>kvůli kterému</w:t>
      </w:r>
      <w:r w:rsidRPr="00795817">
        <w:t xml:space="preserve"> je možno přistoupit k vyvlastnění, je nutnost provedení veřejně prospěšného opatření</w:t>
      </w:r>
      <w:r w:rsidR="00625660">
        <w:t xml:space="preserve">. </w:t>
      </w:r>
      <w:r w:rsidR="00625660" w:rsidRPr="00625660">
        <w:t>Veřejně prospěšným opatřením se rozumí opatření nestavební povahy sloužící ke snižování nebezpečí v území, vytváření prvků územního systému ekologické stability a k rozvoji anebo k ochraně přírodního, kulturního a archeologického dědictví, vymezené v územně plánovací dokumentaci</w:t>
      </w:r>
      <w:r w:rsidRPr="00795817">
        <w:t xml:space="preserve">. </w:t>
      </w:r>
    </w:p>
    <w:p w:rsidR="00767579" w:rsidRPr="00795817" w:rsidRDefault="000865D6" w:rsidP="004A6811">
      <w:pPr>
        <w:pStyle w:val="Normln-tun"/>
      </w:pPr>
      <w:r w:rsidRPr="00795817">
        <w:t xml:space="preserve">c) Stavby a opatření sloužící k zajišťování obrany a bezpečnosti státu </w:t>
      </w:r>
    </w:p>
    <w:p w:rsidR="00767579" w:rsidRPr="00795817" w:rsidRDefault="000865D6" w:rsidP="004A6811">
      <w:pPr>
        <w:pStyle w:val="Normln-tun"/>
      </w:pPr>
      <w:r w:rsidRPr="00795817">
        <w:t>Jde o ustanovení, jež najde své využití pouze v období mír</w:t>
      </w:r>
      <w:r w:rsidRPr="00795817">
        <w:t xml:space="preserve">u, protože v případě vyvlastnění za stavu ohrožení státu, případně za válečného stavu, se postupuje podle předpisu jiného. V souvislosti s možnými krizovými situacemi </w:t>
      </w:r>
      <w:r w:rsidR="007521BC" w:rsidRPr="00795817">
        <w:t>lze</w:t>
      </w:r>
      <w:r w:rsidRPr="00795817">
        <w:t xml:space="preserve"> zmínit i možnost pouhého omezení vlastnického práva, a to v okamžiku, kdy byl vyhláše</w:t>
      </w:r>
      <w:r w:rsidRPr="00795817">
        <w:t xml:space="preserve">n nouzový stav. Za takovéhoto stavu lze na nezbytnou dobu a pouze v nezbytné míře použít vlastníkovu věc, jestliže není možné stejného účelu dosáhnout jiným způsobem. </w:t>
      </w:r>
    </w:p>
    <w:p w:rsidR="00767579" w:rsidRPr="00795817" w:rsidRDefault="000865D6" w:rsidP="004A6811">
      <w:pPr>
        <w:pStyle w:val="Normln-tun"/>
      </w:pPr>
      <w:r w:rsidRPr="00795817">
        <w:lastRenderedPageBreak/>
        <w:t xml:space="preserve">d) Asanace (ozdravění) území </w:t>
      </w:r>
    </w:p>
    <w:p w:rsidR="00767579" w:rsidRPr="00795817" w:rsidRDefault="000865D6" w:rsidP="004A6811">
      <w:pPr>
        <w:pStyle w:val="Normln-tun"/>
      </w:pPr>
      <w:r>
        <w:t>A</w:t>
      </w:r>
      <w:r w:rsidRPr="00625660">
        <w:t xml:space="preserve">sanací </w:t>
      </w:r>
      <w:r>
        <w:t xml:space="preserve">se rozumí </w:t>
      </w:r>
      <w:r w:rsidRPr="00625660">
        <w:t>soubor opatření sloužících k ozdravění ú</w:t>
      </w:r>
      <w:r w:rsidRPr="00625660">
        <w:t>zemí, které vykazuje závady, zejména z důvodů hospodářských změn anebo postižení živelní pohromou nebo závažnou havárií</w:t>
      </w:r>
      <w:r w:rsidRPr="00795817">
        <w:t xml:space="preserve">. </w:t>
      </w:r>
    </w:p>
    <w:p w:rsidR="00767579" w:rsidRPr="00795817" w:rsidRDefault="000865D6" w:rsidP="004A6811">
      <w:pPr>
        <w:pStyle w:val="Normln-tun"/>
      </w:pPr>
      <w:r w:rsidRPr="00795817">
        <w:t xml:space="preserve">Jako zcela samostatný je pak v rámci stavebního zákona uveden další konkrétní důvod, na </w:t>
      </w:r>
      <w:r w:rsidR="007521BC" w:rsidRPr="00795817">
        <w:t xml:space="preserve">jehož </w:t>
      </w:r>
      <w:r w:rsidRPr="00795817">
        <w:t xml:space="preserve">základě </w:t>
      </w:r>
      <w:r w:rsidR="007521BC" w:rsidRPr="00795817">
        <w:t>lze</w:t>
      </w:r>
      <w:r w:rsidRPr="00795817">
        <w:t xml:space="preserve"> přistoupit v krajních případech až k vyvlastnění. </w:t>
      </w:r>
      <w:r w:rsidR="00404DD1" w:rsidRPr="00795817">
        <w:t>Stavební z</w:t>
      </w:r>
      <w:r w:rsidRPr="00795817">
        <w:t>ákon stanov</w:t>
      </w:r>
      <w:r w:rsidR="00404DD1" w:rsidRPr="00795817">
        <w:t>uje</w:t>
      </w:r>
      <w:r w:rsidRPr="00795817">
        <w:t xml:space="preserve">, že právo k pozemku nebo stavbě lze odejmout nebo omezit též </w:t>
      </w:r>
      <w:r w:rsidR="004B7186" w:rsidRPr="004B7186">
        <w:t>k vytvoření podmínek pro nezbytný přístup k pozemku nebo stavbě, a pro řádné užívání veřejně prospěšné stavby nebo veřejně prospěšného opatření</w:t>
      </w:r>
      <w:r w:rsidRPr="00795817">
        <w:t xml:space="preserve">. </w:t>
      </w:r>
    </w:p>
    <w:p w:rsidR="00767579" w:rsidRPr="00795817" w:rsidRDefault="000865D6" w:rsidP="00404DD1">
      <w:pPr>
        <w:pStyle w:val="Normln-tun"/>
      </w:pPr>
      <w:r w:rsidRPr="00795817">
        <w:rPr>
          <w:u w:val="single"/>
        </w:rPr>
        <w:t>Účely vyvlastnění dle zákona o pozemních komunikacích</w:t>
      </w:r>
      <w:r w:rsidRPr="00795817">
        <w:t xml:space="preserve"> </w:t>
      </w:r>
    </w:p>
    <w:p w:rsidR="00404DD1" w:rsidRPr="00795817" w:rsidRDefault="000865D6" w:rsidP="00404DD1">
      <w:pPr>
        <w:pStyle w:val="Normln-tun"/>
      </w:pPr>
      <w:r w:rsidRPr="00795817">
        <w:t>Tato problematika je upravena v rámci § 17 zákona o pozemních komunikacích, kde je uvedeno, že:</w:t>
      </w:r>
    </w:p>
    <w:p w:rsidR="00721945" w:rsidRPr="00721945" w:rsidRDefault="000865D6" w:rsidP="00721945">
      <w:pPr>
        <w:pStyle w:val="Normln-tun"/>
        <w:rPr>
          <w:i/>
          <w:iCs/>
        </w:rPr>
      </w:pPr>
      <w:r w:rsidRPr="00721945">
        <w:rPr>
          <w:i/>
          <w:iCs/>
        </w:rPr>
        <w:t>(1) Dálnice, silnice a místní komunikace I. třídy, jejich součásti, příslušens</w:t>
      </w:r>
      <w:r w:rsidRPr="00721945">
        <w:rPr>
          <w:i/>
          <w:iCs/>
        </w:rPr>
        <w:t>tví a stavby související jsou veřejně prospěšné. Za související stavbu se pro tyto účely považuje i stezka pro cyklisty a stezka pro chodce a cyklisty souběžná se silnicí nebo místní komunikací I. třídy.</w:t>
      </w:r>
    </w:p>
    <w:p w:rsidR="00721945" w:rsidRPr="00721945" w:rsidRDefault="000865D6" w:rsidP="00721945">
      <w:pPr>
        <w:pStyle w:val="Normln-tun"/>
        <w:rPr>
          <w:i/>
          <w:iCs/>
        </w:rPr>
      </w:pPr>
      <w:r w:rsidRPr="00721945">
        <w:rPr>
          <w:i/>
          <w:iCs/>
        </w:rPr>
        <w:t xml:space="preserve">(2) Podle zvláštního právního předpisu lze odejmout </w:t>
      </w:r>
      <w:r w:rsidRPr="00721945">
        <w:rPr>
          <w:i/>
          <w:iCs/>
        </w:rPr>
        <w:t>nebo omezit</w:t>
      </w:r>
    </w:p>
    <w:p w:rsidR="00721945" w:rsidRPr="00721945" w:rsidRDefault="000865D6" w:rsidP="00721945">
      <w:pPr>
        <w:pStyle w:val="Normln-tun"/>
        <w:rPr>
          <w:i/>
          <w:iCs/>
        </w:rPr>
      </w:pPr>
      <w:r w:rsidRPr="00721945">
        <w:rPr>
          <w:i/>
          <w:iCs/>
        </w:rPr>
        <w:t>a) vlastnické právo k pozemku nebo ke stavbě nebo právo odpovídající věcnému břemenu k pozemku nebo ke stavbě potřebným k uskutečnění výstavby, opravy, úpravy, modernizace nebo rekonstrukce dálnice, silnice, místní komunikace I. třídy, jejich s</w:t>
      </w:r>
      <w:r w:rsidRPr="00721945">
        <w:rPr>
          <w:i/>
          <w:iCs/>
        </w:rPr>
        <w:t>oučástí, příslušenství nebo staveb souvisejících,</w:t>
      </w:r>
    </w:p>
    <w:p w:rsidR="00721945" w:rsidRPr="00721945" w:rsidRDefault="000865D6" w:rsidP="00721945">
      <w:pPr>
        <w:pStyle w:val="Normln-tun"/>
        <w:rPr>
          <w:i/>
          <w:iCs/>
        </w:rPr>
      </w:pPr>
      <w:r w:rsidRPr="00721945">
        <w:rPr>
          <w:i/>
          <w:iCs/>
        </w:rPr>
        <w:t>b) vlastnické právo k pozemku, jestliže byla dálnice, silnice nebo místní komunikace zřízena na cizím pozemku.</w:t>
      </w:r>
    </w:p>
    <w:p w:rsidR="00721945" w:rsidRDefault="000865D6" w:rsidP="00721945">
      <w:pPr>
        <w:pStyle w:val="Normln-tun"/>
        <w:rPr>
          <w:i/>
          <w:iCs/>
        </w:rPr>
      </w:pPr>
      <w:r w:rsidRPr="00721945">
        <w:rPr>
          <w:i/>
          <w:iCs/>
        </w:rPr>
        <w:t>(3) Pokud se vlastnické právo k pozemku nebo stavbě potřebným k uskutečnění výstavby, opravy, ú</w:t>
      </w:r>
      <w:r w:rsidRPr="00721945">
        <w:rPr>
          <w:i/>
          <w:iCs/>
        </w:rPr>
        <w:t>pravy, modernizace nebo rekonstrukce staveb uvedených v odstavci 1 omezuje smlouvou, sjednává se výše úplaty ve výši 10 000 Kč. Nesouhlasí-li vyvlastňovaný s částkou podle předchozí věty, sjednává se úplata ve výši odpovídající ocenění tohoto omezení stano</w:t>
      </w:r>
      <w:r w:rsidRPr="00721945">
        <w:rPr>
          <w:i/>
          <w:iCs/>
        </w:rPr>
        <w:t xml:space="preserve">vené znaleckým posudkem. </w:t>
      </w:r>
    </w:p>
    <w:p w:rsidR="0073795F" w:rsidRPr="00795817" w:rsidRDefault="000865D6" w:rsidP="00404DD1">
      <w:pPr>
        <w:pStyle w:val="Normln-tun"/>
      </w:pPr>
      <w:r w:rsidRPr="00795817">
        <w:t>Pojem veřejné prospěšnosti je však zde nutný chápat jako snahu o deklaraci veřejného zájmu, avšak v každém konkrétním případě musí být jeho samotná existence vždy prokázána ve vyvlastňovacím řízení.</w:t>
      </w:r>
    </w:p>
    <w:p w:rsidR="00767579" w:rsidRPr="00795817" w:rsidRDefault="000865D6" w:rsidP="00404DD1">
      <w:pPr>
        <w:pStyle w:val="Normln-tun"/>
        <w:rPr>
          <w:sz w:val="16"/>
          <w:szCs w:val="16"/>
        </w:rPr>
      </w:pPr>
      <w:r w:rsidRPr="00795817">
        <w:rPr>
          <w:sz w:val="16"/>
          <w:szCs w:val="16"/>
        </w:rPr>
        <w:t xml:space="preserve"> </w:t>
      </w:r>
      <w:r w:rsidRPr="00795817">
        <w:t>Stanovení veřejné prospěšnosti</w:t>
      </w:r>
      <w:r w:rsidRPr="00795817">
        <w:t xml:space="preserve"> přímo zákonem pak bude mít ten důsledek, že na rozdíl od obecné úpravy ve stavebním zákoně (týkající se obecně dopravní infrastruktury) bude moci pro realizaci výše uvedených typů pozemních komunikací dojít k vyvlastnění, aniž by musely být nejdříve vymez</w:t>
      </w:r>
      <w:r w:rsidRPr="00795817">
        <w:t xml:space="preserve">eny v rámci územně-plánovací dokumentace jakožto veřejně prospěšné stavby, resp. opatření. </w:t>
      </w:r>
      <w:r w:rsidR="0073795F" w:rsidRPr="00795817">
        <w:t>Cílem</w:t>
      </w:r>
      <w:r w:rsidRPr="00795817">
        <w:t xml:space="preserve"> zde </w:t>
      </w:r>
      <w:r w:rsidR="0073795F" w:rsidRPr="00795817">
        <w:t>bylo</w:t>
      </w:r>
      <w:r w:rsidRPr="00795817">
        <w:t xml:space="preserve"> reagovat zejména na situace, kdy u vybraných, avšak celospolečensky velice významných, záměrů bude územně-plánovací dokumentace z nejrůznějších důvodů</w:t>
      </w:r>
      <w:r w:rsidRPr="00795817">
        <w:t xml:space="preserve"> chybět.</w:t>
      </w:r>
      <w:r w:rsidRPr="00795817">
        <w:rPr>
          <w:sz w:val="16"/>
          <w:szCs w:val="16"/>
        </w:rPr>
        <w:t xml:space="preserve"> </w:t>
      </w:r>
    </w:p>
    <w:p w:rsidR="00767579" w:rsidRDefault="000865D6" w:rsidP="00404DD1">
      <w:pPr>
        <w:pStyle w:val="Normln-tun"/>
      </w:pPr>
      <w:r w:rsidRPr="00795817">
        <w:t xml:space="preserve">V případě postupu při vyvlastňování zákon o pozemních komunikacích odkazuje na zákon o vyvlastnění. </w:t>
      </w:r>
      <w:r w:rsidR="00F13059" w:rsidRPr="00795817">
        <w:t>P</w:t>
      </w:r>
      <w:r w:rsidRPr="00795817">
        <w:t xml:space="preserve">ostup podle zákona o vyvlastnění </w:t>
      </w:r>
      <w:r w:rsidR="00F13059" w:rsidRPr="00795817">
        <w:t xml:space="preserve">však </w:t>
      </w:r>
      <w:r w:rsidRPr="00795817">
        <w:t xml:space="preserve">může být v určitých </w:t>
      </w:r>
      <w:r w:rsidR="00F13059" w:rsidRPr="00795817">
        <w:t>případech</w:t>
      </w:r>
      <w:r w:rsidRPr="00795817">
        <w:t xml:space="preserve"> modifikován, a to </w:t>
      </w:r>
      <w:r w:rsidR="00F13059" w:rsidRPr="00795817">
        <w:t>především dle</w:t>
      </w:r>
      <w:r w:rsidRPr="00795817">
        <w:t xml:space="preserve"> zákona o urychlení výstavby. </w:t>
      </w:r>
    </w:p>
    <w:p w:rsidR="00767579" w:rsidRPr="00795817" w:rsidRDefault="000865D6" w:rsidP="00404DD1">
      <w:pPr>
        <w:pStyle w:val="Normln-tun"/>
      </w:pPr>
      <w:r w:rsidRPr="00795817">
        <w:rPr>
          <w:u w:val="single"/>
        </w:rPr>
        <w:t>Účely vyvlastně</w:t>
      </w:r>
      <w:r w:rsidRPr="00795817">
        <w:rPr>
          <w:u w:val="single"/>
        </w:rPr>
        <w:t>ní dle lázeňského zákona</w:t>
      </w:r>
      <w:r w:rsidRPr="00795817">
        <w:t xml:space="preserve"> </w:t>
      </w:r>
    </w:p>
    <w:p w:rsidR="00767579" w:rsidRPr="00795817" w:rsidRDefault="000865D6" w:rsidP="00404DD1">
      <w:pPr>
        <w:pStyle w:val="Normln-tun"/>
        <w:rPr>
          <w:sz w:val="22"/>
        </w:rPr>
      </w:pPr>
      <w:r w:rsidRPr="00795817">
        <w:t xml:space="preserve">Jedním z dalších zvláštních zákonů, </w:t>
      </w:r>
      <w:r w:rsidR="00B3581E" w:rsidRPr="00795817">
        <w:t>kde</w:t>
      </w:r>
      <w:r w:rsidRPr="00795817">
        <w:t xml:space="preserve"> </w:t>
      </w:r>
      <w:r w:rsidR="00B3581E" w:rsidRPr="00795817">
        <w:t>lze</w:t>
      </w:r>
      <w:r w:rsidRPr="00795817">
        <w:t xml:space="preserve"> najít konkrétní účel vyvlastnění, je zákon č.</w:t>
      </w:r>
      <w:r w:rsidR="00F02636">
        <w:t> </w:t>
      </w:r>
      <w:r w:rsidRPr="00795817">
        <w:t>164/2001</w:t>
      </w:r>
      <w:r w:rsidR="00F02636">
        <w:t> </w:t>
      </w:r>
      <w:r w:rsidRPr="00795817">
        <w:t xml:space="preserve">Sb., o přírodních léčivých zdrojích, zdrojích přírodních minerálních vod, </w:t>
      </w:r>
      <w:r w:rsidRPr="00795817">
        <w:lastRenderedPageBreak/>
        <w:t xml:space="preserve">přírodních léčebných lázních a lázeňských místech a o změně některých souvisejících zákonů, ve znění pozdějších předpisů (dále jen „lázeňský zákon“). </w:t>
      </w:r>
    </w:p>
    <w:p w:rsidR="00B3581E" w:rsidRPr="00795817" w:rsidRDefault="000865D6" w:rsidP="00404DD1">
      <w:pPr>
        <w:pStyle w:val="Normln-tun"/>
        <w:rPr>
          <w:i/>
          <w:iCs/>
        </w:rPr>
      </w:pPr>
      <w:r w:rsidRPr="00795817">
        <w:t xml:space="preserve">Pro účely případného vyvlastnění se jeví jako relevantní oblast přírodních léčivých zdrojů, příp. zdrojů </w:t>
      </w:r>
      <w:r w:rsidRPr="00795817">
        <w:t xml:space="preserve">přírodních minerálních vod. Dle ust. § 4 lázeňského zákona </w:t>
      </w:r>
      <w:r w:rsidR="00D5301F">
        <w:rPr>
          <w:i/>
          <w:iCs/>
        </w:rPr>
        <w:t>p</w:t>
      </w:r>
      <w:r w:rsidR="00D5301F" w:rsidRPr="00D5301F">
        <w:rPr>
          <w:i/>
          <w:iCs/>
        </w:rPr>
        <w:t>řírodní léčivý zdroj podle § 2 odst. 1 a zdroj přírodní minerální vody podle § 2 odst. 2 (dále jen "zdroj") nejsou součástí ani příslušenstvím pozemků a nejsou předmětem vlastnictví</w:t>
      </w:r>
      <w:r w:rsidRPr="00795817">
        <w:rPr>
          <w:i/>
          <w:iCs/>
        </w:rPr>
        <w:t>.</w:t>
      </w:r>
      <w:r w:rsidRPr="00795817">
        <w:t xml:space="preserve"> </w:t>
      </w:r>
      <w:r w:rsidR="00D5301F" w:rsidRPr="00D5301F">
        <w:rPr>
          <w:i/>
          <w:iCs/>
        </w:rPr>
        <w:t>Výtěžek ze zdroje se stane předmětem vlastnictví, jakmile jej osoba, která má podle tohoto zákona povolení k využívání zdroje, odejme ze zdroje.</w:t>
      </w:r>
    </w:p>
    <w:p w:rsidR="00CD700D" w:rsidRPr="00795817" w:rsidRDefault="000865D6" w:rsidP="00404DD1">
      <w:pPr>
        <w:pStyle w:val="Normln-tun"/>
      </w:pPr>
      <w:r w:rsidRPr="00795817">
        <w:t>Znění</w:t>
      </w:r>
      <w:r w:rsidR="00767579" w:rsidRPr="00795817">
        <w:t xml:space="preserve"> § 33</w:t>
      </w:r>
      <w:r w:rsidRPr="00795817">
        <w:t xml:space="preserve"> pak říká:</w:t>
      </w:r>
    </w:p>
    <w:p w:rsidR="00F2062C" w:rsidRPr="00F2062C" w:rsidRDefault="000865D6" w:rsidP="00F2062C">
      <w:pPr>
        <w:pStyle w:val="Normln-tun"/>
        <w:rPr>
          <w:i/>
          <w:iCs/>
        </w:rPr>
      </w:pPr>
      <w:r w:rsidRPr="00795817">
        <w:rPr>
          <w:i/>
          <w:iCs/>
        </w:rPr>
        <w:t xml:space="preserve">(1) </w:t>
      </w:r>
      <w:r w:rsidRPr="00F2062C">
        <w:rPr>
          <w:i/>
          <w:iCs/>
        </w:rPr>
        <w:t>Vlastnická práva k nemovitostem lze omezit nebo nemovitosti lze vyvlastnit pouze ve veřejném zájmu.</w:t>
      </w:r>
      <w:r w:rsidRPr="00F2062C">
        <w:rPr>
          <w:i/>
          <w:iCs/>
        </w:rPr>
        <w:t xml:space="preserve"> Veřejným zájmem se pro tyto účely rozumí zájem na vyhledávání a využití zdroje k léčebným účelům a zájem na ochraně zdrojů v zájmu zachování jejich kvalitativních a kvantitativních vlastností a zdravotní nezávadnosti.</w:t>
      </w:r>
    </w:p>
    <w:p w:rsidR="00F2062C" w:rsidRPr="00F2062C" w:rsidRDefault="000865D6" w:rsidP="00F2062C">
      <w:pPr>
        <w:pStyle w:val="Normln-tun"/>
        <w:rPr>
          <w:i/>
          <w:iCs/>
        </w:rPr>
      </w:pPr>
      <w:r w:rsidRPr="00F2062C">
        <w:rPr>
          <w:i/>
          <w:iCs/>
        </w:rPr>
        <w:t>(2) Pokud vlastník nemovitosti brání</w:t>
      </w:r>
    </w:p>
    <w:p w:rsidR="00F2062C" w:rsidRPr="00F2062C" w:rsidRDefault="000865D6" w:rsidP="00F2062C">
      <w:pPr>
        <w:pStyle w:val="Normln-tun"/>
        <w:rPr>
          <w:i/>
          <w:iCs/>
        </w:rPr>
      </w:pPr>
      <w:r w:rsidRPr="00F2062C">
        <w:rPr>
          <w:i/>
          <w:iCs/>
        </w:rPr>
        <w:t>a) vyhledávání přírodního léčivého zdroje, lze vlastnická práva k nemovitosti omezit,</w:t>
      </w:r>
    </w:p>
    <w:p w:rsidR="00CD700D" w:rsidRPr="00795817" w:rsidRDefault="000865D6" w:rsidP="00F2062C">
      <w:pPr>
        <w:pStyle w:val="Normln-tun"/>
        <w:rPr>
          <w:i/>
          <w:iCs/>
        </w:rPr>
      </w:pPr>
      <w:r w:rsidRPr="00F2062C">
        <w:rPr>
          <w:i/>
          <w:iCs/>
        </w:rPr>
        <w:t>b) využívání nebo ochraně přírodního léčivého zdroje a ochraně zdroje přírodní minerální vody, lze vlastnická práva omezit nebo nemovitost vyvlastnit.</w:t>
      </w:r>
    </w:p>
    <w:p w:rsidR="00767579" w:rsidRPr="00795817" w:rsidRDefault="000865D6" w:rsidP="00404DD1">
      <w:pPr>
        <w:pStyle w:val="Normln-tun"/>
      </w:pPr>
      <w:r w:rsidRPr="00795817">
        <w:t xml:space="preserve">Dalším účelem, pro </w:t>
      </w:r>
      <w:r w:rsidRPr="00795817">
        <w:t>který je možno přistoupit k vyvlastnění, je tak vyhledávání a využívání zdrojů k jejich léčebným účelům, a dále ochrana zdrojů v zájmu zachování jejich kvalitativních a kvantitativních vlastností včetně zdravotní nezávadnosti. Veřejný zájem samotný je v ko</w:t>
      </w:r>
      <w:r w:rsidRPr="00795817">
        <w:t>nkrétním případě opět nutno prokázat ve vyvlastňovacím řízení. V odstavci druhém pak zákon uvádí přípustné formy vyvlastnění v případech, kdy vlastník nemovitosti brání realizací určité konkrétní činnosti. V situacích, kdy je touto činností vyhledávání pří</w:t>
      </w:r>
      <w:r w:rsidRPr="00795817">
        <w:t xml:space="preserve">rodního zdroje, umožňuje zákon vlastnická práva k nemovitosti pouze omezit, neboť v případě vyhledávání nejde o činnost trvalou, a tudíž není nutné přistupovat přímo k odnětí vlastnického práva, které naopak povahy trvalé je. Naproti tomu v situacích, kdy </w:t>
      </w:r>
      <w:r w:rsidRPr="00795817">
        <w:t xml:space="preserve">vlastník nemovitosti brání využívání nebo ochraně konkrétního přírodního léčivého zdroje, případně ochraně zdroje přírodní minerální vody, může být vlastnické právo konkrétní osoby k nemovitosti jak omezeno, tak i odňato. </w:t>
      </w:r>
    </w:p>
    <w:p w:rsidR="00767579" w:rsidRPr="00795817" w:rsidRDefault="000865D6" w:rsidP="00404DD1">
      <w:pPr>
        <w:pStyle w:val="Normln-tun"/>
        <w:rPr>
          <w:sz w:val="16"/>
          <w:szCs w:val="16"/>
        </w:rPr>
      </w:pPr>
      <w:r w:rsidRPr="00795817">
        <w:t>Samotné vyvlastňovací řízení prob</w:t>
      </w:r>
      <w:r w:rsidRPr="00795817">
        <w:t>íhá dle procesní úpravy zákona o vyvlastnění, kdy jediným ze zákona oprávněným subjektem k podání žádosti na jeho zahájení je ministerstvo zdravotnictví.</w:t>
      </w:r>
      <w:r w:rsidRPr="00795817">
        <w:rPr>
          <w:sz w:val="16"/>
          <w:szCs w:val="16"/>
        </w:rPr>
        <w:t xml:space="preserve"> </w:t>
      </w:r>
    </w:p>
    <w:p w:rsidR="00767579" w:rsidRPr="00795817" w:rsidRDefault="000865D6" w:rsidP="00404DD1">
      <w:pPr>
        <w:pStyle w:val="Normln-tun"/>
      </w:pPr>
      <w:r w:rsidRPr="00795817">
        <w:rPr>
          <w:u w:val="single"/>
        </w:rPr>
        <w:t>Účely vyvlastnění dle zákona o ochraně přírody a krajiny</w:t>
      </w:r>
      <w:r w:rsidRPr="00795817">
        <w:t xml:space="preserve"> </w:t>
      </w:r>
    </w:p>
    <w:p w:rsidR="00767579" w:rsidRPr="00795817" w:rsidRDefault="000865D6" w:rsidP="00404DD1">
      <w:pPr>
        <w:pStyle w:val="Normln-tun"/>
      </w:pPr>
      <w:r w:rsidRPr="00795817">
        <w:t>K mimořádným zásahům do majetkových práv ve</w:t>
      </w:r>
      <w:r w:rsidRPr="00795817">
        <w:t xml:space="preserve"> formě vyvlastnění může dojít i na základě zvláštního účelu, jenž je upraven v zákoně o ochraně přírody a krajiny. </w:t>
      </w:r>
    </w:p>
    <w:p w:rsidR="00EF42F1" w:rsidRPr="00795817" w:rsidRDefault="000865D6" w:rsidP="00404DD1">
      <w:pPr>
        <w:pStyle w:val="Normln-tun"/>
      </w:pPr>
      <w:r w:rsidRPr="00795817">
        <w:t xml:space="preserve">Tomuto konkrétnímu účelu je v rámci textu zákona o ochraně přírody a krajiny věnován § 60, který říká, že </w:t>
      </w:r>
    </w:p>
    <w:p w:rsidR="00216E89" w:rsidRPr="00216E89" w:rsidRDefault="000865D6" w:rsidP="00216E89">
      <w:pPr>
        <w:pStyle w:val="Normln-tun"/>
        <w:rPr>
          <w:i/>
          <w:iCs/>
        </w:rPr>
      </w:pPr>
      <w:r w:rsidRPr="00795817">
        <w:rPr>
          <w:i/>
          <w:iCs/>
        </w:rPr>
        <w:t xml:space="preserve">(1) </w:t>
      </w:r>
      <w:r w:rsidRPr="00216E89">
        <w:rPr>
          <w:i/>
          <w:iCs/>
        </w:rPr>
        <w:t>Vyvlastnit nemovitost či práv</w:t>
      </w:r>
      <w:r w:rsidRPr="00216E89">
        <w:rPr>
          <w:i/>
          <w:iCs/>
        </w:rPr>
        <w:t>a k ní za účelem ochrany přírody a krajiny lze v případech stanovených zvláštním předpisem.</w:t>
      </w:r>
    </w:p>
    <w:p w:rsidR="00216E89" w:rsidRPr="00216E89" w:rsidRDefault="000865D6" w:rsidP="00216E89">
      <w:pPr>
        <w:pStyle w:val="Normln-tun"/>
        <w:rPr>
          <w:i/>
          <w:iCs/>
        </w:rPr>
      </w:pPr>
      <w:r w:rsidRPr="00216E89">
        <w:rPr>
          <w:i/>
          <w:iCs/>
        </w:rPr>
        <w:t>(2) Při vyvlastňování podle odstavce 1 se postupuje podle zvláštních předpisů o vyvlastnění, a to na návrh orgánu ochrany přírody.</w:t>
      </w:r>
    </w:p>
    <w:p w:rsidR="00216E89" w:rsidRPr="00216E89" w:rsidRDefault="000865D6" w:rsidP="00216E89">
      <w:pPr>
        <w:pStyle w:val="Normln-tun"/>
        <w:rPr>
          <w:i/>
          <w:iCs/>
        </w:rPr>
      </w:pPr>
      <w:r w:rsidRPr="00216E89">
        <w:rPr>
          <w:i/>
          <w:iCs/>
        </w:rPr>
        <w:t>(3) Příslušnost hospodařit s maje</w:t>
      </w:r>
      <w:r w:rsidRPr="00216E89">
        <w:rPr>
          <w:i/>
          <w:iCs/>
        </w:rPr>
        <w:t xml:space="preserve">tkem k nemovitosti ve státním vlastnictví může převést orgán ochrany přírody z důvodů a v rozsahu uvedeném v odstavci 1 na sebe. Převod </w:t>
      </w:r>
      <w:r w:rsidRPr="00216E89">
        <w:rPr>
          <w:i/>
          <w:iCs/>
        </w:rPr>
        <w:lastRenderedPageBreak/>
        <w:t>příslušnosti hospodařit s majetkem je bezúplatný; úplatně lze příslušnost hospodařit s majetkem převést pouze v případec</w:t>
      </w:r>
      <w:r w:rsidRPr="00216E89">
        <w:rPr>
          <w:i/>
          <w:iCs/>
        </w:rPr>
        <w:t>h, kdy převádějící nabyl nemovitost úplatně.</w:t>
      </w:r>
    </w:p>
    <w:p w:rsidR="00EF42F1" w:rsidRPr="00795817" w:rsidRDefault="000865D6" w:rsidP="00216E89">
      <w:pPr>
        <w:pStyle w:val="Normln-tun"/>
        <w:rPr>
          <w:i/>
          <w:iCs/>
        </w:rPr>
      </w:pPr>
      <w:r w:rsidRPr="00216E89">
        <w:rPr>
          <w:i/>
          <w:iCs/>
        </w:rPr>
        <w:t>(4) Podrobnosti postupu při převodech příslušnosti hospodařit s majetkem podle odstavce 3 upraví ministerstvo životního prostředí obecně závazným právním předpisem</w:t>
      </w:r>
      <w:r w:rsidRPr="00795817">
        <w:rPr>
          <w:i/>
          <w:iCs/>
        </w:rPr>
        <w:t>.</w:t>
      </w:r>
    </w:p>
    <w:p w:rsidR="00767579" w:rsidRPr="00795817" w:rsidRDefault="000865D6" w:rsidP="00404DD1">
      <w:pPr>
        <w:pStyle w:val="Normln-tun"/>
      </w:pPr>
      <w:r w:rsidRPr="00795817">
        <w:rPr>
          <w:u w:val="single"/>
        </w:rPr>
        <w:t xml:space="preserve">Účely vyvlastnění dle zákona o státní </w:t>
      </w:r>
      <w:r w:rsidRPr="00795817">
        <w:rPr>
          <w:u w:val="single"/>
        </w:rPr>
        <w:t>památkové péči</w:t>
      </w:r>
      <w:r w:rsidRPr="00795817">
        <w:t xml:space="preserve"> </w:t>
      </w:r>
    </w:p>
    <w:p w:rsidR="00767579" w:rsidRPr="00795817" w:rsidRDefault="000865D6" w:rsidP="00404DD1">
      <w:pPr>
        <w:pStyle w:val="Normln-tun"/>
        <w:rPr>
          <w:sz w:val="16"/>
          <w:szCs w:val="16"/>
        </w:rPr>
      </w:pPr>
      <w:r w:rsidRPr="00795817">
        <w:t>Oproti jiným zvláštním zákonům v zákoně o státní památkové péči nejsou účely vyvlastnění explicitně vyjádřeny v rámci jednoho konkrétního ustanovení. Tyto účely souvisí se státní ochranou kulturního dědictví</w:t>
      </w:r>
      <w:r w:rsidR="00547D05" w:rsidRPr="00795817">
        <w:t xml:space="preserve">. </w:t>
      </w:r>
      <w:r w:rsidR="00924F7F" w:rsidRPr="00795817">
        <w:t>P</w:t>
      </w:r>
      <w:r w:rsidRPr="00795817">
        <w:t>rvní</w:t>
      </w:r>
      <w:r w:rsidR="00924F7F" w:rsidRPr="00795817">
        <w:t>m</w:t>
      </w:r>
      <w:r w:rsidRPr="00795817">
        <w:t xml:space="preserve"> </w:t>
      </w:r>
      <w:r w:rsidR="00924F7F" w:rsidRPr="00795817">
        <w:t xml:space="preserve">případem </w:t>
      </w:r>
      <w:r w:rsidRPr="00795817">
        <w:t>je s</w:t>
      </w:r>
      <w:r w:rsidR="00924F7F" w:rsidRPr="00795817">
        <w:t>ituace</w:t>
      </w:r>
      <w:r w:rsidRPr="00795817">
        <w:t xml:space="preserve">, </w:t>
      </w:r>
      <w:r w:rsidR="00924F7F" w:rsidRPr="00795817">
        <w:t>kdy</w:t>
      </w:r>
      <w:r w:rsidRPr="00795817">
        <w:t xml:space="preserve"> vlastník </w:t>
      </w:r>
      <w:r w:rsidR="00924F7F" w:rsidRPr="00795817">
        <w:t>nemovité KP či NKP</w:t>
      </w:r>
      <w:r w:rsidRPr="00795817">
        <w:t xml:space="preserve"> trvale zanedbává své povinnosti, jež mu </w:t>
      </w:r>
      <w:r w:rsidR="00924F7F" w:rsidRPr="00795817">
        <w:t xml:space="preserve">ukládá památkový </w:t>
      </w:r>
      <w:r w:rsidRPr="00795817">
        <w:t>zákon, a v důsledku tohoto jednání dochází k ohrožení jejich zachování. Ve druhém možném případě je možno odejmout vlastnické právo tomu vlastníkovi, který kulturní památ</w:t>
      </w:r>
      <w:r w:rsidRPr="00795817">
        <w:t>ku užívá v rozporu s jejím kulturně-politickým významem, památkovou hodnotou, popř. technickým stavem.</w:t>
      </w:r>
      <w:r w:rsidRPr="00795817">
        <w:rPr>
          <w:sz w:val="16"/>
          <w:szCs w:val="16"/>
        </w:rPr>
        <w:t xml:space="preserve"> </w:t>
      </w:r>
    </w:p>
    <w:p w:rsidR="00924F7F" w:rsidRPr="00795817" w:rsidRDefault="000865D6" w:rsidP="00404DD1">
      <w:pPr>
        <w:pStyle w:val="Normln-tun"/>
      </w:pPr>
      <w:r w:rsidRPr="00795817">
        <w:t>I</w:t>
      </w:r>
      <w:r w:rsidR="00767579" w:rsidRPr="00795817">
        <w:t xml:space="preserve"> v takovýchto případech </w:t>
      </w:r>
      <w:r w:rsidRPr="00795817">
        <w:t xml:space="preserve">však </w:t>
      </w:r>
      <w:r w:rsidR="00767579" w:rsidRPr="00795817">
        <w:t xml:space="preserve">zákon preferuje možnost dohody o převodu vlastnického práva a vyvlastnění samotné je zakotveno pouze jako krajní prostředek. Pokud je však nutno k vyvlastnění přece jen přistoupit, návrh na zahájení příslušného řízení ze zákona podává v případě nemovité </w:t>
      </w:r>
      <w:r w:rsidRPr="00795817">
        <w:t>KP</w:t>
      </w:r>
      <w:r w:rsidR="00767579" w:rsidRPr="00795817">
        <w:t xml:space="preserve"> obecní úřad obce s rozšířenou působností, v případě nemovité </w:t>
      </w:r>
      <w:r w:rsidRPr="00795817">
        <w:t>NKP</w:t>
      </w:r>
      <w:r w:rsidR="00767579" w:rsidRPr="00795817">
        <w:t xml:space="preserve"> pak úřad krajský. </w:t>
      </w:r>
    </w:p>
    <w:p w:rsidR="00A92922" w:rsidRPr="00795817" w:rsidRDefault="000865D6" w:rsidP="00404DD1">
      <w:pPr>
        <w:pStyle w:val="Normln-tun"/>
      </w:pPr>
      <w:r w:rsidRPr="00795817">
        <w:t>Další</w:t>
      </w:r>
      <w:r w:rsidR="00767579" w:rsidRPr="00795817">
        <w:t xml:space="preserve"> účel je následně třeba hledat v ust. § 17 zákona o státní památkové péči, </w:t>
      </w:r>
      <w:r w:rsidRPr="00795817">
        <w:t>který říká, že</w:t>
      </w:r>
    </w:p>
    <w:p w:rsidR="00216E89" w:rsidRPr="00216E89" w:rsidRDefault="000865D6" w:rsidP="00216E89">
      <w:pPr>
        <w:pStyle w:val="Normln-tun"/>
        <w:rPr>
          <w:i/>
          <w:iCs/>
        </w:rPr>
      </w:pPr>
      <w:r w:rsidRPr="00795817">
        <w:rPr>
          <w:i/>
          <w:iCs/>
        </w:rPr>
        <w:t xml:space="preserve">(1) </w:t>
      </w:r>
      <w:r w:rsidRPr="00216E89">
        <w:rPr>
          <w:i/>
          <w:iCs/>
        </w:rPr>
        <w:t>Vyžaduje-li to ochrana nemovité kulturní památky nebo jejího prostředí, vydá obecní úřad obce s rozšířenou působností po vyjádření odborné organizace státní památkové péče územní rozhodnutí o oc</w:t>
      </w:r>
      <w:r w:rsidRPr="00216E89">
        <w:rPr>
          <w:i/>
          <w:iCs/>
        </w:rPr>
        <w:t>hranném pásmu a určí, u kterých nemovitostí v ochranném pásmu, nejsou-li kulturní památkou, nebo u jakých druhů prací na nich, včetně úpravy dřevin, je vyloučena povinnost vyžádat si předem závazné stanovisko podle § 14 odst. 2; tato povinnost je vyloučena</w:t>
      </w:r>
      <w:r w:rsidRPr="00216E89">
        <w:rPr>
          <w:i/>
          <w:iCs/>
        </w:rPr>
        <w:t xml:space="preserve"> vždy, jde-li o stavbu, změnu stavby, udržovací práce, umístění nebo odstranění zařízení, jejichž provedením se nezasahuje žádným způsobem do vnějšího vzhledu této nemovitosti. Obecní úřad obce s rozšířenou působností může v ochranném pásmu omezit nebo zak</w:t>
      </w:r>
      <w:r w:rsidRPr="00216E89">
        <w:rPr>
          <w:i/>
          <w:iCs/>
        </w:rPr>
        <w:t>ázat určitou činnost nebo učinit jiná vhodná opatření na základě závazného stanoviska dotčeného orgánu.</w:t>
      </w:r>
    </w:p>
    <w:p w:rsidR="00A92922" w:rsidRPr="00795817" w:rsidRDefault="000865D6" w:rsidP="00216E89">
      <w:pPr>
        <w:pStyle w:val="Normln-tun"/>
        <w:rPr>
          <w:i/>
          <w:iCs/>
        </w:rPr>
      </w:pPr>
      <w:r w:rsidRPr="00216E89">
        <w:rPr>
          <w:i/>
          <w:iCs/>
        </w:rPr>
        <w:t>(2) Je-li nezbytné k vytvoření ochranného pásma získat některé pozemky nebo stavby, popřípadě provést jejich odstranění a nedojde-li k dohodě s vlastník</w:t>
      </w:r>
      <w:r w:rsidRPr="00216E89">
        <w:rPr>
          <w:i/>
          <w:iCs/>
        </w:rPr>
        <w:t>em, lze pozemky a stavby vyvlastnit. Lze také nařídit nezbytné úpravy stavby, jiného zařízení nebo pozemku</w:t>
      </w:r>
      <w:r w:rsidRPr="00795817">
        <w:rPr>
          <w:i/>
          <w:iCs/>
        </w:rPr>
        <w:t>.</w:t>
      </w:r>
    </w:p>
    <w:p w:rsidR="00767579" w:rsidRPr="00795817" w:rsidRDefault="000865D6" w:rsidP="00404DD1">
      <w:pPr>
        <w:pStyle w:val="Normln-tun"/>
      </w:pPr>
      <w:r w:rsidRPr="00795817">
        <w:t xml:space="preserve">I zde je však </w:t>
      </w:r>
      <w:r w:rsidR="00A92922" w:rsidRPr="00795817">
        <w:t xml:space="preserve">možné </w:t>
      </w:r>
      <w:r w:rsidRPr="00795817">
        <w:t xml:space="preserve">tento institut </w:t>
      </w:r>
      <w:r w:rsidR="00A92922" w:rsidRPr="00795817">
        <w:t xml:space="preserve">využít </w:t>
      </w:r>
      <w:r w:rsidRPr="00795817">
        <w:t xml:space="preserve">pouze v případech, kdy nedojde k dohodě s vlastníky konkrétních pozemků a staveb. </w:t>
      </w:r>
    </w:p>
    <w:p w:rsidR="00767579" w:rsidRPr="00795817" w:rsidRDefault="000865D6" w:rsidP="00404DD1">
      <w:pPr>
        <w:pStyle w:val="Normln-tun"/>
      </w:pPr>
      <w:r w:rsidRPr="00795817">
        <w:rPr>
          <w:u w:val="single"/>
        </w:rPr>
        <w:t>Účely vyvlastnění dle z</w:t>
      </w:r>
      <w:r w:rsidRPr="00795817">
        <w:rPr>
          <w:u w:val="single"/>
        </w:rPr>
        <w:t>ákona o dr</w:t>
      </w:r>
      <w:r w:rsidR="00A235DF">
        <w:rPr>
          <w:u w:val="single"/>
        </w:rPr>
        <w:t>a</w:t>
      </w:r>
      <w:r w:rsidRPr="00795817">
        <w:rPr>
          <w:u w:val="single"/>
        </w:rPr>
        <w:t>hách</w:t>
      </w:r>
      <w:r w:rsidRPr="00795817">
        <w:t xml:space="preserve"> </w:t>
      </w:r>
    </w:p>
    <w:p w:rsidR="00B6241A" w:rsidRPr="00795817" w:rsidRDefault="000865D6" w:rsidP="00B6241A">
      <w:pPr>
        <w:pStyle w:val="Normln-tun"/>
      </w:pPr>
      <w:r w:rsidRPr="00795817">
        <w:t>Z</w:t>
      </w:r>
      <w:r w:rsidR="00767579" w:rsidRPr="00795817">
        <w:t>ákon o drahách</w:t>
      </w:r>
      <w:r w:rsidR="00767579" w:rsidRPr="00795817">
        <w:rPr>
          <w:sz w:val="16"/>
          <w:szCs w:val="16"/>
        </w:rPr>
        <w:t xml:space="preserve"> </w:t>
      </w:r>
      <w:r w:rsidR="00767579" w:rsidRPr="00795817">
        <w:t xml:space="preserve">umožňuje vést pouze takové vyvlastňovací řízení, jehož výsledkem bude nucené omezení vlastnického práva ve formě zřízení věcného břemene; nemůže tedy dojít k jeho odnětí. </w:t>
      </w:r>
      <w:r w:rsidR="00A235DF" w:rsidRPr="00A235DF">
        <w:rPr>
          <w:i/>
          <w:iCs/>
        </w:rPr>
        <w:t>Dráhou je cesta určená k pohybu drážních vozidel včetně pevných zařízení potřebných pro zajištění bezpečnosti a plynulosti drážní dopravy</w:t>
      </w:r>
      <w:r w:rsidRPr="00795817">
        <w:rPr>
          <w:i/>
          <w:iCs/>
        </w:rPr>
        <w:t xml:space="preserve">. </w:t>
      </w:r>
      <w:r w:rsidR="00767579" w:rsidRPr="00795817">
        <w:t>Ve svém ust. § 5a odst. 2 zákon o drahách stanoví, že</w:t>
      </w:r>
      <w:r w:rsidRPr="00795817">
        <w:t>:</w:t>
      </w:r>
    </w:p>
    <w:p w:rsidR="00767579" w:rsidRPr="00795817" w:rsidRDefault="000865D6" w:rsidP="00B6241A">
      <w:pPr>
        <w:pStyle w:val="Normln-tun"/>
        <w:rPr>
          <w:i/>
          <w:iCs/>
        </w:rPr>
      </w:pPr>
      <w:r w:rsidRPr="00795817">
        <w:rPr>
          <w:i/>
          <w:iCs/>
        </w:rPr>
        <w:t xml:space="preserve">(2) </w:t>
      </w:r>
      <w:r w:rsidR="00A235DF" w:rsidRPr="00A235DF">
        <w:rPr>
          <w:i/>
          <w:iCs/>
        </w:rPr>
        <w:t xml:space="preserve">Sítě technického vybavení mohou být umísťovány v obvodu železniční dráhy jen na základě písemné smlouvy o zřízení věcného břemene, uzavřené mezi vlastníkem dráhy a vlastníkem sítě technického vybavení, a to za úhradu. Nedojde-li k uzavření smlouvy, lze </w:t>
      </w:r>
      <w:r w:rsidR="00A235DF" w:rsidRPr="00A235DF">
        <w:rPr>
          <w:i/>
          <w:iCs/>
        </w:rPr>
        <w:lastRenderedPageBreak/>
        <w:t>vlastnická práva omezit jen rozhodnutím speciálního stavebního úřadu. V řízení o omezení vlastnických práv postupuje speciální stavební úřad podle zvláštního zákona</w:t>
      </w:r>
      <w:r w:rsidRPr="00795817">
        <w:rPr>
          <w:i/>
          <w:iCs/>
        </w:rPr>
        <w:t xml:space="preserve">. </w:t>
      </w:r>
    </w:p>
    <w:p w:rsidR="00767579" w:rsidRPr="00795817" w:rsidRDefault="000865D6" w:rsidP="00404DD1">
      <w:pPr>
        <w:pStyle w:val="Normln-tun"/>
        <w:rPr>
          <w:sz w:val="22"/>
        </w:rPr>
      </w:pPr>
      <w:r w:rsidRPr="00795817">
        <w:t xml:space="preserve">Nedojde-li </w:t>
      </w:r>
      <w:r w:rsidR="0042244E" w:rsidRPr="00795817">
        <w:t xml:space="preserve">tedy </w:t>
      </w:r>
      <w:r w:rsidRPr="00795817">
        <w:t>k uzavření výše uvedené smlouvy, může být vlastnické právo konkrétního subje</w:t>
      </w:r>
      <w:r w:rsidRPr="00795817">
        <w:t>ktu omezeno, avšak nikoliv na základě rozhodnutí vyvlastňovacího úřadu dle zákona o vyvlastnění, nýbrž pouze rozhodnutím speciálního stavebního úřadu.</w:t>
      </w:r>
      <w:r w:rsidRPr="00795817">
        <w:rPr>
          <w:sz w:val="16"/>
          <w:szCs w:val="16"/>
        </w:rPr>
        <w:t xml:space="preserve"> </w:t>
      </w:r>
    </w:p>
    <w:p w:rsidR="00767579" w:rsidRPr="00795817" w:rsidRDefault="000865D6" w:rsidP="00404DD1">
      <w:pPr>
        <w:pStyle w:val="Normln-tun"/>
      </w:pPr>
      <w:r w:rsidRPr="00795817">
        <w:rPr>
          <w:u w:val="single"/>
        </w:rPr>
        <w:t>Účely vyvlastnění dle energetického zákona</w:t>
      </w:r>
      <w:r w:rsidRPr="00795817">
        <w:t xml:space="preserve"> </w:t>
      </w:r>
    </w:p>
    <w:p w:rsidR="009E5B37" w:rsidRPr="00795817" w:rsidRDefault="000865D6" w:rsidP="00AB54E3">
      <w:pPr>
        <w:pStyle w:val="Normln-tun"/>
        <w:rPr>
          <w:i/>
          <w:iCs/>
        </w:rPr>
      </w:pPr>
      <w:r w:rsidRPr="00795817">
        <w:t xml:space="preserve">Konkrétní účely vyvlastnění lze </w:t>
      </w:r>
      <w:r w:rsidR="004E4BAA" w:rsidRPr="00795817">
        <w:t>najít i v</w:t>
      </w:r>
      <w:r w:rsidRPr="00795817">
        <w:t xml:space="preserve"> energetické</w:t>
      </w:r>
      <w:r w:rsidR="004E4BAA" w:rsidRPr="00795817">
        <w:t>m</w:t>
      </w:r>
      <w:r w:rsidRPr="00795817">
        <w:t xml:space="preserve"> zákon</w:t>
      </w:r>
      <w:r w:rsidR="004E4BAA" w:rsidRPr="00795817">
        <w:t>ě.</w:t>
      </w:r>
      <w:r w:rsidR="00AB54E3" w:rsidRPr="00795817">
        <w:t xml:space="preserve"> Tento z</w:t>
      </w:r>
      <w:r w:rsidRPr="00795817">
        <w:t>ákon</w:t>
      </w:r>
      <w:r w:rsidR="00AB54E3" w:rsidRPr="00795817">
        <w:t xml:space="preserve"> </w:t>
      </w:r>
      <w:r w:rsidRPr="00795817">
        <w:t xml:space="preserve">stanovuje, že </w:t>
      </w:r>
      <w:r w:rsidR="006F5D33">
        <w:t>p</w:t>
      </w:r>
      <w:r w:rsidR="006F5D33" w:rsidRPr="006F5D33">
        <w:rPr>
          <w:i/>
          <w:iCs/>
        </w:rPr>
        <w:t>řenos elektřiny, přeprava plynu, distribuce elektřiny, výroba elektřiny ve výrobně elektřiny o celkovém instalovaném elektrickém výkonu 100 MW a více s možností poskytovat podpůrné služby k zajištění provozu elektrizační soustavy, distribuce plynu, uskladňování plynu, výroba zemního plynu, provozování těžebního plynovodu, výroba tepelné energie a rozvod tepelné energie se uskutečňují ve veřejném zájmu</w:t>
      </w:r>
      <w:r w:rsidRPr="00795817">
        <w:rPr>
          <w:i/>
          <w:iCs/>
        </w:rPr>
        <w:t>.</w:t>
      </w:r>
    </w:p>
    <w:p w:rsidR="000278EC" w:rsidRPr="000278EC" w:rsidRDefault="000865D6" w:rsidP="000278EC">
      <w:pPr>
        <w:pStyle w:val="Normln-tun"/>
        <w:rPr>
          <w:sz w:val="22"/>
          <w:highlight w:val="yellow"/>
        </w:rPr>
      </w:pPr>
      <w:r w:rsidRPr="00795817">
        <w:t>E</w:t>
      </w:r>
      <w:r w:rsidR="00767579" w:rsidRPr="00795817">
        <w:t xml:space="preserve">nergetický zákon zakotvuje, že </w:t>
      </w:r>
      <w:r w:rsidRPr="00795817">
        <w:t>provozovatelé soustav</w:t>
      </w:r>
      <w:r w:rsidR="00767579" w:rsidRPr="00795817">
        <w:t xml:space="preserve"> mají v rámci svého podnikání právo </w:t>
      </w:r>
      <w:r w:rsidR="003D2360" w:rsidRPr="00795817">
        <w:t xml:space="preserve">zřizovat a provozovat na cizích nemovitostech zařízení přenosové soustavy, přetínat tyto nemovitosti vodiči a umísťovat v nich vedení, zařízení distribuční soustavy, přetínat tyto nemovitosti vodiči a umísťovat v nich vedení, těžební plynovody nebo výrobny plynu, plynárenská zařízení či rozvodná tepelná zařízení, stavět podpěrné body a přetínat tyto nemovitosti potrubními trasami, </w:t>
      </w:r>
      <w:r w:rsidR="00767579" w:rsidRPr="00795817">
        <w:t>a to na podkladě příslušného územního rozhodnutí a stavebního povolení.</w:t>
      </w:r>
      <w:r w:rsidR="00767579" w:rsidRPr="00795817">
        <w:rPr>
          <w:sz w:val="16"/>
          <w:szCs w:val="16"/>
        </w:rPr>
        <w:t xml:space="preserve"> </w:t>
      </w:r>
      <w:r w:rsidR="00767579" w:rsidRPr="00795817">
        <w:t xml:space="preserve">Pokud se podobný zásah jeví jako nutný, je příslušný podnikatel povinen uzavřít s vlastníkem konkrétní nemovitosti smlouvu, jejímž smyslem bude zřízení věcného břemene. Pokud však k uzavření takové dohody mezi stranami nedojde, ať už z důvodu, že daný vlastník není znám nebo není určen anebo proto, že je prokazatelně nedosažitelný, příp. nečinný, eventuálně že s ním nebylo tuto dohodu možno uzavřít, může být při splnění zákonných podmínek podán návrh na vyvlastnění. </w:t>
      </w:r>
      <w:r w:rsidR="00767579" w:rsidRPr="00795817">
        <w:rPr>
          <w:sz w:val="22"/>
        </w:rPr>
        <w:t xml:space="preserve"> </w:t>
      </w:r>
    </w:p>
    <w:p w:rsidR="00767579" w:rsidRPr="00795817" w:rsidRDefault="000865D6" w:rsidP="00404DD1">
      <w:pPr>
        <w:pStyle w:val="Normln-tun"/>
      </w:pPr>
      <w:r w:rsidRPr="00795817">
        <w:rPr>
          <w:u w:val="single"/>
        </w:rPr>
        <w:t>Účely vyvlastnění dle zákona o elektronických komunikacích</w:t>
      </w:r>
      <w:r w:rsidRPr="00795817">
        <w:t xml:space="preserve"> </w:t>
      </w:r>
    </w:p>
    <w:p w:rsidR="00767579" w:rsidRPr="00795817" w:rsidRDefault="000865D6" w:rsidP="00404DD1">
      <w:pPr>
        <w:pStyle w:val="Normln-tun"/>
      </w:pPr>
      <w:r w:rsidRPr="00795817">
        <w:t>Účelem zákona o elektr</w:t>
      </w:r>
      <w:r w:rsidRPr="00795817">
        <w:t>onických komunikacích</w:t>
      </w:r>
      <w:r w:rsidRPr="00795817">
        <w:rPr>
          <w:sz w:val="16"/>
          <w:szCs w:val="16"/>
        </w:rPr>
        <w:t xml:space="preserve"> </w:t>
      </w:r>
      <w:r w:rsidRPr="00795817">
        <w:t xml:space="preserve">je </w:t>
      </w:r>
      <w:r w:rsidR="003D2360" w:rsidRPr="00795817">
        <w:t xml:space="preserve">upravit pravidla pro </w:t>
      </w:r>
      <w:r w:rsidRPr="00795817">
        <w:t xml:space="preserve">zajišťování veřejné komunikační sítě, kterou tento zákon chápe jako </w:t>
      </w:r>
      <w:r w:rsidRPr="00795817">
        <w:rPr>
          <w:i/>
          <w:iCs/>
        </w:rPr>
        <w:t>„</w:t>
      </w:r>
      <w:r w:rsidR="003D2360" w:rsidRPr="00795817">
        <w:rPr>
          <w:i/>
          <w:iCs/>
        </w:rPr>
        <w:t xml:space="preserve">síť elektronických komunikací, </w:t>
      </w:r>
      <w:r w:rsidR="0020642D" w:rsidRPr="0020642D">
        <w:rPr>
          <w:i/>
          <w:iCs/>
        </w:rPr>
        <w:t>která slouží zcela nebo převážně k poskytování veřejně dostupných služeb elektronických komunikací a která podporuje přenos informací mezi koncovými body sítě, nebo síť elektronických komunikací, jejímž prostřednictvím je poskytovaná služba šíření rozhlasového a televizního vysílání</w:t>
      </w:r>
      <w:r w:rsidRPr="00795817">
        <w:rPr>
          <w:i/>
          <w:iCs/>
        </w:rPr>
        <w:t>“</w:t>
      </w:r>
      <w:r w:rsidRPr="00795817">
        <w:t xml:space="preserve">. </w:t>
      </w:r>
    </w:p>
    <w:p w:rsidR="007A6689" w:rsidRPr="00795817" w:rsidRDefault="000865D6" w:rsidP="00404DD1">
      <w:pPr>
        <w:pStyle w:val="Normln-tun"/>
      </w:pPr>
      <w:r w:rsidRPr="00795817">
        <w:t>Podnikající osobě, jež disponuje oprávněním veřejnou komunikační síť zajišťo</w:t>
      </w:r>
      <w:r w:rsidRPr="00795817">
        <w:t xml:space="preserve">vat, přiznává tento zákon právo </w:t>
      </w:r>
      <w:r w:rsidR="0089303D" w:rsidRPr="00795817">
        <w:t>na využívání cizích nemovitostí. Konkrétně stanovuje, že</w:t>
      </w:r>
    </w:p>
    <w:p w:rsidR="0020642D" w:rsidRPr="0020642D" w:rsidRDefault="000865D6" w:rsidP="0020642D">
      <w:pPr>
        <w:pStyle w:val="Normln-tun"/>
        <w:rPr>
          <w:i/>
          <w:iCs/>
        </w:rPr>
      </w:pPr>
      <w:r w:rsidRPr="00795817">
        <w:rPr>
          <w:i/>
          <w:iCs/>
        </w:rPr>
        <w:t xml:space="preserve">(1) </w:t>
      </w:r>
      <w:r w:rsidRPr="0020642D">
        <w:rPr>
          <w:i/>
          <w:iCs/>
        </w:rPr>
        <w:t>Podnikatel zajišťující veřejnou komunikační síť, který podle § 8 odst. 2 oznámil podnikání, je oprávněn v souladu s podmínkami stanovenými v rozhodnutí vydaném pod</w:t>
      </w:r>
      <w:r w:rsidRPr="0020642D">
        <w:rPr>
          <w:i/>
          <w:iCs/>
        </w:rPr>
        <w:t>le stavebního zákona a za splnění dále stanovených podmínek zřizovat a provozovat na cizím pozemku nebo v něm</w:t>
      </w:r>
    </w:p>
    <w:p w:rsidR="0020642D" w:rsidRPr="0020642D" w:rsidRDefault="0020642D" w:rsidP="0020642D">
      <w:pPr>
        <w:pStyle w:val="Normln-tun"/>
        <w:rPr>
          <w:i/>
          <w:iCs/>
        </w:rPr>
      </w:pPr>
    </w:p>
    <w:p w:rsidR="0020642D" w:rsidRPr="0020642D" w:rsidRDefault="000865D6" w:rsidP="0020642D">
      <w:pPr>
        <w:pStyle w:val="Normln-tun"/>
        <w:rPr>
          <w:i/>
          <w:iCs/>
        </w:rPr>
      </w:pPr>
      <w:r w:rsidRPr="0020642D">
        <w:rPr>
          <w:i/>
          <w:iCs/>
        </w:rPr>
        <w:t>a) nadzemní nebo podzemní komunikační vedení veřejné komunikační sítě, včetně jejich opěrných bodů nadzemního nebo vytyčovacích bodů podzemního k</w:t>
      </w:r>
      <w:r w:rsidRPr="0020642D">
        <w:rPr>
          <w:i/>
          <w:iCs/>
        </w:rPr>
        <w:t>omunikačního vedení, telefonní budky a přípojná komunikační vedení veřejné komunikační sítě, přetínat tyto pozemky vodiči a zřizovat v nich vedení veřejné komunikační sítě, jakož i související elektrické přípojky,</w:t>
      </w:r>
    </w:p>
    <w:p w:rsidR="0020642D" w:rsidRPr="0020642D" w:rsidRDefault="000865D6" w:rsidP="0020642D">
      <w:pPr>
        <w:pStyle w:val="Normln-tun"/>
        <w:rPr>
          <w:i/>
          <w:iCs/>
        </w:rPr>
      </w:pPr>
      <w:r w:rsidRPr="0020642D">
        <w:rPr>
          <w:i/>
          <w:iCs/>
        </w:rPr>
        <w:lastRenderedPageBreak/>
        <w:t xml:space="preserve">b) anténní stožáry včetně antén rádiových </w:t>
      </w:r>
      <w:r w:rsidRPr="0020642D">
        <w:rPr>
          <w:i/>
          <w:iCs/>
        </w:rPr>
        <w:t>zařízení veřejné komunikační sítě, související elektronická komunikační zařízení veřejné komunikační sítě a související elektrické přípojky,</w:t>
      </w:r>
    </w:p>
    <w:p w:rsidR="0020642D" w:rsidRPr="0020642D" w:rsidRDefault="000865D6" w:rsidP="0020642D">
      <w:pPr>
        <w:pStyle w:val="Normln-tun"/>
        <w:rPr>
          <w:i/>
          <w:iCs/>
        </w:rPr>
      </w:pPr>
      <w:r w:rsidRPr="0020642D">
        <w:rPr>
          <w:i/>
          <w:iCs/>
        </w:rPr>
        <w:t>c) anténní stožáry včetně antén rádiových směrových spojů veřejné komunikační sítě, související elektronická komuni</w:t>
      </w:r>
      <w:r w:rsidRPr="0020642D">
        <w:rPr>
          <w:i/>
          <w:iCs/>
        </w:rPr>
        <w:t>kační zařízení veřejné komunikační sítě a související elektrické přípojky.</w:t>
      </w:r>
    </w:p>
    <w:p w:rsidR="0020642D" w:rsidRPr="0020642D" w:rsidRDefault="000865D6" w:rsidP="0020642D">
      <w:pPr>
        <w:pStyle w:val="Normln-tun"/>
        <w:rPr>
          <w:i/>
          <w:iCs/>
        </w:rPr>
      </w:pPr>
      <w:r w:rsidRPr="0020642D">
        <w:rPr>
          <w:i/>
          <w:iCs/>
        </w:rPr>
        <w:t>(2) Podnikatel zajišťující veřejnou komunikační síť, který podle § 8 odst. 2 oznámil podnikání, je oprávněn za splnění dále stanovených podmínek zřizovat a provozovat na cizí stavbě</w:t>
      </w:r>
      <w:r w:rsidRPr="0020642D">
        <w:rPr>
          <w:i/>
          <w:iCs/>
        </w:rPr>
        <w:t xml:space="preserve"> nebo v ní</w:t>
      </w:r>
    </w:p>
    <w:p w:rsidR="0020642D" w:rsidRPr="0020642D" w:rsidRDefault="000865D6" w:rsidP="0020642D">
      <w:pPr>
        <w:pStyle w:val="Normln-tun"/>
        <w:rPr>
          <w:i/>
          <w:iCs/>
        </w:rPr>
      </w:pPr>
      <w:r w:rsidRPr="0020642D">
        <w:rPr>
          <w:i/>
          <w:iCs/>
        </w:rPr>
        <w:t>a) vnitřní komunikační vedení veřejné komunikační sítě včetně koncových bodů veřejné komunikační sítě a souvisejících rozvaděčů, veřejné telefonní automaty a přípojná komunikační vedení veřejné komunikační sítě, jakož i související elektrické př</w:t>
      </w:r>
      <w:r w:rsidRPr="0020642D">
        <w:rPr>
          <w:i/>
          <w:iCs/>
        </w:rPr>
        <w:t>ípojky,</w:t>
      </w:r>
    </w:p>
    <w:p w:rsidR="0020642D" w:rsidRPr="0020642D" w:rsidRDefault="000865D6" w:rsidP="0020642D">
      <w:pPr>
        <w:pStyle w:val="Normln-tun"/>
        <w:rPr>
          <w:i/>
          <w:iCs/>
        </w:rPr>
      </w:pPr>
      <w:r w:rsidRPr="0020642D">
        <w:rPr>
          <w:i/>
          <w:iCs/>
        </w:rPr>
        <w:t>b) anténní stožáry nebo anténní nosiče včetně antén rádiových zařízení veřejné komunikační sítě a jejich přípojných komunikačních vedení, související elektronická komunikační zařízení veřejné komunikační sítě, připojení na vnitřní elektrické rozvod</w:t>
      </w:r>
      <w:r w:rsidRPr="0020642D">
        <w:rPr>
          <w:i/>
          <w:iCs/>
        </w:rPr>
        <w:t>y a související elektrické přípojky,</w:t>
      </w:r>
    </w:p>
    <w:p w:rsidR="0020642D" w:rsidRPr="0020642D" w:rsidRDefault="000865D6" w:rsidP="0020642D">
      <w:pPr>
        <w:pStyle w:val="Normln-tun"/>
        <w:rPr>
          <w:i/>
          <w:iCs/>
        </w:rPr>
      </w:pPr>
      <w:r w:rsidRPr="0020642D">
        <w:rPr>
          <w:i/>
          <w:iCs/>
        </w:rPr>
        <w:t>c) anténní stožáry nebo anténní nosiče včetně antén rádiových směrových spojů veřejné komunikační sítě a jejich přípojných komunikačních vedení, související elektronická komunikační zařízení veřejné komunikační sítě, př</w:t>
      </w:r>
      <w:r w:rsidRPr="0020642D">
        <w:rPr>
          <w:i/>
          <w:iCs/>
        </w:rPr>
        <w:t>ipojení na vnitřní elektrické rozvody a související elektrické přípojky.</w:t>
      </w:r>
    </w:p>
    <w:p w:rsidR="0020642D" w:rsidRPr="0020642D" w:rsidRDefault="000865D6" w:rsidP="0020642D">
      <w:pPr>
        <w:pStyle w:val="Normln-tun"/>
        <w:rPr>
          <w:i/>
          <w:iCs/>
        </w:rPr>
      </w:pPr>
      <w:r w:rsidRPr="0020642D">
        <w:rPr>
          <w:i/>
          <w:iCs/>
        </w:rPr>
        <w:t>(3) Pro zajištění výkonu oprávnění uvedených v odstavcích 1 a 2 uzavře podnikatel zajišťující veřejnou komunikační síť s vlastníkem dotčené nemovité věci písemnou smlouvu o smlouvě bu</w:t>
      </w:r>
      <w:r w:rsidRPr="0020642D">
        <w:rPr>
          <w:i/>
          <w:iCs/>
        </w:rPr>
        <w:t>doucí o zřízení služebnosti k části dotčené nemovité věci za jednorázovou náhradu a po ukončení výstavby a zaměření polohy vedení smlouvu o zřízení služebnosti ke skutečně dotčené části nemovité věci. Na návrh podnikatele zajišťujícího veřejnou komunikační</w:t>
      </w:r>
      <w:r w:rsidRPr="0020642D">
        <w:rPr>
          <w:i/>
          <w:iCs/>
        </w:rPr>
        <w:t xml:space="preserve"> síť je možno k zajištění výkonu oprávnění uvedených v odstavcích 1 a 2 s vlastníkem dotčené nemovité věci uzavřít i jinou písemnou smlouvu. K výkonu oprávnění podle odstavce 2 písm. a) postačuje k umístění vnitřních komunikačních vedení a komunikačních za</w:t>
      </w:r>
      <w:r w:rsidRPr="0020642D">
        <w:rPr>
          <w:i/>
          <w:iCs/>
        </w:rPr>
        <w:t>řízení písemný souhlas vlastníka nemovité věci. Maximální výše jednorázové náhrady za zřízení služebnosti se stanoví jako cena zjištěná podle zákona upravujícího oceňování majetku. V případě, že vlastníkem dotčené nemovité věci je stát nebo územní samosprá</w:t>
      </w:r>
      <w:r w:rsidRPr="0020642D">
        <w:rPr>
          <w:i/>
          <w:iCs/>
        </w:rPr>
        <w:t>vný celek, který je zároveň vlastníkem anebo provozovatelem veřejné komunikační sítě nebo poskytovatelem veřejně dostupné služby elektronických komunikací, je povinen zajistit, aby výkon činností spojených s provozováním veřejné komunikační sítě nebo posky</w:t>
      </w:r>
      <w:r w:rsidRPr="0020642D">
        <w:rPr>
          <w:i/>
          <w:iCs/>
        </w:rPr>
        <w:t>továním veřejně dostupné služby elektronických komunikací byl účinně strukturálně oddělen od výkonu pravomocí týkajících se oprávnění podle odstavců 1 a 2.</w:t>
      </w:r>
    </w:p>
    <w:p w:rsidR="0020642D" w:rsidRPr="0020642D" w:rsidRDefault="000865D6" w:rsidP="0020642D">
      <w:pPr>
        <w:pStyle w:val="Normln-tun"/>
        <w:rPr>
          <w:i/>
          <w:iCs/>
        </w:rPr>
      </w:pPr>
      <w:r w:rsidRPr="0020642D">
        <w:rPr>
          <w:i/>
          <w:iCs/>
        </w:rPr>
        <w:t>(4) Nedojde-li s vlastníkem dotčené nemovité věci k uzavření písemné smlouvy o smlouvě budoucí o zří</w:t>
      </w:r>
      <w:r w:rsidRPr="0020642D">
        <w:rPr>
          <w:i/>
          <w:iCs/>
        </w:rPr>
        <w:t>zení služebnosti nebo smlouvy o zřízení služebnosti podle odstavce 3 nebo prokáže-li podnikatel zajišťující veřejnou komunikační síť, že vlastník dotčené nemovité věci není znám nebo není určen anebo proto, že je prokazatelně nedosažitelný nebo nečinný neb</w:t>
      </w:r>
      <w:r w:rsidRPr="0020642D">
        <w:rPr>
          <w:i/>
          <w:iCs/>
        </w:rPr>
        <w:t>o je-li vlastnictví nemovité věci sporné, či vlastník v dispozici s ní omezen, rozhodne o návrhu podnikatele zajišťujícího veřejnou komunikační síť na zřízení služebnosti vyvlastňovací úřad podle zvláštního právního předpisu nejpozději do 6 měsíců. To plat</w:t>
      </w:r>
      <w:r w:rsidRPr="0020642D">
        <w:rPr>
          <w:i/>
          <w:iCs/>
        </w:rPr>
        <w:t xml:space="preserve">í i v případě, kdy je stavba, pro kterou se právo vyvlastňuje, zřizována nebo již byla zřízena a zřízení služebnosti nezmařil podnikatel zajišťující veřejnou komunikační síť. Podnikatel zajišťující veřejnou komunikační síť může vykonávat oprávnění uvedená </w:t>
      </w:r>
      <w:r w:rsidRPr="0020642D">
        <w:rPr>
          <w:i/>
          <w:iCs/>
        </w:rPr>
        <w:t xml:space="preserve">v rozhodnutí vyvlastňovacího úřadu o </w:t>
      </w:r>
      <w:r w:rsidRPr="0020642D">
        <w:rPr>
          <w:i/>
          <w:iCs/>
        </w:rPr>
        <w:lastRenderedPageBreak/>
        <w:t>omezení vlastnického práva k dotčené nemovité věci ode dne vykonatelnosti tohoto rozhodnutí.</w:t>
      </w:r>
    </w:p>
    <w:p w:rsidR="007A6689" w:rsidRPr="00795817" w:rsidRDefault="000865D6" w:rsidP="0020642D">
      <w:pPr>
        <w:pStyle w:val="Normln-tun"/>
        <w:rPr>
          <w:i/>
          <w:iCs/>
        </w:rPr>
      </w:pPr>
      <w:r w:rsidRPr="0020642D">
        <w:rPr>
          <w:i/>
          <w:iCs/>
        </w:rPr>
        <w:t>(5) Omezení vlastnického práva nesmí být provedeno ve větším rozsahu, než je k dosažení účelu uvedeného v odstavcích 1 a 2 nez</w:t>
      </w:r>
      <w:r w:rsidRPr="0020642D">
        <w:rPr>
          <w:i/>
          <w:iCs/>
        </w:rPr>
        <w:t>bytné.</w:t>
      </w:r>
    </w:p>
    <w:p w:rsidR="008B2FE5" w:rsidRPr="00795817" w:rsidRDefault="000865D6" w:rsidP="00404DD1">
      <w:pPr>
        <w:pStyle w:val="Normln-tun"/>
      </w:pPr>
      <w:r w:rsidRPr="00795817">
        <w:t>Tj. z</w:t>
      </w:r>
      <w:r w:rsidR="00767579" w:rsidRPr="00795817">
        <w:t xml:space="preserve">ákonem je připuštěna možnost krajního řešení celé situace, a to v případech, kdy s vlastníkem dotčené nemovitosti nedojde k uzavření konkrétní písemné smlouvy o smlouvě budoucí, případně prokáže-li podnikající osoba, jež zajišťuje veřejnou komunikační síť, že vlastník dotčené nemovitosti není znám nebo není určen, anebo že jde o vlastníka prokazatelně nedosažitelného nebo nečinného </w:t>
      </w:r>
      <w:r w:rsidRPr="00795817">
        <w:t>atd</w:t>
      </w:r>
      <w:r w:rsidR="00767579" w:rsidRPr="00795817">
        <w:t>.</w:t>
      </w:r>
    </w:p>
    <w:p w:rsidR="00767579" w:rsidRPr="00795817" w:rsidRDefault="000865D6" w:rsidP="00404DD1">
      <w:pPr>
        <w:pStyle w:val="Normln-tun"/>
      </w:pPr>
      <w:r w:rsidRPr="00795817">
        <w:rPr>
          <w:u w:val="single"/>
        </w:rPr>
        <w:t>Účely vyvlastnění dle vodního zákona</w:t>
      </w:r>
      <w:r w:rsidRPr="00795817">
        <w:t xml:space="preserve"> </w:t>
      </w:r>
    </w:p>
    <w:p w:rsidR="00767579" w:rsidRPr="00795817" w:rsidRDefault="000865D6" w:rsidP="00404DD1">
      <w:pPr>
        <w:pStyle w:val="Normln-tun"/>
      </w:pPr>
      <w:r w:rsidRPr="00795817">
        <w:t xml:space="preserve">Účely vyvlastnění se vyskytují i v právní úpravě vodního zákona. </w:t>
      </w:r>
    </w:p>
    <w:p w:rsidR="00767579" w:rsidRDefault="000865D6" w:rsidP="00404DD1">
      <w:pPr>
        <w:pStyle w:val="Normln-tun"/>
        <w:rPr>
          <w:sz w:val="16"/>
          <w:szCs w:val="16"/>
        </w:rPr>
      </w:pPr>
      <w:r w:rsidRPr="00795817">
        <w:t>V příp</w:t>
      </w:r>
      <w:r w:rsidRPr="00795817">
        <w:t>adech zvláštního nakládání vodní zákon v § 11 stanoví, že pokud dojde k situaci, že určité nakládání s vodami, k němuž bylo konkrétní osobě vydáno povolení, je nezbytné s ohledem na veřejný zájem, může vodoprávní úřad uložit využití vodního díla nebo zaříz</w:t>
      </w:r>
      <w:r w:rsidRPr="00795817">
        <w:t>ení k povolenému nakládání s vodami další fyzické nebo právnické osobě, jež bude odlišná od osoby, které bylo takové povolení původně vydáno. K takovému postupu je možno přistoupit za situace, kdy původní oprávněný toto své povolení nevyužívá zcela nebo zč</w:t>
      </w:r>
      <w:r w:rsidRPr="00795817">
        <w:t>ásti. Na základě tohoto rozhodnutí vodoprávního úřadu pak musí původní oprávněný takovéto nakládání s vodami v rámci jednání třetích osob strpět, avšak náleží mu za to přiměřená náhrada. Platnost výše uvedeného rozhodnutí je však omezena pouze na dobu nezb</w:t>
      </w:r>
      <w:r w:rsidRPr="00795817">
        <w:t>ytně nutnou, případně do doby rozhodnutí o vyvlastnění nebo omezení vlastnického práva.</w:t>
      </w:r>
      <w:r w:rsidRPr="00795817">
        <w:rPr>
          <w:sz w:val="16"/>
          <w:szCs w:val="16"/>
        </w:rPr>
        <w:t xml:space="preserve"> </w:t>
      </w:r>
    </w:p>
    <w:p w:rsidR="009C239B" w:rsidRPr="00795817" w:rsidRDefault="000865D6" w:rsidP="00404DD1">
      <w:pPr>
        <w:pStyle w:val="Normln-tun"/>
        <w:rPr>
          <w:sz w:val="16"/>
          <w:szCs w:val="16"/>
        </w:rPr>
      </w:pPr>
      <w:r w:rsidRPr="00795817">
        <w:t xml:space="preserve">Druhý účel případného vyvlastnění je upraven v § 55a vodního zákona. </w:t>
      </w:r>
      <w:r w:rsidR="007B1A7B" w:rsidRPr="00795817">
        <w:t xml:space="preserve">Dle tohoto ustanovení </w:t>
      </w:r>
      <w:r w:rsidR="007B1A7B" w:rsidRPr="00795817">
        <w:rPr>
          <w:i/>
          <w:iCs/>
        </w:rPr>
        <w:t xml:space="preserve">práva </w:t>
      </w:r>
      <w:r w:rsidR="0015425A" w:rsidRPr="0015425A">
        <w:rPr>
          <w:i/>
          <w:iCs/>
        </w:rPr>
        <w:t>k pozemkům a stavbám, potřebným pro uskutečnění veřejně prospěšných staveb na ochranu před povodněmi, lze odejmout nebo omezit postupem podle zákona o vyvlastnění</w:t>
      </w:r>
      <w:r w:rsidR="007B1A7B" w:rsidRPr="00795817">
        <w:rPr>
          <w:i/>
          <w:iCs/>
        </w:rPr>
        <w:t>.</w:t>
      </w:r>
      <w:r>
        <w:rPr>
          <w:rStyle w:val="Znakapoznpodarou"/>
        </w:rPr>
        <w:footnoteReference w:id="1"/>
      </w:r>
    </w:p>
    <w:p w:rsidR="00E358D6" w:rsidRDefault="000865D6" w:rsidP="001E4012">
      <w:pPr>
        <w:pStyle w:val="Normln-tun"/>
      </w:pPr>
      <w:r>
        <w:rPr>
          <w:u w:val="single"/>
        </w:rPr>
        <w:t>Z</w:t>
      </w:r>
      <w:r w:rsidRPr="001E4012">
        <w:rPr>
          <w:u w:val="single"/>
        </w:rPr>
        <w:t xml:space="preserve">ákon </w:t>
      </w:r>
      <w:r w:rsidR="00F02636">
        <w:rPr>
          <w:u w:val="single"/>
        </w:rPr>
        <w:t xml:space="preserve">č. </w:t>
      </w:r>
      <w:r w:rsidRPr="001E4012">
        <w:rPr>
          <w:u w:val="single"/>
        </w:rPr>
        <w:t>189/1999 Sb., o nouzových zásobách ropy, o řešení stavů ropné nouze a o změně některých souvisejících zákonů (zákon o nouzových zásobách ropy),</w:t>
      </w:r>
      <w:r w:rsidRPr="001E4012">
        <w:t xml:space="preserve"> umožňu</w:t>
      </w:r>
      <w:r w:rsidRPr="001E4012">
        <w:t>je provozovatelům skladovacího zařízení, produktovodu nebo ropovodu dosáhnout zřízení věcného břemene k cizím nemovitostem umožňujícího zřízení a provozování uvedené technické infrastruktury, za splnění podmínek podle zákona o vyvlastnění</w:t>
      </w:r>
      <w:r>
        <w:t>.</w:t>
      </w:r>
    </w:p>
    <w:p w:rsidR="001E4012" w:rsidRPr="00DB1D38" w:rsidRDefault="000865D6" w:rsidP="001E4012">
      <w:pPr>
        <w:pStyle w:val="Normln-tun"/>
        <w:rPr>
          <w:bCs/>
        </w:rPr>
      </w:pPr>
      <w:r w:rsidRPr="00DB1D38">
        <w:rPr>
          <w:u w:val="single"/>
        </w:rPr>
        <w:t>Zákonem č. 498/2</w:t>
      </w:r>
      <w:r w:rsidRPr="00DB1D38">
        <w:rPr>
          <w:u w:val="single"/>
        </w:rPr>
        <w:t>012 Sb., kterým se mění zákon č. 44/1988 Sb., o ochraně a využití nerostného bohatství (horní zákon), ve znění pozdějších předpisů (dále jen „horní zákon“),</w:t>
      </w:r>
      <w:r w:rsidR="005C6EE8" w:rsidRPr="00DB1D38">
        <w:t xml:space="preserve"> byl s účinností od 15. ledna </w:t>
      </w:r>
      <w:r w:rsidRPr="00DB1D38">
        <w:t>2013 (v návaznosti na změnu § 31 odst. 4) vypuštěn odstavec 4, který u</w:t>
      </w:r>
      <w:r w:rsidRPr="00DB1D38">
        <w:t xml:space="preserve">možňoval vyvlastnění nemovitostí dotčených využíváním výhradních ložisek nerostů (odstavec 4 zněl: </w:t>
      </w:r>
      <w:r w:rsidRPr="00DB1D38">
        <w:rPr>
          <w:i/>
        </w:rPr>
        <w:t xml:space="preserve">"Nedojde-li k dohodě mezi organizací a fyzickými nebo právnickými osobami, které jsou vlastníky dotčených pozemků a nemovitostí a převažuje-li veřejný zájem </w:t>
      </w:r>
      <w:r w:rsidRPr="00DB1D38">
        <w:rPr>
          <w:i/>
        </w:rPr>
        <w:t>na využití výhradního ložiska nad oprávněným zájmem vlastníka pozemků a jiných nemovitostí, postupuje se podle § 31 odst. 4."</w:t>
      </w:r>
      <w:r w:rsidRPr="00DB1D38">
        <w:t>).</w:t>
      </w:r>
      <w:r w:rsidRPr="00DB1D38">
        <w:rPr>
          <w:bCs/>
        </w:rPr>
        <w:t xml:space="preserve"> Stalo se tak z politických zájmů při hledání potřebné většiny pro přijetí církevních restitucí proti „vetu prezidenta republiky </w:t>
      </w:r>
      <w:r w:rsidRPr="00DB1D38">
        <w:rPr>
          <w:bCs/>
        </w:rPr>
        <w:t>ze dne 19. listopadu 2012.</w:t>
      </w:r>
    </w:p>
    <w:p w:rsidR="001E4012" w:rsidRPr="00DB1D38" w:rsidRDefault="000865D6" w:rsidP="001E4012">
      <w:pPr>
        <w:pStyle w:val="Normln-tun"/>
      </w:pPr>
      <w:r w:rsidRPr="00DB1D38">
        <w:t xml:space="preserve">Odstraněním možnosti vyvlastnit nemovitosti, pod kterými se nachází výhradní ložiska, vznikla disproporce mezi postavením státu jako vlastníka nerostného bohatství a </w:t>
      </w:r>
      <w:r w:rsidRPr="00DB1D38">
        <w:lastRenderedPageBreak/>
        <w:t>postavením vlastníků příslušných nemovitostí. Naplnění povinnos</w:t>
      </w:r>
      <w:r w:rsidRPr="00DB1D38">
        <w:t>ti státu dbát o šetrné využívání přírodních zdrojů a ochranu přírodního bohatství podle čl. 7 Ústavy tak bylo ztíženo a v praxi mohou nastat případy, kdy by celé ložisko nerostu nemohlo být řádně vydobyto ani ochráněno. Stát se na základě zákona č. 498/201</w:t>
      </w:r>
      <w:r w:rsidRPr="00DB1D38">
        <w:t xml:space="preserve">2 Sb. zbavil obecného právního nástroje, který mu v případě potřeby zajišťoval přístup k jeho vlastnictví, tj. k nerostnému bohatství. </w:t>
      </w:r>
    </w:p>
    <w:p w:rsidR="001E4012" w:rsidRPr="00DB1D38" w:rsidRDefault="000865D6" w:rsidP="001E4012">
      <w:pPr>
        <w:pStyle w:val="Normln-tun"/>
      </w:pPr>
      <w:r w:rsidRPr="00DB1D38">
        <w:t>Osm let aplikace řešení zvoleného v roce 2012 dalo prezidentskému vetu za pravdu a přináší problémy pro další rozvoj eko</w:t>
      </w:r>
      <w:r w:rsidRPr="00DB1D38">
        <w:t>nomiky a společnosti. Vážně hrozí např. nedostatek stavebních materiálů, zejména pro Hlavní město Prahu, ale i pro další města, pro výstavbu dálnic, rychlostních silnic a železničních koridorů atd. Tím je vyvolána nutnost ekologicky nešetrných a v podstatě</w:t>
      </w:r>
      <w:r w:rsidRPr="00DB1D38">
        <w:t xml:space="preserve"> zbytečných dovozů stavebních surovin z velkých vzdáleností. Obdobné problémy detekují práce na regionálních surovinových politikách pro jednotlivé kraje i u dalších nerostů nezbytných pro žádoucí rozvoj zpracovatelského průmyslu s vážnými ekonomickými a s</w:t>
      </w:r>
      <w:r w:rsidRPr="00DB1D38">
        <w:t>ociálními dopady. Je pociťována veřejná objednávka na znovuzavedení možnosti vyvlastnění ve veřejném zájmu.</w:t>
      </w:r>
    </w:p>
    <w:p w:rsidR="001E4012" w:rsidRPr="00DB1D38" w:rsidRDefault="000865D6" w:rsidP="001E4012">
      <w:pPr>
        <w:pStyle w:val="Normln-tun"/>
        <w:rPr>
          <w:iCs/>
        </w:rPr>
      </w:pPr>
      <w:r w:rsidRPr="00DB1D38">
        <w:t xml:space="preserve">Absence možnosti vyvlastnění nemovitostí dotčených využíváním výhradních ložisek nerostů neumožňuje zcela naplnit tu část programového prohlášení </w:t>
      </w:r>
      <w:r w:rsidRPr="00DB1D38">
        <w:t>vlády, ve kterém se vláda zavázala „</w:t>
      </w:r>
      <w:r w:rsidRPr="00DB1D38">
        <w:rPr>
          <w:i/>
          <w:iCs/>
        </w:rPr>
        <w:t>důsledně hájit vlastnické, ekonomické a environmentální zájmy státu při využívání ložisek nerostných surovin České republiky, především strategických surovin. Cílem je, aby maximální efekt z těžby všech nerostných surovi</w:t>
      </w:r>
      <w:r w:rsidRPr="00DB1D38">
        <w:rPr>
          <w:i/>
          <w:iCs/>
        </w:rPr>
        <w:t>n zůstal v rukou státu. V tomto smyslu se neprodleně upraví Surovinová strategie České republiky a následně také příslušná legislativa, především horní zákon a geologický zákon“.</w:t>
      </w:r>
      <w:r w:rsidRPr="00DB1D38">
        <w:rPr>
          <w:iCs/>
        </w:rPr>
        <w:t xml:space="preserve"> </w:t>
      </w:r>
    </w:p>
    <w:p w:rsidR="001E4012" w:rsidRPr="00DB1D38" w:rsidRDefault="000865D6" w:rsidP="001E4012">
      <w:pPr>
        <w:pStyle w:val="Normln-tun"/>
        <w:rPr>
          <w:iCs/>
        </w:rPr>
      </w:pPr>
      <w:r w:rsidRPr="00DB1D38">
        <w:rPr>
          <w:iCs/>
        </w:rPr>
        <w:t>Vláda také ve svém usnesení č. 713 ze dne 11. října 2017 vyjádřila souhlas s</w:t>
      </w:r>
      <w:r w:rsidRPr="00DB1D38">
        <w:rPr>
          <w:iCs/>
        </w:rPr>
        <w:t>e zvýšením kontroly státu nad využíváním kritických superstrategických surovin Evropské unie mj. s tím, že veřejným zájmem státu je získání přímé kontroly nad hájením vlastnických, ekonomických a environmentálních zájmů státu při osvojování ložisek strateg</w:t>
      </w:r>
      <w:r w:rsidRPr="00DB1D38">
        <w:rPr>
          <w:iCs/>
        </w:rPr>
        <w:t>ických nerostných surovin České republiky, což se jeví v případě ne</w:t>
      </w:r>
      <w:r w:rsidRPr="00DB1D38">
        <w:t xml:space="preserve">možnosti vyvlastnění nemovitostí dotčených využíváním </w:t>
      </w:r>
      <w:r w:rsidRPr="00DB1D38">
        <w:rPr>
          <w:iCs/>
        </w:rPr>
        <w:t>strategických nerostných surovin jako velmi problematické.</w:t>
      </w:r>
      <w:r w:rsidR="00123337" w:rsidRPr="00DB1D38">
        <w:rPr>
          <w:iCs/>
        </w:rPr>
        <w:t xml:space="preserve"> (</w:t>
      </w:r>
      <w:r w:rsidR="00123337" w:rsidRPr="00DB1D38">
        <w:rPr>
          <w:i/>
        </w:rPr>
        <w:t>Zdroj: MPO</w:t>
      </w:r>
      <w:r w:rsidR="00123337" w:rsidRPr="00DB1D38">
        <w:rPr>
          <w:iCs/>
        </w:rPr>
        <w:t>)</w:t>
      </w:r>
    </w:p>
    <w:p w:rsidR="008C1AAC" w:rsidRPr="005224B6" w:rsidRDefault="000865D6" w:rsidP="008C1AAC">
      <w:pPr>
        <w:pStyle w:val="Normln-tun"/>
        <w:rPr>
          <w:iCs/>
        </w:rPr>
      </w:pPr>
      <w:r w:rsidRPr="00DB1D38">
        <w:rPr>
          <w:iCs/>
        </w:rPr>
        <w:t xml:space="preserve">Výše uvedené odstavce samozřejmě nepopisují všechna </w:t>
      </w:r>
      <w:r w:rsidR="00494D67" w:rsidRPr="00DB1D38">
        <w:rPr>
          <w:iCs/>
        </w:rPr>
        <w:t xml:space="preserve">potenciálně potřebná </w:t>
      </w:r>
      <w:r w:rsidRPr="00DB1D38">
        <w:rPr>
          <w:iCs/>
        </w:rPr>
        <w:t xml:space="preserve">omezení vlastnických práv </w:t>
      </w:r>
      <w:r w:rsidR="00494D67" w:rsidRPr="00DB1D38">
        <w:rPr>
          <w:iCs/>
        </w:rPr>
        <w:t>v souvislosti</w:t>
      </w:r>
      <w:r w:rsidRPr="00DB1D38">
        <w:rPr>
          <w:iCs/>
        </w:rPr>
        <w:t xml:space="preserve"> s dobýváním. Dále by bylo možné doplnit např. právo vstupu na cizí pozemky, právo vypouštět důlní vody, povinnost strpět umístění měřických značek a jiných měřických zařízení na nemovitostech a další instit</w:t>
      </w:r>
      <w:r w:rsidRPr="00DB1D38">
        <w:rPr>
          <w:iCs/>
        </w:rPr>
        <w:t>uty směřující k ochraně nerostného bohatství.</w:t>
      </w:r>
    </w:p>
    <w:p w:rsidR="00CD554D" w:rsidRDefault="00CD554D" w:rsidP="00E358D6">
      <w:pPr>
        <w:pStyle w:val="Normln-tun"/>
        <w:rPr>
          <w:b/>
          <w:bCs/>
        </w:rPr>
      </w:pPr>
    </w:p>
    <w:p w:rsidR="005E1409" w:rsidRPr="00CD554D" w:rsidRDefault="000865D6" w:rsidP="00E358D6">
      <w:pPr>
        <w:pStyle w:val="Normln-tun"/>
        <w:rPr>
          <w:b/>
          <w:bCs/>
          <w:smallCaps/>
        </w:rPr>
      </w:pPr>
      <w:r w:rsidRPr="00CD554D">
        <w:rPr>
          <w:b/>
          <w:bCs/>
          <w:smallCaps/>
        </w:rPr>
        <w:t>Statistická data</w:t>
      </w:r>
    </w:p>
    <w:p w:rsidR="0010182A" w:rsidRPr="0010182A" w:rsidRDefault="000865D6" w:rsidP="00E358D6">
      <w:pPr>
        <w:pStyle w:val="Normln-tun"/>
        <w:rPr>
          <w:b/>
          <w:bCs/>
        </w:rPr>
      </w:pPr>
      <w:r w:rsidRPr="0010182A">
        <w:rPr>
          <w:b/>
          <w:bCs/>
        </w:rPr>
        <w:t>Data získaná ze strany vyvlastňovacích úřadů</w:t>
      </w:r>
    </w:p>
    <w:p w:rsidR="00E358D6" w:rsidRDefault="000865D6" w:rsidP="00E358D6">
      <w:pPr>
        <w:pStyle w:val="Normln-tun"/>
      </w:pPr>
      <w:r w:rsidRPr="00795817">
        <w:t>Statistiku počtu vyvlastňovacích řízení lze prozatím přiblížit na následujících údajích</w:t>
      </w:r>
      <w:r w:rsidR="00490404">
        <w:t>,</w:t>
      </w:r>
      <w:r w:rsidR="00490404" w:rsidRPr="00490404">
        <w:t xml:space="preserve"> </w:t>
      </w:r>
      <w:r w:rsidR="00490404">
        <w:t>dodan</w:t>
      </w:r>
      <w:r w:rsidR="00B367FF">
        <w:t>ých</w:t>
      </w:r>
      <w:r w:rsidR="00490404">
        <w:t xml:space="preserve"> jednotlivými vyvlastňovacími úřady</w:t>
      </w:r>
      <w:r w:rsidR="00073E96">
        <w:t xml:space="preserve"> v různé míře detailu. Nicméně i přesto lze ze zaslaných dat vyčíst informace o počtu či distribuci </w:t>
      </w:r>
      <w:r w:rsidR="00711B7C">
        <w:t>vedených vyvlastňovacích řízení.</w:t>
      </w:r>
      <w:r w:rsidR="00073E96">
        <w:t xml:space="preserve">  </w:t>
      </w:r>
    </w:p>
    <w:p w:rsidR="00FC2B13" w:rsidRDefault="000865D6">
      <w:pPr>
        <w:spacing w:before="0" w:after="0"/>
        <w:jc w:val="left"/>
        <w:rPr>
          <w:rFonts w:ascii="Cambria" w:hAnsi="Cambria"/>
          <w:u w:val="single"/>
        </w:rPr>
      </w:pPr>
      <w:r>
        <w:rPr>
          <w:u w:val="single"/>
        </w:rPr>
        <w:br w:type="page"/>
      </w:r>
    </w:p>
    <w:p w:rsidR="00B807B3" w:rsidRDefault="000865D6" w:rsidP="00E358D6">
      <w:pPr>
        <w:pStyle w:val="Normln-tun"/>
        <w:rPr>
          <w:u w:val="single"/>
        </w:rPr>
      </w:pPr>
      <w:r w:rsidRPr="0010182A">
        <w:rPr>
          <w:u w:val="single"/>
        </w:rPr>
        <w:lastRenderedPageBreak/>
        <w:t>Souhrnná data</w:t>
      </w:r>
    </w:p>
    <w:p w:rsidR="0064415B" w:rsidRDefault="000865D6" w:rsidP="0064415B">
      <w:pPr>
        <w:pStyle w:val="Titulek"/>
        <w:keepNext/>
      </w:pPr>
      <w:r>
        <w:t xml:space="preserve">Tabulka </w:t>
      </w:r>
      <w:r w:rsidR="00D644CC">
        <w:fldChar w:fldCharType="begin"/>
      </w:r>
      <w:r>
        <w:instrText xml:space="preserve"> SEQ Tabulka \* ARABIC </w:instrText>
      </w:r>
      <w:r w:rsidR="00D644CC">
        <w:fldChar w:fldCharType="separate"/>
      </w:r>
      <w:r>
        <w:t>2</w:t>
      </w:r>
      <w:r w:rsidR="00D644CC">
        <w:rPr>
          <w:noProof/>
        </w:rPr>
        <w:fldChar w:fldCharType="end"/>
      </w:r>
      <w:r>
        <w:t xml:space="preserve">: </w:t>
      </w:r>
      <w:r>
        <w:rPr>
          <w:sz w:val="20"/>
        </w:rPr>
        <w:t>Počty vedených vyvlastňovacích řízení v letech 2019–2021</w:t>
      </w:r>
    </w:p>
    <w:tbl>
      <w:tblPr>
        <w:tblStyle w:val="Barevntabulkaseznamu6"/>
        <w:tblW w:w="8921" w:type="dxa"/>
        <w:tblInd w:w="5" w:type="dxa"/>
        <w:tblBorders>
          <w:top w:val="none" w:sz="0" w:space="0" w:color="auto"/>
          <w:bottom w:val="none" w:sz="0" w:space="0" w:color="auto"/>
        </w:tblBorders>
        <w:tblLayout w:type="fixed"/>
        <w:tblLook w:val="04A0" w:firstRow="1" w:lastRow="0" w:firstColumn="1" w:lastColumn="0" w:noHBand="0" w:noVBand="1"/>
      </w:tblPr>
      <w:tblGrid>
        <w:gridCol w:w="1694"/>
        <w:gridCol w:w="801"/>
        <w:gridCol w:w="803"/>
        <w:gridCol w:w="803"/>
        <w:gridCol w:w="803"/>
        <w:gridCol w:w="802"/>
        <w:gridCol w:w="803"/>
        <w:gridCol w:w="803"/>
        <w:gridCol w:w="803"/>
        <w:gridCol w:w="806"/>
      </w:tblGrid>
      <w:tr w:rsidR="00FC72A1" w:rsidTr="00FC72A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bottom w:val="none" w:sz="0" w:space="0" w:color="auto"/>
            </w:tcBorders>
            <w:vAlign w:val="center"/>
          </w:tcPr>
          <w:p w:rsidR="00C3609A" w:rsidRDefault="000865D6" w:rsidP="007F2F11">
            <w:pPr>
              <w:tabs>
                <w:tab w:val="left" w:pos="780"/>
              </w:tabs>
              <w:spacing w:before="0" w:after="0"/>
              <w:jc w:val="center"/>
              <w:rPr>
                <w:sz w:val="20"/>
                <w:szCs w:val="20"/>
              </w:rPr>
            </w:pPr>
            <w:r>
              <w:rPr>
                <w:sz w:val="20"/>
                <w:szCs w:val="20"/>
              </w:rPr>
              <w:t>KRAJ</w:t>
            </w:r>
          </w:p>
        </w:tc>
        <w:tc>
          <w:tcPr>
            <w:tcW w:w="2407" w:type="dxa"/>
            <w:gridSpan w:val="3"/>
            <w:tcBorders>
              <w:top w:val="single" w:sz="4" w:space="0" w:color="auto"/>
              <w:bottom w:val="none" w:sz="0" w:space="0" w:color="auto"/>
            </w:tcBorders>
            <w:vAlign w:val="center"/>
            <w:hideMark/>
          </w:tcPr>
          <w:p w:rsidR="00C3609A" w:rsidRPr="007F2F11" w:rsidRDefault="000865D6" w:rsidP="007F2F11">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F2F11">
              <w:rPr>
                <w:sz w:val="20"/>
                <w:szCs w:val="20"/>
              </w:rPr>
              <w:t>ORP</w:t>
            </w:r>
          </w:p>
        </w:tc>
        <w:tc>
          <w:tcPr>
            <w:tcW w:w="4820" w:type="dxa"/>
            <w:gridSpan w:val="6"/>
            <w:tcBorders>
              <w:top w:val="single" w:sz="4" w:space="0" w:color="auto"/>
              <w:bottom w:val="none" w:sz="0" w:space="0" w:color="auto"/>
            </w:tcBorders>
            <w:vAlign w:val="center"/>
            <w:hideMark/>
          </w:tcPr>
          <w:p w:rsidR="00C3609A" w:rsidRPr="007F2F11" w:rsidRDefault="000865D6" w:rsidP="007F2F11">
            <w:pPr>
              <w:spacing w:before="0" w:after="0"/>
              <w:jc w:val="center"/>
              <w:cnfStyle w:val="100000000000" w:firstRow="1" w:lastRow="0" w:firstColumn="0" w:lastColumn="0" w:oddVBand="0" w:evenVBand="0" w:oddHBand="0" w:evenHBand="0" w:firstRowFirstColumn="0" w:firstRowLastColumn="0" w:lastRowFirstColumn="0" w:lastRowLastColumn="0"/>
              <w:rPr>
                <w:sz w:val="20"/>
                <w:szCs w:val="20"/>
              </w:rPr>
            </w:pPr>
            <w:r w:rsidRPr="007F2F11">
              <w:rPr>
                <w:sz w:val="20"/>
                <w:szCs w:val="20"/>
              </w:rPr>
              <w:t>Kr</w:t>
            </w:r>
            <w:r w:rsidRPr="007F2F11">
              <w:rPr>
                <w:sz w:val="20"/>
                <w:szCs w:val="20"/>
              </w:rPr>
              <w:t>ajský úřad</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tcBorders>
              <w:bottom w:val="single" w:sz="4" w:space="0" w:color="auto"/>
            </w:tcBorders>
            <w:shd w:val="clear" w:color="auto" w:fill="D9D9D9" w:themeFill="background1" w:themeFillShade="D9"/>
            <w:vAlign w:val="center"/>
            <w:hideMark/>
          </w:tcPr>
          <w:p w:rsidR="007F2F11" w:rsidRPr="007F2F11" w:rsidRDefault="007F2F11" w:rsidP="007F2F11">
            <w:pPr>
              <w:spacing w:before="0" w:after="0"/>
              <w:jc w:val="center"/>
              <w:rPr>
                <w:sz w:val="20"/>
                <w:szCs w:val="20"/>
              </w:rPr>
            </w:pPr>
          </w:p>
        </w:tc>
        <w:tc>
          <w:tcPr>
            <w:tcW w:w="801" w:type="dxa"/>
            <w:tcBorders>
              <w:bottom w:val="single" w:sz="4" w:space="0" w:color="auto"/>
            </w:tcBorders>
            <w:shd w:val="clear" w:color="auto" w:fill="D9D9D9" w:themeFill="background1" w:themeFillShade="D9"/>
            <w:vAlign w:val="center"/>
            <w:hideMark/>
          </w:tcPr>
          <w:p w:rsidR="007F2F11"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2019</w:t>
            </w:r>
          </w:p>
        </w:tc>
        <w:tc>
          <w:tcPr>
            <w:tcW w:w="803" w:type="dxa"/>
            <w:tcBorders>
              <w:bottom w:val="single" w:sz="4" w:space="0" w:color="auto"/>
            </w:tcBorders>
            <w:shd w:val="clear" w:color="auto" w:fill="D9D9D9" w:themeFill="background1" w:themeFillShade="D9"/>
            <w:vAlign w:val="center"/>
            <w:hideMark/>
          </w:tcPr>
          <w:p w:rsidR="007F2F11"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2020</w:t>
            </w:r>
          </w:p>
        </w:tc>
        <w:tc>
          <w:tcPr>
            <w:tcW w:w="803" w:type="dxa"/>
            <w:tcBorders>
              <w:bottom w:val="single" w:sz="4" w:space="0" w:color="auto"/>
            </w:tcBorders>
            <w:shd w:val="clear" w:color="auto" w:fill="D9D9D9" w:themeFill="background1" w:themeFillShade="D9"/>
            <w:vAlign w:val="center"/>
            <w:hideMark/>
          </w:tcPr>
          <w:p w:rsidR="007F2F11"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2021</w:t>
            </w:r>
          </w:p>
        </w:tc>
        <w:tc>
          <w:tcPr>
            <w:tcW w:w="1605" w:type="dxa"/>
            <w:gridSpan w:val="2"/>
            <w:tcBorders>
              <w:bottom w:val="single" w:sz="4" w:space="0" w:color="auto"/>
            </w:tcBorders>
            <w:shd w:val="clear" w:color="auto" w:fill="D9D9D9" w:themeFill="background1" w:themeFillShade="D9"/>
            <w:vAlign w:val="center"/>
            <w:hideMark/>
          </w:tcPr>
          <w:p w:rsidR="007F2F11" w:rsidRDefault="000865D6" w:rsidP="007F2F11">
            <w:pPr>
              <w:tabs>
                <w:tab w:val="left" w:pos="660"/>
                <w:tab w:val="center" w:pos="1980"/>
              </w:tabs>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2019</w:t>
            </w:r>
          </w:p>
        </w:tc>
        <w:tc>
          <w:tcPr>
            <w:tcW w:w="1606" w:type="dxa"/>
            <w:gridSpan w:val="2"/>
            <w:tcBorders>
              <w:bottom w:val="single" w:sz="4" w:space="0" w:color="auto"/>
            </w:tcBorders>
            <w:shd w:val="clear" w:color="auto" w:fill="D9D9D9" w:themeFill="background1" w:themeFillShade="D9"/>
            <w:vAlign w:val="center"/>
            <w:hideMark/>
          </w:tcPr>
          <w:p w:rsidR="007F2F11"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2020</w:t>
            </w:r>
          </w:p>
        </w:tc>
        <w:tc>
          <w:tcPr>
            <w:tcW w:w="1609" w:type="dxa"/>
            <w:gridSpan w:val="2"/>
            <w:tcBorders>
              <w:bottom w:val="single" w:sz="4" w:space="0" w:color="auto"/>
            </w:tcBorders>
            <w:shd w:val="clear" w:color="auto" w:fill="D9D9D9" w:themeFill="background1" w:themeFillShade="D9"/>
            <w:vAlign w:val="center"/>
            <w:hideMark/>
          </w:tcPr>
          <w:p w:rsidR="007F2F11"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Pr>
                <w:b/>
                <w:bCs/>
                <w:sz w:val="20"/>
                <w:szCs w:val="20"/>
              </w:rPr>
              <w:t>2021</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tcBorders>
            <w:vAlign w:val="center"/>
          </w:tcPr>
          <w:p w:rsidR="00C3609A" w:rsidRPr="007927CF" w:rsidRDefault="00C3609A" w:rsidP="007F2F11">
            <w:pPr>
              <w:spacing w:before="0" w:after="0"/>
              <w:rPr>
                <w:sz w:val="16"/>
                <w:szCs w:val="16"/>
              </w:rPr>
            </w:pPr>
          </w:p>
        </w:tc>
        <w:tc>
          <w:tcPr>
            <w:tcW w:w="801" w:type="dxa"/>
            <w:tcBorders>
              <w:top w:val="single" w:sz="4" w:space="0" w:color="auto"/>
            </w:tcBorders>
            <w:vAlign w:val="center"/>
          </w:tcPr>
          <w:p w:rsidR="00C3609A" w:rsidRPr="007927CF" w:rsidRDefault="00C3609A"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03" w:type="dxa"/>
            <w:tcBorders>
              <w:top w:val="single" w:sz="4" w:space="0" w:color="auto"/>
            </w:tcBorders>
            <w:vAlign w:val="center"/>
          </w:tcPr>
          <w:p w:rsidR="00C3609A" w:rsidRPr="007927CF" w:rsidRDefault="00C3609A"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03" w:type="dxa"/>
            <w:tcBorders>
              <w:top w:val="single" w:sz="4" w:space="0" w:color="auto"/>
            </w:tcBorders>
            <w:vAlign w:val="center"/>
          </w:tcPr>
          <w:p w:rsidR="00C3609A" w:rsidRPr="007927CF" w:rsidRDefault="00C3609A"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803" w:type="dxa"/>
            <w:tcBorders>
              <w:top w:val="single" w:sz="4" w:space="0" w:color="auto"/>
            </w:tcBorders>
            <w:vAlign w:val="center"/>
            <w:hideMark/>
          </w:tcPr>
          <w:p w:rsidR="00C3609A" w:rsidRPr="007927CF"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7927CF">
              <w:rPr>
                <w:sz w:val="16"/>
                <w:szCs w:val="16"/>
              </w:rPr>
              <w:t>odvolací</w:t>
            </w:r>
          </w:p>
        </w:tc>
        <w:tc>
          <w:tcPr>
            <w:tcW w:w="802" w:type="dxa"/>
            <w:tcBorders>
              <w:top w:val="single" w:sz="4" w:space="0" w:color="auto"/>
            </w:tcBorders>
            <w:vAlign w:val="center"/>
            <w:hideMark/>
          </w:tcPr>
          <w:p w:rsidR="00C3609A" w:rsidRPr="007927CF"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PI</w:t>
            </w:r>
            <w:r w:rsidRPr="007927CF">
              <w:rPr>
                <w:sz w:val="16"/>
                <w:szCs w:val="16"/>
                <w:vertAlign w:val="superscript"/>
              </w:rPr>
              <w:t>*</w:t>
            </w:r>
          </w:p>
        </w:tc>
        <w:tc>
          <w:tcPr>
            <w:tcW w:w="803" w:type="dxa"/>
            <w:tcBorders>
              <w:top w:val="single" w:sz="4" w:space="0" w:color="auto"/>
            </w:tcBorders>
            <w:vAlign w:val="center"/>
            <w:hideMark/>
          </w:tcPr>
          <w:p w:rsidR="00C3609A" w:rsidRPr="007927CF"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7927CF">
              <w:rPr>
                <w:sz w:val="16"/>
                <w:szCs w:val="16"/>
              </w:rPr>
              <w:t>odvolací</w:t>
            </w:r>
          </w:p>
        </w:tc>
        <w:tc>
          <w:tcPr>
            <w:tcW w:w="803" w:type="dxa"/>
            <w:tcBorders>
              <w:top w:val="single" w:sz="4" w:space="0" w:color="auto"/>
            </w:tcBorders>
            <w:vAlign w:val="center"/>
            <w:hideMark/>
          </w:tcPr>
          <w:p w:rsidR="00C3609A" w:rsidRPr="007927CF"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PI</w:t>
            </w:r>
            <w:r w:rsidRPr="007927CF">
              <w:rPr>
                <w:sz w:val="16"/>
                <w:szCs w:val="16"/>
                <w:vertAlign w:val="superscript"/>
              </w:rPr>
              <w:t>*</w:t>
            </w:r>
          </w:p>
        </w:tc>
        <w:tc>
          <w:tcPr>
            <w:tcW w:w="803" w:type="dxa"/>
            <w:tcBorders>
              <w:top w:val="single" w:sz="4" w:space="0" w:color="auto"/>
            </w:tcBorders>
            <w:vAlign w:val="center"/>
            <w:hideMark/>
          </w:tcPr>
          <w:p w:rsidR="00C3609A" w:rsidRPr="007927CF"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r w:rsidRPr="007927CF">
              <w:rPr>
                <w:sz w:val="16"/>
                <w:szCs w:val="16"/>
              </w:rPr>
              <w:t>odvolací</w:t>
            </w:r>
          </w:p>
        </w:tc>
        <w:tc>
          <w:tcPr>
            <w:tcW w:w="806" w:type="dxa"/>
            <w:tcBorders>
              <w:top w:val="single" w:sz="4" w:space="0" w:color="auto"/>
            </w:tcBorders>
            <w:vAlign w:val="center"/>
            <w:hideMark/>
          </w:tcPr>
          <w:p w:rsidR="00C3609A" w:rsidRPr="007927CF"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16"/>
                <w:szCs w:val="16"/>
              </w:rPr>
            </w:pPr>
            <w:r>
              <w:rPr>
                <w:sz w:val="16"/>
                <w:szCs w:val="16"/>
              </w:rPr>
              <w:t>PI</w:t>
            </w:r>
            <w:r w:rsidRPr="007927CF">
              <w:rPr>
                <w:sz w:val="16"/>
                <w:szCs w:val="16"/>
                <w:vertAlign w:val="superscript"/>
              </w:rPr>
              <w:t>*</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Hl. m. Praha</w:t>
            </w:r>
          </w:p>
        </w:tc>
        <w:tc>
          <w:tcPr>
            <w:tcW w:w="801" w:type="dxa"/>
            <w:vAlign w:val="center"/>
          </w:tcPr>
          <w:p w:rsidR="00C3609A" w:rsidRDefault="00C3609A"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03" w:type="dxa"/>
            <w:vAlign w:val="center"/>
          </w:tcPr>
          <w:p w:rsidR="00C3609A" w:rsidRDefault="00C3609A"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03" w:type="dxa"/>
            <w:vAlign w:val="center"/>
          </w:tcPr>
          <w:p w:rsidR="00C3609A" w:rsidRDefault="00C3609A"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03" w:type="dxa"/>
            <w:vAlign w:val="center"/>
          </w:tcPr>
          <w:p w:rsidR="00C3609A" w:rsidRDefault="00C3609A"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02"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803" w:type="dxa"/>
            <w:vAlign w:val="center"/>
          </w:tcPr>
          <w:p w:rsidR="00C3609A" w:rsidRDefault="00C3609A"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803" w:type="dxa"/>
            <w:vAlign w:val="center"/>
          </w:tcPr>
          <w:p w:rsidR="00C3609A" w:rsidRDefault="00C3609A"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806"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Středočeský</w:t>
            </w:r>
          </w:p>
        </w:tc>
        <w:tc>
          <w:tcPr>
            <w:tcW w:w="801"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2"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c>
          <w:tcPr>
            <w:tcW w:w="806"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Jihočeský</w:t>
            </w:r>
          </w:p>
        </w:tc>
        <w:tc>
          <w:tcPr>
            <w:tcW w:w="801"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35</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802"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06"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Plzeňský</w:t>
            </w:r>
          </w:p>
        </w:tc>
        <w:tc>
          <w:tcPr>
            <w:tcW w:w="801"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w:t>
            </w:r>
            <w:r>
              <w:rPr>
                <w:rStyle w:val="Znakapoznpodarou"/>
                <w:sz w:val="20"/>
                <w:szCs w:val="20"/>
              </w:rPr>
              <w:footnoteReference w:id="2"/>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02"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806"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Karlovarský</w:t>
            </w:r>
          </w:p>
        </w:tc>
        <w:tc>
          <w:tcPr>
            <w:tcW w:w="801"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2"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6"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Ústecký</w:t>
            </w:r>
          </w:p>
        </w:tc>
        <w:tc>
          <w:tcPr>
            <w:tcW w:w="801"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C7E3E">
              <w:rPr>
                <w:sz w:val="20"/>
                <w:szCs w:val="20"/>
              </w:rPr>
              <w:t>58</w:t>
            </w:r>
          </w:p>
        </w:tc>
        <w:tc>
          <w:tcPr>
            <w:tcW w:w="803"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C7E3E">
              <w:rPr>
                <w:sz w:val="20"/>
                <w:szCs w:val="20"/>
              </w:rPr>
              <w:t>6</w:t>
            </w:r>
          </w:p>
        </w:tc>
        <w:tc>
          <w:tcPr>
            <w:tcW w:w="803"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C7E3E">
              <w:rPr>
                <w:sz w:val="20"/>
                <w:szCs w:val="20"/>
              </w:rPr>
              <w:t>2</w:t>
            </w:r>
          </w:p>
        </w:tc>
        <w:tc>
          <w:tcPr>
            <w:tcW w:w="803"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C7E3E">
              <w:rPr>
                <w:sz w:val="20"/>
                <w:szCs w:val="20"/>
              </w:rPr>
              <w:t>13</w:t>
            </w:r>
          </w:p>
        </w:tc>
        <w:tc>
          <w:tcPr>
            <w:tcW w:w="802"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C7E3E">
              <w:rPr>
                <w:sz w:val="20"/>
                <w:szCs w:val="20"/>
              </w:rPr>
              <w:t>19</w:t>
            </w:r>
          </w:p>
        </w:tc>
        <w:tc>
          <w:tcPr>
            <w:tcW w:w="803"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C7E3E">
              <w:rPr>
                <w:sz w:val="20"/>
                <w:szCs w:val="20"/>
              </w:rPr>
              <w:t>5</w:t>
            </w:r>
          </w:p>
        </w:tc>
        <w:tc>
          <w:tcPr>
            <w:tcW w:w="803"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03"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8C7E3E">
              <w:rPr>
                <w:sz w:val="20"/>
                <w:szCs w:val="20"/>
              </w:rPr>
              <w:t>2</w:t>
            </w:r>
          </w:p>
        </w:tc>
        <w:tc>
          <w:tcPr>
            <w:tcW w:w="806" w:type="dxa"/>
            <w:vAlign w:val="center"/>
            <w:hideMark/>
          </w:tcPr>
          <w:p w:rsidR="00C3609A" w:rsidRPr="008C7E3E"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r>
              <w:rPr>
                <w:rStyle w:val="Znakapoznpodarou"/>
                <w:sz w:val="20"/>
                <w:szCs w:val="20"/>
              </w:rPr>
              <w:footnoteReference w:id="3"/>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Liberecký</w:t>
            </w:r>
          </w:p>
        </w:tc>
        <w:tc>
          <w:tcPr>
            <w:tcW w:w="801"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w:t>
            </w:r>
          </w:p>
        </w:tc>
        <w:tc>
          <w:tcPr>
            <w:tcW w:w="803" w:type="dxa"/>
            <w:vAlign w:val="center"/>
            <w:hideMark/>
          </w:tcPr>
          <w:p w:rsidR="00C3609A" w:rsidRPr="00D01F90"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01F90">
              <w:rPr>
                <w:sz w:val="20"/>
                <w:szCs w:val="20"/>
              </w:rPr>
              <w:t>1</w:t>
            </w:r>
          </w:p>
        </w:tc>
        <w:tc>
          <w:tcPr>
            <w:tcW w:w="803" w:type="dxa"/>
            <w:vAlign w:val="center"/>
            <w:hideMark/>
          </w:tcPr>
          <w:p w:rsidR="00C3609A" w:rsidRPr="00D01F90"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D01F90">
              <w:rPr>
                <w:sz w:val="20"/>
                <w:szCs w:val="20"/>
              </w:rPr>
              <w:t>24</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2"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806"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r>
              <w:rPr>
                <w:rStyle w:val="Znakapoznpodarou"/>
                <w:sz w:val="20"/>
                <w:szCs w:val="20"/>
              </w:rPr>
              <w:footnoteReference w:id="4"/>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Královehradecký</w:t>
            </w:r>
          </w:p>
        </w:tc>
        <w:tc>
          <w:tcPr>
            <w:tcW w:w="801"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802"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43</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806"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Pardubický</w:t>
            </w:r>
          </w:p>
        </w:tc>
        <w:tc>
          <w:tcPr>
            <w:tcW w:w="801"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26</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02"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29</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c>
          <w:tcPr>
            <w:tcW w:w="806"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Vysočina</w:t>
            </w:r>
          </w:p>
        </w:tc>
        <w:tc>
          <w:tcPr>
            <w:tcW w:w="801"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802"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w:t>
            </w:r>
          </w:p>
        </w:tc>
        <w:tc>
          <w:tcPr>
            <w:tcW w:w="806"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Jihomoravský</w:t>
            </w:r>
          </w:p>
        </w:tc>
        <w:tc>
          <w:tcPr>
            <w:tcW w:w="801"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91</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82</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86</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802"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19</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w:t>
            </w:r>
          </w:p>
        </w:tc>
        <w:tc>
          <w:tcPr>
            <w:tcW w:w="806"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Olomoucký</w:t>
            </w:r>
          </w:p>
        </w:tc>
        <w:tc>
          <w:tcPr>
            <w:tcW w:w="801"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61</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17</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02"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803"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06" w:type="dxa"/>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vAlign w:val="center"/>
            <w:hideMark/>
          </w:tcPr>
          <w:p w:rsidR="00C3609A" w:rsidRPr="00D01F90" w:rsidRDefault="000865D6" w:rsidP="007F2F11">
            <w:pPr>
              <w:spacing w:before="0" w:after="0"/>
              <w:rPr>
                <w:color w:val="auto"/>
                <w:sz w:val="20"/>
                <w:szCs w:val="20"/>
              </w:rPr>
            </w:pPr>
            <w:r w:rsidRPr="00D01F90">
              <w:rPr>
                <w:color w:val="auto"/>
                <w:sz w:val="20"/>
                <w:szCs w:val="20"/>
              </w:rPr>
              <w:t>Moravskoslezský</w:t>
            </w:r>
          </w:p>
        </w:tc>
        <w:tc>
          <w:tcPr>
            <w:tcW w:w="801"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56</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55</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14</w:t>
            </w:r>
          </w:p>
        </w:tc>
        <w:tc>
          <w:tcPr>
            <w:tcW w:w="802"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0</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w:t>
            </w:r>
          </w:p>
        </w:tc>
        <w:tc>
          <w:tcPr>
            <w:tcW w:w="803"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806" w:type="dxa"/>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1694" w:type="dxa"/>
            <w:tcBorders>
              <w:bottom w:val="single" w:sz="4" w:space="0" w:color="auto"/>
            </w:tcBorders>
            <w:vAlign w:val="center"/>
            <w:hideMark/>
          </w:tcPr>
          <w:p w:rsidR="00C3609A" w:rsidRPr="00D01F90" w:rsidRDefault="000865D6" w:rsidP="007F2F11">
            <w:pPr>
              <w:spacing w:before="0" w:after="0"/>
              <w:rPr>
                <w:color w:val="auto"/>
                <w:sz w:val="20"/>
                <w:szCs w:val="20"/>
              </w:rPr>
            </w:pPr>
            <w:r w:rsidRPr="00D01F90">
              <w:rPr>
                <w:color w:val="auto"/>
                <w:sz w:val="20"/>
                <w:szCs w:val="20"/>
              </w:rPr>
              <w:t>Zlínský</w:t>
            </w:r>
          </w:p>
        </w:tc>
        <w:tc>
          <w:tcPr>
            <w:tcW w:w="801"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80</w:t>
            </w:r>
          </w:p>
        </w:tc>
        <w:tc>
          <w:tcPr>
            <w:tcW w:w="803"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w:t>
            </w:r>
          </w:p>
        </w:tc>
        <w:tc>
          <w:tcPr>
            <w:tcW w:w="803"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60</w:t>
            </w:r>
          </w:p>
        </w:tc>
        <w:tc>
          <w:tcPr>
            <w:tcW w:w="803"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w:t>
            </w:r>
          </w:p>
        </w:tc>
        <w:tc>
          <w:tcPr>
            <w:tcW w:w="802"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w:t>
            </w:r>
          </w:p>
        </w:tc>
        <w:tc>
          <w:tcPr>
            <w:tcW w:w="803"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w:t>
            </w:r>
          </w:p>
        </w:tc>
        <w:tc>
          <w:tcPr>
            <w:tcW w:w="803"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c>
          <w:tcPr>
            <w:tcW w:w="803"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w:t>
            </w:r>
          </w:p>
        </w:tc>
        <w:tc>
          <w:tcPr>
            <w:tcW w:w="806" w:type="dxa"/>
            <w:tcBorders>
              <w:bottom w:val="single" w:sz="4" w:space="0" w:color="auto"/>
            </w:tcBorders>
            <w:vAlign w:val="center"/>
            <w:hideMark/>
          </w:tcPr>
          <w:p w:rsidR="00C3609A" w:rsidRDefault="000865D6" w:rsidP="007F2F11">
            <w:pPr>
              <w:spacing w:before="0" w:after="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694" w:type="dxa"/>
            <w:tcBorders>
              <w:top w:val="single" w:sz="4" w:space="0" w:color="auto"/>
              <w:bottom w:val="single" w:sz="4" w:space="0" w:color="auto"/>
            </w:tcBorders>
            <w:vAlign w:val="center"/>
            <w:hideMark/>
          </w:tcPr>
          <w:p w:rsidR="00C3609A" w:rsidRDefault="000865D6" w:rsidP="007F2F11">
            <w:pPr>
              <w:spacing w:before="0" w:after="0"/>
              <w:rPr>
                <w:sz w:val="20"/>
                <w:szCs w:val="20"/>
              </w:rPr>
            </w:pPr>
            <w:r>
              <w:rPr>
                <w:sz w:val="20"/>
                <w:szCs w:val="20"/>
              </w:rPr>
              <w:t xml:space="preserve">CELKEM </w:t>
            </w:r>
          </w:p>
        </w:tc>
        <w:tc>
          <w:tcPr>
            <w:tcW w:w="801"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463</w:t>
            </w:r>
          </w:p>
        </w:tc>
        <w:tc>
          <w:tcPr>
            <w:tcW w:w="803"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327</w:t>
            </w:r>
          </w:p>
        </w:tc>
        <w:tc>
          <w:tcPr>
            <w:tcW w:w="803"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318</w:t>
            </w:r>
          </w:p>
        </w:tc>
        <w:tc>
          <w:tcPr>
            <w:tcW w:w="803"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44</w:t>
            </w:r>
          </w:p>
        </w:tc>
        <w:tc>
          <w:tcPr>
            <w:tcW w:w="802"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66</w:t>
            </w:r>
          </w:p>
        </w:tc>
        <w:tc>
          <w:tcPr>
            <w:tcW w:w="803"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52</w:t>
            </w:r>
          </w:p>
        </w:tc>
        <w:tc>
          <w:tcPr>
            <w:tcW w:w="803"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171</w:t>
            </w:r>
          </w:p>
        </w:tc>
        <w:tc>
          <w:tcPr>
            <w:tcW w:w="803"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49</w:t>
            </w:r>
          </w:p>
        </w:tc>
        <w:tc>
          <w:tcPr>
            <w:tcW w:w="806" w:type="dxa"/>
            <w:tcBorders>
              <w:top w:val="single" w:sz="4" w:space="0" w:color="auto"/>
              <w:bottom w:val="single" w:sz="4" w:space="0" w:color="auto"/>
            </w:tcBorders>
            <w:vAlign w:val="center"/>
            <w:hideMark/>
          </w:tcPr>
          <w:p w:rsidR="00C3609A" w:rsidRDefault="000865D6" w:rsidP="007F2F11">
            <w:pPr>
              <w:spacing w:before="0" w:after="0"/>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160</w:t>
            </w:r>
          </w:p>
        </w:tc>
      </w:tr>
    </w:tbl>
    <w:p w:rsidR="00C3609A" w:rsidRDefault="000865D6" w:rsidP="007927CF">
      <w:pPr>
        <w:pStyle w:val="Citt"/>
      </w:pPr>
      <w:r w:rsidRPr="007927CF">
        <w:rPr>
          <w:vertAlign w:val="superscript"/>
        </w:rPr>
        <w:t>*</w:t>
      </w:r>
      <w:r>
        <w:t>PI - prvoinstanční</w:t>
      </w:r>
    </w:p>
    <w:p w:rsidR="00D476C4" w:rsidRPr="0010182A" w:rsidRDefault="000865D6" w:rsidP="003A227C">
      <w:pPr>
        <w:pStyle w:val="Normln-tun"/>
        <w:rPr>
          <w:u w:val="single"/>
        </w:rPr>
      </w:pPr>
      <w:r w:rsidRPr="0010182A">
        <w:rPr>
          <w:u w:val="single"/>
        </w:rPr>
        <w:t>Vybran</w:t>
      </w:r>
      <w:r w:rsidR="0010182A">
        <w:rPr>
          <w:u w:val="single"/>
        </w:rPr>
        <w:t>é</w:t>
      </w:r>
      <w:r w:rsidRPr="0010182A">
        <w:rPr>
          <w:u w:val="single"/>
        </w:rPr>
        <w:t xml:space="preserve"> detailnější </w:t>
      </w:r>
      <w:r w:rsidR="0010182A">
        <w:rPr>
          <w:u w:val="single"/>
        </w:rPr>
        <w:t>hodnoty</w:t>
      </w:r>
    </w:p>
    <w:p w:rsidR="00043260" w:rsidRPr="00043260" w:rsidRDefault="000865D6" w:rsidP="00043260">
      <w:pPr>
        <w:pStyle w:val="Titulek"/>
        <w:keepNext/>
      </w:pPr>
      <w:r>
        <w:t xml:space="preserve">Tabulka </w:t>
      </w:r>
      <w:r w:rsidR="00D644CC">
        <w:fldChar w:fldCharType="begin"/>
      </w:r>
      <w:r>
        <w:instrText xml:space="preserve"> SEQ Tabulka \* ARABIC </w:instrText>
      </w:r>
      <w:r w:rsidR="00D644CC">
        <w:fldChar w:fldCharType="separate"/>
      </w:r>
      <w:r>
        <w:t>3</w:t>
      </w:r>
      <w:r w:rsidR="00D644CC">
        <w:rPr>
          <w:noProof/>
        </w:rPr>
        <w:fldChar w:fldCharType="end"/>
      </w:r>
      <w:r>
        <w:t xml:space="preserve">: </w:t>
      </w:r>
      <w:r w:rsidRPr="00043260">
        <w:t>ORP jako prvoinstanční vyvlastňovací úřad podle § 15 odst. 1 zákona č. 184/2006 Sb.</w:t>
      </w:r>
      <w:r w:rsidR="00D476C4">
        <w:t xml:space="preserve">, </w:t>
      </w:r>
      <w:r w:rsidR="00D476C4" w:rsidRPr="003A227C">
        <w:t>Jihomoravský KÚ</w:t>
      </w:r>
      <w:r w:rsidR="00D476C4">
        <w:t xml:space="preserve"> </w:t>
      </w:r>
    </w:p>
    <w:tbl>
      <w:tblPr>
        <w:tblStyle w:val="Barevntabulkaseznamu6zvraznn52"/>
        <w:tblW w:w="0" w:type="auto"/>
        <w:tblLook w:val="04A0" w:firstRow="1" w:lastRow="0" w:firstColumn="1" w:lastColumn="0" w:noHBand="0" w:noVBand="1"/>
      </w:tblPr>
      <w:tblGrid>
        <w:gridCol w:w="943"/>
        <w:gridCol w:w="1621"/>
        <w:gridCol w:w="1621"/>
        <w:gridCol w:w="1622"/>
        <w:gridCol w:w="1621"/>
        <w:gridCol w:w="1622"/>
      </w:tblGrid>
      <w:tr w:rsidR="00FC72A1" w:rsidTr="00FC72A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3" w:type="dxa"/>
            <w:vAlign w:val="center"/>
            <w:hideMark/>
          </w:tcPr>
          <w:p w:rsidR="003A227C" w:rsidRPr="00801039" w:rsidRDefault="000865D6" w:rsidP="00801039">
            <w:pPr>
              <w:pStyle w:val="Normln-tun"/>
              <w:spacing w:before="0" w:after="0"/>
              <w:rPr>
                <w:rFonts w:asciiTheme="minorHAnsi" w:hAnsiTheme="minorHAnsi" w:cstheme="minorHAnsi"/>
                <w:sz w:val="18"/>
                <w:szCs w:val="18"/>
              </w:rPr>
            </w:pPr>
            <w:r w:rsidRPr="00801039">
              <w:rPr>
                <w:rFonts w:asciiTheme="minorHAnsi" w:hAnsiTheme="minorHAnsi" w:cstheme="minorHAnsi"/>
                <w:sz w:val="18"/>
                <w:szCs w:val="18"/>
              </w:rPr>
              <w:t>rok</w:t>
            </w:r>
          </w:p>
        </w:tc>
        <w:tc>
          <w:tcPr>
            <w:tcW w:w="1621" w:type="dxa"/>
            <w:vAlign w:val="center"/>
            <w:hideMark/>
          </w:tcPr>
          <w:p w:rsidR="003A227C" w:rsidRPr="00801039" w:rsidRDefault="000865D6" w:rsidP="00801039">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Počet vedených</w:t>
            </w:r>
            <w:r w:rsidR="004744A0" w:rsidRPr="00801039">
              <w:rPr>
                <w:rFonts w:asciiTheme="minorHAnsi" w:hAnsiTheme="minorHAnsi" w:cstheme="minorHAnsi"/>
                <w:color w:val="auto"/>
                <w:sz w:val="18"/>
                <w:szCs w:val="18"/>
              </w:rPr>
              <w:t xml:space="preserve"> </w:t>
            </w:r>
            <w:r w:rsidRPr="00801039">
              <w:rPr>
                <w:rFonts w:asciiTheme="minorHAnsi" w:hAnsiTheme="minorHAnsi" w:cstheme="minorHAnsi"/>
                <w:color w:val="auto"/>
                <w:sz w:val="18"/>
                <w:szCs w:val="18"/>
              </w:rPr>
              <w:t>vyvlastňovacích řízení</w:t>
            </w:r>
          </w:p>
        </w:tc>
        <w:tc>
          <w:tcPr>
            <w:tcW w:w="1621" w:type="dxa"/>
            <w:vAlign w:val="center"/>
            <w:hideMark/>
          </w:tcPr>
          <w:p w:rsidR="003A227C" w:rsidRPr="00801039" w:rsidRDefault="000865D6" w:rsidP="00801039">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Počet pravomocně ukončených řízení</w:t>
            </w:r>
          </w:p>
        </w:tc>
        <w:tc>
          <w:tcPr>
            <w:tcW w:w="1622" w:type="dxa"/>
            <w:vAlign w:val="center"/>
            <w:hideMark/>
          </w:tcPr>
          <w:p w:rsidR="003A227C" w:rsidRPr="00801039" w:rsidRDefault="000865D6" w:rsidP="00801039">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Počet rozhodnutí</w:t>
            </w:r>
            <w:r w:rsidR="004744A0" w:rsidRPr="00801039">
              <w:rPr>
                <w:rFonts w:asciiTheme="minorHAnsi" w:hAnsiTheme="minorHAnsi" w:cstheme="minorHAnsi"/>
                <w:color w:val="auto"/>
                <w:sz w:val="18"/>
                <w:szCs w:val="18"/>
              </w:rPr>
              <w:t xml:space="preserve"> </w:t>
            </w:r>
            <w:r w:rsidRPr="00801039">
              <w:rPr>
                <w:rFonts w:asciiTheme="minorHAnsi" w:hAnsiTheme="minorHAnsi" w:cstheme="minorHAnsi"/>
                <w:color w:val="auto"/>
                <w:sz w:val="18"/>
                <w:szCs w:val="18"/>
              </w:rPr>
              <w:t>o vyvlastnění</w:t>
            </w:r>
          </w:p>
        </w:tc>
        <w:tc>
          <w:tcPr>
            <w:tcW w:w="1621" w:type="dxa"/>
            <w:vAlign w:val="center"/>
            <w:hideMark/>
          </w:tcPr>
          <w:p w:rsidR="003A227C" w:rsidRPr="00801039" w:rsidRDefault="000865D6" w:rsidP="00801039">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Počet rozhodnutí</w:t>
            </w:r>
            <w:r w:rsidR="004744A0" w:rsidRPr="00801039">
              <w:rPr>
                <w:rFonts w:asciiTheme="minorHAnsi" w:hAnsiTheme="minorHAnsi" w:cstheme="minorHAnsi"/>
                <w:color w:val="auto"/>
                <w:sz w:val="18"/>
                <w:szCs w:val="18"/>
              </w:rPr>
              <w:t xml:space="preserve"> </w:t>
            </w:r>
            <w:r w:rsidRPr="00801039">
              <w:rPr>
                <w:rFonts w:asciiTheme="minorHAnsi" w:hAnsiTheme="minorHAnsi" w:cstheme="minorHAnsi"/>
                <w:color w:val="auto"/>
                <w:sz w:val="18"/>
                <w:szCs w:val="18"/>
              </w:rPr>
              <w:t>o zamítnutí žádosti/zastavení řízení</w:t>
            </w:r>
          </w:p>
        </w:tc>
        <w:tc>
          <w:tcPr>
            <w:tcW w:w="1622" w:type="dxa"/>
            <w:vAlign w:val="center"/>
            <w:hideMark/>
          </w:tcPr>
          <w:p w:rsidR="003A227C" w:rsidRPr="00801039" w:rsidRDefault="000865D6" w:rsidP="00801039">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Počet mezitímních rozhodnutí</w:t>
            </w:r>
            <w:r w:rsidR="004744A0" w:rsidRPr="00801039">
              <w:rPr>
                <w:rFonts w:asciiTheme="minorHAnsi" w:hAnsiTheme="minorHAnsi" w:cstheme="minorHAnsi"/>
                <w:color w:val="auto"/>
                <w:sz w:val="18"/>
                <w:szCs w:val="18"/>
              </w:rPr>
              <w:t xml:space="preserve"> </w:t>
            </w:r>
            <w:r w:rsidRPr="00801039">
              <w:rPr>
                <w:rFonts w:asciiTheme="minorHAnsi" w:hAnsiTheme="minorHAnsi" w:cstheme="minorHAnsi"/>
                <w:color w:val="auto"/>
                <w:sz w:val="18"/>
                <w:szCs w:val="18"/>
              </w:rPr>
              <w:t>(dle § 4a a § 4b zákona č. 416/2009 Sb.)</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3" w:type="dxa"/>
            <w:vAlign w:val="center"/>
            <w:hideMark/>
          </w:tcPr>
          <w:p w:rsidR="003A227C" w:rsidRPr="00801039" w:rsidRDefault="000865D6" w:rsidP="00801039">
            <w:pPr>
              <w:pStyle w:val="Normln-tun"/>
              <w:spacing w:before="0" w:after="0"/>
              <w:rPr>
                <w:rFonts w:asciiTheme="minorHAnsi" w:hAnsiTheme="minorHAnsi" w:cstheme="minorHAnsi"/>
                <w:sz w:val="18"/>
                <w:szCs w:val="18"/>
              </w:rPr>
            </w:pPr>
            <w:r w:rsidRPr="00801039">
              <w:rPr>
                <w:rFonts w:asciiTheme="minorHAnsi" w:hAnsiTheme="minorHAnsi" w:cstheme="minorHAnsi"/>
                <w:sz w:val="18"/>
                <w:szCs w:val="18"/>
              </w:rPr>
              <w:t>2019</w:t>
            </w:r>
          </w:p>
        </w:tc>
        <w:tc>
          <w:tcPr>
            <w:tcW w:w="1621"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91</w:t>
            </w:r>
          </w:p>
        </w:tc>
        <w:tc>
          <w:tcPr>
            <w:tcW w:w="1621"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50</w:t>
            </w:r>
          </w:p>
        </w:tc>
        <w:tc>
          <w:tcPr>
            <w:tcW w:w="1622"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50</w:t>
            </w:r>
          </w:p>
        </w:tc>
        <w:tc>
          <w:tcPr>
            <w:tcW w:w="1621"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6</w:t>
            </w:r>
          </w:p>
        </w:tc>
        <w:tc>
          <w:tcPr>
            <w:tcW w:w="1622"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0</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943" w:type="dxa"/>
            <w:vAlign w:val="center"/>
            <w:hideMark/>
          </w:tcPr>
          <w:p w:rsidR="003A227C" w:rsidRPr="00801039" w:rsidRDefault="000865D6" w:rsidP="00801039">
            <w:pPr>
              <w:pStyle w:val="Normln-tun"/>
              <w:spacing w:before="0" w:after="0"/>
              <w:rPr>
                <w:rFonts w:asciiTheme="minorHAnsi" w:hAnsiTheme="minorHAnsi" w:cstheme="minorHAnsi"/>
                <w:sz w:val="18"/>
                <w:szCs w:val="18"/>
              </w:rPr>
            </w:pPr>
            <w:r w:rsidRPr="00801039">
              <w:rPr>
                <w:rFonts w:asciiTheme="minorHAnsi" w:hAnsiTheme="minorHAnsi" w:cstheme="minorHAnsi"/>
                <w:sz w:val="18"/>
                <w:szCs w:val="18"/>
              </w:rPr>
              <w:t>2020</w:t>
            </w:r>
          </w:p>
        </w:tc>
        <w:tc>
          <w:tcPr>
            <w:tcW w:w="1621" w:type="dxa"/>
            <w:vAlign w:val="center"/>
            <w:hideMark/>
          </w:tcPr>
          <w:p w:rsidR="003A227C" w:rsidRPr="00801039" w:rsidRDefault="000865D6" w:rsidP="00801039">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82</w:t>
            </w:r>
          </w:p>
        </w:tc>
        <w:tc>
          <w:tcPr>
            <w:tcW w:w="1621" w:type="dxa"/>
            <w:vAlign w:val="center"/>
            <w:hideMark/>
          </w:tcPr>
          <w:p w:rsidR="003A227C" w:rsidRPr="00801039" w:rsidRDefault="000865D6" w:rsidP="00801039">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48</w:t>
            </w:r>
          </w:p>
        </w:tc>
        <w:tc>
          <w:tcPr>
            <w:tcW w:w="1622" w:type="dxa"/>
            <w:vAlign w:val="center"/>
            <w:hideMark/>
          </w:tcPr>
          <w:p w:rsidR="003A227C" w:rsidRPr="00801039" w:rsidRDefault="000865D6" w:rsidP="00801039">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33</w:t>
            </w:r>
          </w:p>
        </w:tc>
        <w:tc>
          <w:tcPr>
            <w:tcW w:w="1621" w:type="dxa"/>
            <w:vAlign w:val="center"/>
            <w:hideMark/>
          </w:tcPr>
          <w:p w:rsidR="003A227C" w:rsidRPr="00801039" w:rsidRDefault="000865D6" w:rsidP="00801039">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7</w:t>
            </w:r>
          </w:p>
        </w:tc>
        <w:tc>
          <w:tcPr>
            <w:tcW w:w="1622" w:type="dxa"/>
            <w:vAlign w:val="center"/>
            <w:hideMark/>
          </w:tcPr>
          <w:p w:rsidR="003A227C" w:rsidRPr="00801039" w:rsidRDefault="000865D6" w:rsidP="00801039">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43" w:type="dxa"/>
            <w:vAlign w:val="center"/>
            <w:hideMark/>
          </w:tcPr>
          <w:p w:rsidR="003A227C" w:rsidRPr="00801039" w:rsidRDefault="000865D6" w:rsidP="00801039">
            <w:pPr>
              <w:pStyle w:val="Normln-tun"/>
              <w:spacing w:before="0" w:after="0"/>
              <w:rPr>
                <w:rFonts w:asciiTheme="minorHAnsi" w:hAnsiTheme="minorHAnsi" w:cstheme="minorHAnsi"/>
                <w:sz w:val="18"/>
                <w:szCs w:val="18"/>
              </w:rPr>
            </w:pPr>
            <w:r w:rsidRPr="00801039">
              <w:rPr>
                <w:rFonts w:asciiTheme="minorHAnsi" w:hAnsiTheme="minorHAnsi" w:cstheme="minorHAnsi"/>
                <w:sz w:val="18"/>
                <w:szCs w:val="18"/>
              </w:rPr>
              <w:t>2021</w:t>
            </w:r>
          </w:p>
        </w:tc>
        <w:tc>
          <w:tcPr>
            <w:tcW w:w="1621"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86</w:t>
            </w:r>
          </w:p>
        </w:tc>
        <w:tc>
          <w:tcPr>
            <w:tcW w:w="1621"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24</w:t>
            </w:r>
          </w:p>
        </w:tc>
        <w:tc>
          <w:tcPr>
            <w:tcW w:w="1622"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18</w:t>
            </w:r>
          </w:p>
        </w:tc>
        <w:tc>
          <w:tcPr>
            <w:tcW w:w="1621"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7</w:t>
            </w:r>
          </w:p>
        </w:tc>
        <w:tc>
          <w:tcPr>
            <w:tcW w:w="1622" w:type="dxa"/>
            <w:vAlign w:val="center"/>
            <w:hideMark/>
          </w:tcPr>
          <w:p w:rsidR="003A227C" w:rsidRPr="00801039" w:rsidRDefault="000865D6" w:rsidP="00801039">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18"/>
                <w:szCs w:val="18"/>
              </w:rPr>
            </w:pPr>
            <w:r w:rsidRPr="00801039">
              <w:rPr>
                <w:rFonts w:asciiTheme="minorHAnsi" w:hAnsiTheme="minorHAnsi" w:cstheme="minorHAnsi"/>
                <w:color w:val="auto"/>
                <w:sz w:val="18"/>
                <w:szCs w:val="18"/>
              </w:rPr>
              <w:t>0</w:t>
            </w:r>
          </w:p>
        </w:tc>
      </w:tr>
    </w:tbl>
    <w:p w:rsidR="003A227C" w:rsidRDefault="003A227C" w:rsidP="003A227C">
      <w:pPr>
        <w:pStyle w:val="Normln-tun"/>
      </w:pPr>
    </w:p>
    <w:p w:rsidR="00043260" w:rsidRDefault="000865D6" w:rsidP="00043260">
      <w:pPr>
        <w:pStyle w:val="Titulek"/>
        <w:keepNext/>
      </w:pPr>
      <w:r>
        <w:t xml:space="preserve">Tabulka </w:t>
      </w:r>
      <w:r w:rsidR="00D644CC">
        <w:fldChar w:fldCharType="begin"/>
      </w:r>
      <w:r>
        <w:instrText xml:space="preserve"> SEQ Tabulka \* ARABIC </w:instrText>
      </w:r>
      <w:r w:rsidR="00D644CC">
        <w:fldChar w:fldCharType="separate"/>
      </w:r>
      <w:r>
        <w:t>4</w:t>
      </w:r>
      <w:r w:rsidR="00D644CC">
        <w:rPr>
          <w:noProof/>
        </w:rPr>
        <w:fldChar w:fldCharType="end"/>
      </w:r>
      <w:r>
        <w:t xml:space="preserve">: </w:t>
      </w:r>
      <w:r w:rsidRPr="00043260">
        <w:t>Krajský úřad jako prvoinstanční vyvlastňovací úřad podle § 2e zákona č. 416/2009 Sb.</w:t>
      </w:r>
      <w:r w:rsidR="00D476C4">
        <w:t xml:space="preserve">, </w:t>
      </w:r>
      <w:r w:rsidR="00D476C4" w:rsidRPr="003A227C">
        <w:t>Jihomoravský KÚ</w:t>
      </w:r>
    </w:p>
    <w:tbl>
      <w:tblPr>
        <w:tblStyle w:val="Barevntabulkaseznamu6zvraznn52"/>
        <w:tblW w:w="9072" w:type="dxa"/>
        <w:tblLook w:val="04A0" w:firstRow="1" w:lastRow="0" w:firstColumn="1" w:lastColumn="0" w:noHBand="0" w:noVBand="1"/>
      </w:tblPr>
      <w:tblGrid>
        <w:gridCol w:w="993"/>
        <w:gridCol w:w="1615"/>
        <w:gridCol w:w="1616"/>
        <w:gridCol w:w="1616"/>
        <w:gridCol w:w="1616"/>
        <w:gridCol w:w="1616"/>
      </w:tblGrid>
      <w:tr w:rsidR="00FC72A1" w:rsidTr="00FC72A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A227C" w:rsidRPr="00043260" w:rsidRDefault="000865D6" w:rsidP="00043260">
            <w:pPr>
              <w:pStyle w:val="Normln-tun"/>
              <w:spacing w:before="0" w:after="0"/>
              <w:rPr>
                <w:rFonts w:asciiTheme="minorHAnsi" w:hAnsiTheme="minorHAnsi" w:cstheme="minorHAnsi"/>
                <w:sz w:val="18"/>
                <w:szCs w:val="18"/>
              </w:rPr>
            </w:pPr>
            <w:r w:rsidRPr="00043260">
              <w:rPr>
                <w:rFonts w:asciiTheme="minorHAnsi" w:hAnsiTheme="minorHAnsi" w:cstheme="minorHAnsi"/>
                <w:sz w:val="18"/>
                <w:szCs w:val="18"/>
              </w:rPr>
              <w:t>rok</w:t>
            </w:r>
          </w:p>
        </w:tc>
        <w:tc>
          <w:tcPr>
            <w:tcW w:w="1615" w:type="dxa"/>
            <w:vAlign w:val="center"/>
            <w:hideMark/>
          </w:tcPr>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Počet vedených</w:t>
            </w:r>
          </w:p>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vyvlastňovacích řízení</w:t>
            </w:r>
          </w:p>
        </w:tc>
        <w:tc>
          <w:tcPr>
            <w:tcW w:w="1616" w:type="dxa"/>
            <w:vAlign w:val="center"/>
            <w:hideMark/>
          </w:tcPr>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 xml:space="preserve">Počet pravomocně </w:t>
            </w:r>
            <w:r w:rsidRPr="00043260">
              <w:rPr>
                <w:rFonts w:asciiTheme="minorHAnsi" w:hAnsiTheme="minorHAnsi" w:cstheme="minorHAnsi"/>
                <w:sz w:val="18"/>
                <w:szCs w:val="18"/>
              </w:rPr>
              <w:t>ukončených řízení</w:t>
            </w:r>
          </w:p>
        </w:tc>
        <w:tc>
          <w:tcPr>
            <w:tcW w:w="1616" w:type="dxa"/>
            <w:vAlign w:val="center"/>
            <w:hideMark/>
          </w:tcPr>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Počet</w:t>
            </w:r>
          </w:p>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rozhodnutí</w:t>
            </w:r>
          </w:p>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o vyvlastnění</w:t>
            </w:r>
          </w:p>
        </w:tc>
        <w:tc>
          <w:tcPr>
            <w:tcW w:w="1616" w:type="dxa"/>
            <w:vAlign w:val="center"/>
            <w:hideMark/>
          </w:tcPr>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Počet</w:t>
            </w:r>
          </w:p>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rozhodnutí</w:t>
            </w:r>
          </w:p>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o zamítnutí žádosti/zastavení řízení</w:t>
            </w:r>
          </w:p>
        </w:tc>
        <w:tc>
          <w:tcPr>
            <w:tcW w:w="1616" w:type="dxa"/>
            <w:vAlign w:val="center"/>
            <w:hideMark/>
          </w:tcPr>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Počet mezitímních rozhodnutí</w:t>
            </w:r>
          </w:p>
          <w:p w:rsidR="003A227C" w:rsidRPr="00043260" w:rsidRDefault="000865D6" w:rsidP="0004326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(dle § 4a a § 4b zákona č. 416/2009 Sb.)</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A227C" w:rsidRPr="00043260" w:rsidRDefault="000865D6" w:rsidP="00043260">
            <w:pPr>
              <w:pStyle w:val="Normln-tun"/>
              <w:spacing w:before="0" w:after="0"/>
              <w:rPr>
                <w:rFonts w:asciiTheme="minorHAnsi" w:hAnsiTheme="minorHAnsi" w:cstheme="minorHAnsi"/>
                <w:sz w:val="18"/>
                <w:szCs w:val="18"/>
              </w:rPr>
            </w:pPr>
            <w:r w:rsidRPr="00043260">
              <w:rPr>
                <w:rFonts w:asciiTheme="minorHAnsi" w:hAnsiTheme="minorHAnsi" w:cstheme="minorHAnsi"/>
                <w:sz w:val="18"/>
                <w:szCs w:val="18"/>
              </w:rPr>
              <w:t>2019</w:t>
            </w:r>
          </w:p>
        </w:tc>
        <w:tc>
          <w:tcPr>
            <w:tcW w:w="1615"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2</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2</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1</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1</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0</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A227C" w:rsidRPr="00043260" w:rsidRDefault="000865D6" w:rsidP="00043260">
            <w:pPr>
              <w:pStyle w:val="Normln-tun"/>
              <w:spacing w:before="0" w:after="0"/>
              <w:rPr>
                <w:rFonts w:asciiTheme="minorHAnsi" w:hAnsiTheme="minorHAnsi" w:cstheme="minorHAnsi"/>
                <w:sz w:val="18"/>
                <w:szCs w:val="18"/>
              </w:rPr>
            </w:pPr>
            <w:r w:rsidRPr="00043260">
              <w:rPr>
                <w:rFonts w:asciiTheme="minorHAnsi" w:hAnsiTheme="minorHAnsi" w:cstheme="minorHAnsi"/>
                <w:sz w:val="18"/>
                <w:szCs w:val="18"/>
              </w:rPr>
              <w:t>2020</w:t>
            </w:r>
          </w:p>
        </w:tc>
        <w:tc>
          <w:tcPr>
            <w:tcW w:w="1615" w:type="dxa"/>
            <w:vAlign w:val="center"/>
            <w:hideMark/>
          </w:tcPr>
          <w:p w:rsidR="003A227C" w:rsidRPr="00043260" w:rsidRDefault="000865D6" w:rsidP="00043260">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14</w:t>
            </w:r>
          </w:p>
        </w:tc>
        <w:tc>
          <w:tcPr>
            <w:tcW w:w="1616" w:type="dxa"/>
            <w:vAlign w:val="center"/>
            <w:hideMark/>
          </w:tcPr>
          <w:p w:rsidR="003A227C" w:rsidRPr="00043260" w:rsidRDefault="000865D6" w:rsidP="00043260">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6</w:t>
            </w:r>
          </w:p>
        </w:tc>
        <w:tc>
          <w:tcPr>
            <w:tcW w:w="1616" w:type="dxa"/>
            <w:vAlign w:val="center"/>
            <w:hideMark/>
          </w:tcPr>
          <w:p w:rsidR="003A227C" w:rsidRPr="00043260" w:rsidRDefault="000865D6" w:rsidP="00043260">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2</w:t>
            </w:r>
          </w:p>
        </w:tc>
        <w:tc>
          <w:tcPr>
            <w:tcW w:w="1616" w:type="dxa"/>
            <w:vAlign w:val="center"/>
            <w:hideMark/>
          </w:tcPr>
          <w:p w:rsidR="003A227C" w:rsidRPr="00043260" w:rsidRDefault="000865D6" w:rsidP="00043260">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4</w:t>
            </w:r>
          </w:p>
        </w:tc>
        <w:tc>
          <w:tcPr>
            <w:tcW w:w="1616" w:type="dxa"/>
            <w:vAlign w:val="center"/>
            <w:hideMark/>
          </w:tcPr>
          <w:p w:rsidR="003A227C" w:rsidRPr="00043260" w:rsidRDefault="000865D6" w:rsidP="00043260">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93" w:type="dxa"/>
            <w:vAlign w:val="center"/>
            <w:hideMark/>
          </w:tcPr>
          <w:p w:rsidR="003A227C" w:rsidRPr="00043260" w:rsidRDefault="000865D6" w:rsidP="00043260">
            <w:pPr>
              <w:pStyle w:val="Normln-tun"/>
              <w:spacing w:before="0" w:after="0"/>
              <w:rPr>
                <w:rFonts w:asciiTheme="minorHAnsi" w:hAnsiTheme="minorHAnsi" w:cstheme="minorHAnsi"/>
                <w:sz w:val="18"/>
                <w:szCs w:val="18"/>
              </w:rPr>
            </w:pPr>
            <w:r w:rsidRPr="00043260">
              <w:rPr>
                <w:rFonts w:asciiTheme="minorHAnsi" w:hAnsiTheme="minorHAnsi" w:cstheme="minorHAnsi"/>
                <w:sz w:val="18"/>
                <w:szCs w:val="18"/>
              </w:rPr>
              <w:t>2021</w:t>
            </w:r>
            <w:r>
              <w:rPr>
                <w:rStyle w:val="Znakapoznpodarou"/>
                <w:rFonts w:asciiTheme="minorHAnsi" w:hAnsiTheme="minorHAnsi" w:cstheme="minorHAnsi"/>
                <w:sz w:val="18"/>
                <w:szCs w:val="18"/>
              </w:rPr>
              <w:footnoteReference w:id="5"/>
            </w:r>
          </w:p>
        </w:tc>
        <w:tc>
          <w:tcPr>
            <w:tcW w:w="1615"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52</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0</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0</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0</w:t>
            </w:r>
          </w:p>
        </w:tc>
        <w:tc>
          <w:tcPr>
            <w:tcW w:w="1616" w:type="dxa"/>
            <w:vAlign w:val="center"/>
            <w:hideMark/>
          </w:tcPr>
          <w:p w:rsidR="003A227C" w:rsidRPr="00043260" w:rsidRDefault="000865D6" w:rsidP="00043260">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043260">
              <w:rPr>
                <w:rFonts w:asciiTheme="minorHAnsi" w:hAnsiTheme="minorHAnsi" w:cstheme="minorHAnsi"/>
                <w:sz w:val="18"/>
                <w:szCs w:val="18"/>
              </w:rPr>
              <w:t>0</w:t>
            </w:r>
          </w:p>
        </w:tc>
      </w:tr>
    </w:tbl>
    <w:p w:rsidR="00417829" w:rsidRDefault="000865D6" w:rsidP="00417829">
      <w:pPr>
        <w:pStyle w:val="Titulek"/>
        <w:keepNext/>
      </w:pPr>
      <w:r>
        <w:lastRenderedPageBreak/>
        <w:t xml:space="preserve">Tabulka </w:t>
      </w:r>
      <w:r w:rsidR="00D644CC">
        <w:fldChar w:fldCharType="begin"/>
      </w:r>
      <w:r>
        <w:instrText xml:space="preserve"> SEQ Tabulka \* ARABIC </w:instrText>
      </w:r>
      <w:r w:rsidR="00D644CC">
        <w:fldChar w:fldCharType="separate"/>
      </w:r>
      <w:r>
        <w:t>5</w:t>
      </w:r>
      <w:r w:rsidR="00D644CC">
        <w:rPr>
          <w:noProof/>
        </w:rPr>
        <w:fldChar w:fldCharType="end"/>
      </w:r>
      <w:r>
        <w:t xml:space="preserve">: </w:t>
      </w:r>
      <w:r w:rsidR="00336B5C" w:rsidRPr="00336B5C">
        <w:t>Počet provedených odvolacích řízení</w:t>
      </w:r>
      <w:r w:rsidR="00D476C4">
        <w:t xml:space="preserve">, </w:t>
      </w:r>
      <w:r w:rsidR="00D476C4" w:rsidRPr="003A227C">
        <w:t>Jihomoravský KÚ</w:t>
      </w:r>
    </w:p>
    <w:tbl>
      <w:tblPr>
        <w:tblStyle w:val="Barevntabulkaseznamu6zvraznn52"/>
        <w:tblW w:w="0" w:type="auto"/>
        <w:tblLook w:val="04A0" w:firstRow="1" w:lastRow="0" w:firstColumn="1" w:lastColumn="0" w:noHBand="0" w:noVBand="1"/>
      </w:tblPr>
      <w:tblGrid>
        <w:gridCol w:w="1812"/>
        <w:gridCol w:w="1812"/>
        <w:gridCol w:w="1812"/>
        <w:gridCol w:w="1813"/>
        <w:gridCol w:w="1813"/>
      </w:tblGrid>
      <w:tr w:rsidR="00FC72A1" w:rsidTr="00FC72A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rsidR="003A227C" w:rsidRPr="00CF30EE" w:rsidRDefault="000865D6" w:rsidP="00CF30EE">
            <w:pPr>
              <w:pStyle w:val="Normln-tun"/>
              <w:spacing w:before="0" w:after="0"/>
              <w:rPr>
                <w:rFonts w:asciiTheme="minorHAnsi" w:eastAsiaTheme="minorHAnsi" w:hAnsiTheme="minorHAnsi" w:cstheme="minorHAnsi"/>
                <w:sz w:val="18"/>
                <w:szCs w:val="18"/>
              </w:rPr>
            </w:pPr>
            <w:r w:rsidRPr="00CF30EE">
              <w:rPr>
                <w:rFonts w:asciiTheme="minorHAnsi" w:hAnsiTheme="minorHAnsi" w:cstheme="minorHAnsi"/>
                <w:sz w:val="18"/>
                <w:szCs w:val="18"/>
              </w:rPr>
              <w:t>Rok</w:t>
            </w:r>
          </w:p>
        </w:tc>
        <w:tc>
          <w:tcPr>
            <w:tcW w:w="1812" w:type="dxa"/>
            <w:vAlign w:val="center"/>
            <w:hideMark/>
          </w:tcPr>
          <w:p w:rsidR="003A227C" w:rsidRPr="00CF30EE" w:rsidRDefault="000865D6" w:rsidP="00CF30EE">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počet</w:t>
            </w:r>
          </w:p>
        </w:tc>
        <w:tc>
          <w:tcPr>
            <w:tcW w:w="1812" w:type="dxa"/>
            <w:vAlign w:val="center"/>
            <w:hideMark/>
          </w:tcPr>
          <w:p w:rsidR="003A227C" w:rsidRPr="00CF30EE" w:rsidRDefault="000865D6" w:rsidP="00CF30EE">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zrušeno</w:t>
            </w:r>
          </w:p>
        </w:tc>
        <w:tc>
          <w:tcPr>
            <w:tcW w:w="1813" w:type="dxa"/>
            <w:vAlign w:val="center"/>
            <w:hideMark/>
          </w:tcPr>
          <w:p w:rsidR="003A227C" w:rsidRPr="00CF30EE" w:rsidRDefault="000865D6" w:rsidP="00CF30EE">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potvrzeno</w:t>
            </w:r>
          </w:p>
        </w:tc>
        <w:tc>
          <w:tcPr>
            <w:tcW w:w="1813" w:type="dxa"/>
            <w:vAlign w:val="center"/>
            <w:hideMark/>
          </w:tcPr>
          <w:p w:rsidR="003A227C" w:rsidRPr="00CF30EE" w:rsidRDefault="000865D6" w:rsidP="00CF30EE">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soud</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rsidR="003A227C" w:rsidRPr="00CF30EE" w:rsidRDefault="000865D6" w:rsidP="00CF30EE">
            <w:pPr>
              <w:pStyle w:val="Normln-tun"/>
              <w:spacing w:before="0" w:after="0"/>
              <w:rPr>
                <w:rFonts w:asciiTheme="minorHAnsi" w:hAnsiTheme="minorHAnsi" w:cstheme="minorHAnsi"/>
                <w:sz w:val="18"/>
                <w:szCs w:val="18"/>
              </w:rPr>
            </w:pPr>
            <w:r w:rsidRPr="00CF30EE">
              <w:rPr>
                <w:rFonts w:asciiTheme="minorHAnsi" w:hAnsiTheme="minorHAnsi" w:cstheme="minorHAnsi"/>
                <w:sz w:val="18"/>
                <w:szCs w:val="18"/>
              </w:rPr>
              <w:t>2019</w:t>
            </w:r>
          </w:p>
        </w:tc>
        <w:tc>
          <w:tcPr>
            <w:tcW w:w="1812"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8</w:t>
            </w:r>
          </w:p>
        </w:tc>
        <w:tc>
          <w:tcPr>
            <w:tcW w:w="1812"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6</w:t>
            </w:r>
          </w:p>
        </w:tc>
        <w:tc>
          <w:tcPr>
            <w:tcW w:w="1813"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2</w:t>
            </w:r>
          </w:p>
        </w:tc>
        <w:tc>
          <w:tcPr>
            <w:tcW w:w="1813"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0</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rsidR="003A227C" w:rsidRPr="00CF30EE" w:rsidRDefault="000865D6" w:rsidP="00CF30EE">
            <w:pPr>
              <w:pStyle w:val="Normln-tun"/>
              <w:spacing w:before="0" w:after="0"/>
              <w:rPr>
                <w:rFonts w:asciiTheme="minorHAnsi" w:hAnsiTheme="minorHAnsi" w:cstheme="minorHAnsi"/>
                <w:sz w:val="18"/>
                <w:szCs w:val="18"/>
              </w:rPr>
            </w:pPr>
            <w:r w:rsidRPr="00CF30EE">
              <w:rPr>
                <w:rFonts w:asciiTheme="minorHAnsi" w:hAnsiTheme="minorHAnsi" w:cstheme="minorHAnsi"/>
                <w:sz w:val="18"/>
                <w:szCs w:val="18"/>
              </w:rPr>
              <w:t>2020</w:t>
            </w:r>
          </w:p>
        </w:tc>
        <w:tc>
          <w:tcPr>
            <w:tcW w:w="1812" w:type="dxa"/>
            <w:vAlign w:val="center"/>
            <w:hideMark/>
          </w:tcPr>
          <w:p w:rsidR="003A227C" w:rsidRPr="00CF30EE" w:rsidRDefault="000865D6" w:rsidP="00CF30EE">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19</w:t>
            </w:r>
          </w:p>
        </w:tc>
        <w:tc>
          <w:tcPr>
            <w:tcW w:w="1812" w:type="dxa"/>
            <w:vAlign w:val="center"/>
            <w:hideMark/>
          </w:tcPr>
          <w:p w:rsidR="003A227C" w:rsidRPr="00CF30EE" w:rsidRDefault="000865D6" w:rsidP="00CF30EE">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12</w:t>
            </w:r>
          </w:p>
        </w:tc>
        <w:tc>
          <w:tcPr>
            <w:tcW w:w="1813" w:type="dxa"/>
            <w:vAlign w:val="center"/>
            <w:hideMark/>
          </w:tcPr>
          <w:p w:rsidR="003A227C" w:rsidRPr="00CF30EE" w:rsidRDefault="000865D6" w:rsidP="00CF30EE">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7</w:t>
            </w:r>
          </w:p>
        </w:tc>
        <w:tc>
          <w:tcPr>
            <w:tcW w:w="1813" w:type="dxa"/>
            <w:vAlign w:val="center"/>
            <w:hideMark/>
          </w:tcPr>
          <w:p w:rsidR="003A227C" w:rsidRPr="00CF30EE" w:rsidRDefault="000865D6" w:rsidP="00CF30EE">
            <w:pPr>
              <w:pStyle w:val="Normln-tun"/>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812" w:type="dxa"/>
            <w:vAlign w:val="center"/>
            <w:hideMark/>
          </w:tcPr>
          <w:p w:rsidR="003A227C" w:rsidRPr="00CF30EE" w:rsidRDefault="000865D6" w:rsidP="00CF30EE">
            <w:pPr>
              <w:pStyle w:val="Normln-tun"/>
              <w:spacing w:before="0" w:after="0"/>
              <w:rPr>
                <w:rFonts w:asciiTheme="minorHAnsi" w:hAnsiTheme="minorHAnsi" w:cstheme="minorHAnsi"/>
                <w:sz w:val="18"/>
                <w:szCs w:val="18"/>
              </w:rPr>
            </w:pPr>
            <w:r w:rsidRPr="00CF30EE">
              <w:rPr>
                <w:rFonts w:asciiTheme="minorHAnsi" w:hAnsiTheme="minorHAnsi" w:cstheme="minorHAnsi"/>
                <w:sz w:val="18"/>
                <w:szCs w:val="18"/>
              </w:rPr>
              <w:t>2021</w:t>
            </w:r>
          </w:p>
        </w:tc>
        <w:tc>
          <w:tcPr>
            <w:tcW w:w="1812"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7</w:t>
            </w:r>
          </w:p>
        </w:tc>
        <w:tc>
          <w:tcPr>
            <w:tcW w:w="1812"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0</w:t>
            </w:r>
          </w:p>
        </w:tc>
        <w:tc>
          <w:tcPr>
            <w:tcW w:w="1813"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5</w:t>
            </w:r>
          </w:p>
        </w:tc>
        <w:tc>
          <w:tcPr>
            <w:tcW w:w="1813" w:type="dxa"/>
            <w:vAlign w:val="center"/>
            <w:hideMark/>
          </w:tcPr>
          <w:p w:rsidR="003A227C" w:rsidRPr="00CF30EE" w:rsidRDefault="000865D6" w:rsidP="00CF30EE">
            <w:pPr>
              <w:pStyle w:val="Normln-tun"/>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CF30EE">
              <w:rPr>
                <w:rFonts w:asciiTheme="minorHAnsi" w:hAnsiTheme="minorHAnsi" w:cstheme="minorHAnsi"/>
                <w:sz w:val="18"/>
                <w:szCs w:val="18"/>
              </w:rPr>
              <w:t>1</w:t>
            </w:r>
          </w:p>
        </w:tc>
      </w:tr>
    </w:tbl>
    <w:p w:rsidR="0083411F" w:rsidRDefault="000865D6" w:rsidP="00D476C4">
      <w:pPr>
        <w:pStyle w:val="Titulek"/>
        <w:spacing w:before="240"/>
      </w:pPr>
      <w:r>
        <w:t xml:space="preserve">Tabulka </w:t>
      </w:r>
      <w:r w:rsidR="00D644CC">
        <w:fldChar w:fldCharType="begin"/>
      </w:r>
      <w:r>
        <w:instrText xml:space="preserve"> SEQ Tabulka \* ARABIC </w:instrText>
      </w:r>
      <w:r w:rsidR="00D644CC">
        <w:fldChar w:fldCharType="separate"/>
      </w:r>
      <w:r>
        <w:t>6</w:t>
      </w:r>
      <w:r w:rsidR="00D644CC">
        <w:rPr>
          <w:noProof/>
        </w:rPr>
        <w:fldChar w:fldCharType="end"/>
      </w:r>
      <w:r>
        <w:t>:</w:t>
      </w:r>
      <w:r w:rsidRPr="0083411F">
        <w:t xml:space="preserve"> </w:t>
      </w:r>
      <w:r w:rsidR="00D476C4">
        <w:t>P</w:t>
      </w:r>
      <w:r w:rsidRPr="0083411F">
        <w:t>očet vedených vyvlastňovacích řízení v letech 2019, 2020 a 2021</w:t>
      </w:r>
      <w:r w:rsidR="00084DEC">
        <w:t xml:space="preserve">, data </w:t>
      </w:r>
      <w:r w:rsidR="00084DEC" w:rsidRPr="0083411F">
        <w:t>ze dne 6.10.2021</w:t>
      </w:r>
      <w:r w:rsidR="00564795">
        <w:t>, dle ORP</w:t>
      </w:r>
      <w:r w:rsidR="00D476C4">
        <w:t xml:space="preserve">, </w:t>
      </w:r>
      <w:r w:rsidR="00D476C4" w:rsidRPr="0083411F">
        <w:t>Moravskoslezský kraj</w:t>
      </w:r>
    </w:p>
    <w:tbl>
      <w:tblPr>
        <w:tblStyle w:val="Barevntabulkaseznamu6zvraznn52"/>
        <w:tblW w:w="9072" w:type="dxa"/>
        <w:tblLook w:val="04A0" w:firstRow="1" w:lastRow="0" w:firstColumn="1" w:lastColumn="0" w:noHBand="0" w:noVBand="1"/>
      </w:tblPr>
      <w:tblGrid>
        <w:gridCol w:w="439"/>
        <w:gridCol w:w="4511"/>
        <w:gridCol w:w="1441"/>
        <w:gridCol w:w="1441"/>
        <w:gridCol w:w="1240"/>
      </w:tblGrid>
      <w:tr w:rsidR="00FC72A1" w:rsidTr="00FC72A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950" w:type="dxa"/>
            <w:gridSpan w:val="2"/>
            <w:noWrap/>
            <w:vAlign w:val="center"/>
            <w:hideMark/>
          </w:tcPr>
          <w:p w:rsidR="003A227C" w:rsidRPr="0083411F" w:rsidRDefault="000865D6" w:rsidP="0083411F">
            <w:pPr>
              <w:pStyle w:val="Normln-tun"/>
              <w:spacing w:before="0" w:after="0"/>
              <w:rPr>
                <w:rFonts w:asciiTheme="minorHAnsi" w:hAnsiTheme="minorHAnsi" w:cstheme="minorHAnsi"/>
                <w:sz w:val="18"/>
                <w:szCs w:val="18"/>
              </w:rPr>
            </w:pPr>
            <w:r w:rsidRPr="0083411F">
              <w:rPr>
                <w:rFonts w:asciiTheme="minorHAnsi" w:hAnsiTheme="minorHAnsi" w:cstheme="minorHAnsi"/>
                <w:sz w:val="18"/>
                <w:szCs w:val="18"/>
              </w:rPr>
              <w:t xml:space="preserve">Vyvlastňovací </w:t>
            </w:r>
            <w:r w:rsidR="00084DEC" w:rsidRPr="0083411F">
              <w:rPr>
                <w:rFonts w:asciiTheme="minorHAnsi" w:hAnsiTheme="minorHAnsi" w:cstheme="minorHAnsi"/>
                <w:sz w:val="18"/>
                <w:szCs w:val="18"/>
              </w:rPr>
              <w:t>úřad – ORP</w:t>
            </w:r>
          </w:p>
        </w:tc>
        <w:tc>
          <w:tcPr>
            <w:tcW w:w="1441" w:type="dxa"/>
            <w:noWrap/>
            <w:vAlign w:val="center"/>
            <w:hideMark/>
          </w:tcPr>
          <w:p w:rsidR="003A227C" w:rsidRPr="0083411F" w:rsidRDefault="000865D6" w:rsidP="0083411F">
            <w:pPr>
              <w:pStyle w:val="Normln-tun"/>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rok 2019</w:t>
            </w:r>
          </w:p>
        </w:tc>
        <w:tc>
          <w:tcPr>
            <w:tcW w:w="1441" w:type="dxa"/>
            <w:noWrap/>
            <w:vAlign w:val="center"/>
            <w:hideMark/>
          </w:tcPr>
          <w:p w:rsidR="003A227C" w:rsidRPr="0083411F" w:rsidRDefault="000865D6" w:rsidP="0083411F">
            <w:pPr>
              <w:pStyle w:val="Normln-tun"/>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rok 2020</w:t>
            </w:r>
          </w:p>
        </w:tc>
        <w:tc>
          <w:tcPr>
            <w:tcW w:w="1240" w:type="dxa"/>
            <w:noWrap/>
            <w:vAlign w:val="center"/>
            <w:hideMark/>
          </w:tcPr>
          <w:p w:rsidR="003A227C" w:rsidRPr="0083411F" w:rsidRDefault="000865D6" w:rsidP="0083411F">
            <w:pPr>
              <w:pStyle w:val="Normln-tun"/>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rok 2021</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Magistrát města Frýdku-Místku</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14</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6</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6</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2</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Magistrát města Havířova</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6</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3</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Magistrát města Karviné</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5</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4</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Magistrát města Opavy</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7</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3</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3</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5</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 xml:space="preserve">Magistrát města </w:t>
            </w:r>
            <w:r w:rsidRPr="0083411F">
              <w:rPr>
                <w:rFonts w:asciiTheme="minorHAnsi" w:hAnsiTheme="minorHAnsi" w:cstheme="minorHAnsi"/>
                <w:sz w:val="18"/>
                <w:szCs w:val="18"/>
              </w:rPr>
              <w:t>Ostravy</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12</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7</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7</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6</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Magistrát města Třince</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3</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4</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3</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7</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Bílovec</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7</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8</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Bohumín</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9</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8</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5</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9</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Bruntál</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10</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Český Těšín</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11</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Frenštát pod Radhoštěm</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10</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12</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 xml:space="preserve">Městský úřad Frýdlant nad </w:t>
            </w:r>
            <w:r w:rsidRPr="0083411F">
              <w:rPr>
                <w:rFonts w:asciiTheme="minorHAnsi" w:hAnsiTheme="minorHAnsi" w:cstheme="minorHAnsi"/>
                <w:sz w:val="18"/>
                <w:szCs w:val="18"/>
              </w:rPr>
              <w:t>Ostravicí</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13</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Hlučín</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14</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Jablunkov</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15</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Kopřivnice</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16</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Kravaře</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17</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Krnov</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18</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Nový Jičín</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19</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Odry</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20</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 xml:space="preserve">Městský úřad </w:t>
            </w:r>
            <w:r w:rsidRPr="0083411F">
              <w:rPr>
                <w:rFonts w:asciiTheme="minorHAnsi" w:hAnsiTheme="minorHAnsi" w:cstheme="minorHAnsi"/>
                <w:sz w:val="18"/>
                <w:szCs w:val="18"/>
              </w:rPr>
              <w:t>Orlová</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21</w:t>
            </w:r>
          </w:p>
        </w:tc>
        <w:tc>
          <w:tcPr>
            <w:tcW w:w="451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Rýmařov</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0</w:t>
            </w:r>
          </w:p>
        </w:tc>
        <w:tc>
          <w:tcPr>
            <w:tcW w:w="1441"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2</w:t>
            </w:r>
          </w:p>
        </w:tc>
        <w:tc>
          <w:tcPr>
            <w:tcW w:w="1240" w:type="dxa"/>
            <w:noWrap/>
            <w:vAlign w:val="center"/>
            <w:hideMark/>
          </w:tcPr>
          <w:p w:rsidR="003A227C" w:rsidRPr="0083411F" w:rsidRDefault="000865D6" w:rsidP="0083411F">
            <w:pPr>
              <w:pStyle w:val="Normln-tun"/>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439" w:type="dxa"/>
            <w:noWrap/>
            <w:vAlign w:val="center"/>
            <w:hideMark/>
          </w:tcPr>
          <w:p w:rsidR="003A227C" w:rsidRPr="00884F22" w:rsidRDefault="000865D6" w:rsidP="0083411F">
            <w:pPr>
              <w:pStyle w:val="Normln-tun"/>
              <w:spacing w:before="0" w:after="0"/>
              <w:rPr>
                <w:rFonts w:asciiTheme="minorHAnsi" w:hAnsiTheme="minorHAnsi" w:cstheme="minorHAnsi"/>
                <w:sz w:val="18"/>
                <w:szCs w:val="18"/>
              </w:rPr>
            </w:pPr>
            <w:r w:rsidRPr="00884F22">
              <w:rPr>
                <w:rFonts w:asciiTheme="minorHAnsi" w:hAnsiTheme="minorHAnsi" w:cstheme="minorHAnsi"/>
                <w:b w:val="0"/>
                <w:bCs w:val="0"/>
                <w:sz w:val="18"/>
                <w:szCs w:val="18"/>
              </w:rPr>
              <w:t>22</w:t>
            </w:r>
          </w:p>
        </w:tc>
        <w:tc>
          <w:tcPr>
            <w:tcW w:w="451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Městský úřad Vítkov</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c>
          <w:tcPr>
            <w:tcW w:w="1441"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1</w:t>
            </w:r>
          </w:p>
        </w:tc>
        <w:tc>
          <w:tcPr>
            <w:tcW w:w="1240" w:type="dxa"/>
            <w:noWrap/>
            <w:vAlign w:val="center"/>
            <w:hideMark/>
          </w:tcPr>
          <w:p w:rsidR="003A227C" w:rsidRPr="0083411F" w:rsidRDefault="000865D6" w:rsidP="0083411F">
            <w:pPr>
              <w:pStyle w:val="Normln-tun"/>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3411F">
              <w:rPr>
                <w:rFonts w:asciiTheme="minorHAnsi" w:hAnsiTheme="minorHAnsi" w:cstheme="minorHAnsi"/>
                <w:sz w:val="18"/>
                <w:szCs w:val="18"/>
              </w:rPr>
              <w:t>8</w:t>
            </w:r>
          </w:p>
        </w:tc>
      </w:tr>
    </w:tbl>
    <w:p w:rsidR="003D4647" w:rsidRDefault="000865D6" w:rsidP="00D476C4">
      <w:pPr>
        <w:pStyle w:val="Titulek"/>
        <w:keepNext/>
        <w:spacing w:before="240"/>
      </w:pPr>
      <w:bookmarkStart w:id="29" w:name="_Hlk70597369"/>
      <w:bookmarkEnd w:id="29"/>
      <w:r>
        <w:t xml:space="preserve">Tabulka </w:t>
      </w:r>
      <w:r w:rsidR="00D644CC">
        <w:fldChar w:fldCharType="begin"/>
      </w:r>
      <w:r>
        <w:instrText xml:space="preserve"> SEQ Tabulka \* ARABIC </w:instrText>
      </w:r>
      <w:r w:rsidR="00D644CC">
        <w:fldChar w:fldCharType="separate"/>
      </w:r>
      <w:r>
        <w:t>7</w:t>
      </w:r>
      <w:r w:rsidR="00D644CC">
        <w:rPr>
          <w:noProof/>
        </w:rPr>
        <w:fldChar w:fldCharType="end"/>
      </w:r>
      <w:r>
        <w:t xml:space="preserve">: </w:t>
      </w:r>
      <w:r w:rsidRPr="003D4647">
        <w:t xml:space="preserve">Statistické údaje </w:t>
      </w:r>
      <w:r w:rsidR="00D476C4">
        <w:t>Ministerstva spravedlnosti</w:t>
      </w:r>
      <w:r w:rsidRPr="003D4647">
        <w:t xml:space="preserve"> k soudním řízením o vyvlastnění</w:t>
      </w:r>
    </w:p>
    <w:tbl>
      <w:tblPr>
        <w:tblStyle w:val="Barevntabulkaseznamu6zvraznn52"/>
        <w:tblW w:w="9072" w:type="dxa"/>
        <w:tblLayout w:type="fixed"/>
        <w:tblLook w:val="04A0" w:firstRow="1" w:lastRow="0" w:firstColumn="1" w:lastColumn="0" w:noHBand="0" w:noVBand="1"/>
      </w:tblPr>
      <w:tblGrid>
        <w:gridCol w:w="1418"/>
        <w:gridCol w:w="765"/>
        <w:gridCol w:w="765"/>
        <w:gridCol w:w="766"/>
        <w:gridCol w:w="765"/>
        <w:gridCol w:w="766"/>
        <w:gridCol w:w="765"/>
        <w:gridCol w:w="765"/>
        <w:gridCol w:w="766"/>
        <w:gridCol w:w="765"/>
        <w:gridCol w:w="766"/>
      </w:tblGrid>
      <w:tr w:rsidR="00FC72A1" w:rsidTr="00FC72A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Mar>
              <w:left w:w="57" w:type="dxa"/>
              <w:right w:w="57" w:type="dxa"/>
            </w:tcMar>
            <w:vAlign w:val="center"/>
            <w:hideMark/>
          </w:tcPr>
          <w:p w:rsidR="004F510B" w:rsidRPr="003D4647" w:rsidRDefault="000865D6" w:rsidP="003D4647">
            <w:pPr>
              <w:spacing w:before="0" w:after="0"/>
              <w:jc w:val="left"/>
              <w:rPr>
                <w:rFonts w:asciiTheme="minorHAnsi" w:hAnsiTheme="minorHAnsi" w:cstheme="minorHAnsi"/>
                <w:sz w:val="20"/>
                <w:szCs w:val="20"/>
              </w:rPr>
            </w:pPr>
            <w:r w:rsidRPr="003D4647">
              <w:rPr>
                <w:rFonts w:asciiTheme="minorHAnsi" w:hAnsiTheme="minorHAnsi" w:cstheme="minorHAnsi"/>
                <w:sz w:val="20"/>
                <w:szCs w:val="20"/>
              </w:rPr>
              <w:t>Rozhodování správních soudů (SŘS)</w:t>
            </w:r>
          </w:p>
        </w:tc>
        <w:tc>
          <w:tcPr>
            <w:tcW w:w="765"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Rok</w:t>
            </w:r>
          </w:p>
        </w:tc>
        <w:tc>
          <w:tcPr>
            <w:tcW w:w="765"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MS Praha</w:t>
            </w:r>
          </w:p>
        </w:tc>
        <w:tc>
          <w:tcPr>
            <w:tcW w:w="766"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KS Praha</w:t>
            </w:r>
          </w:p>
        </w:tc>
        <w:tc>
          <w:tcPr>
            <w:tcW w:w="765"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KS Č</w:t>
            </w:r>
            <w:r w:rsidR="003D4647">
              <w:rPr>
                <w:rFonts w:asciiTheme="minorHAnsi" w:hAnsiTheme="minorHAnsi" w:cstheme="minorHAnsi"/>
                <w:sz w:val="20"/>
                <w:szCs w:val="20"/>
              </w:rPr>
              <w:t>.</w:t>
            </w:r>
            <w:r w:rsidRPr="003D4647">
              <w:rPr>
                <w:rFonts w:asciiTheme="minorHAnsi" w:hAnsiTheme="minorHAnsi" w:cstheme="minorHAnsi"/>
                <w:sz w:val="20"/>
                <w:szCs w:val="20"/>
              </w:rPr>
              <w:t xml:space="preserve"> Budě</w:t>
            </w:r>
            <w:r w:rsidR="003D4647">
              <w:rPr>
                <w:rFonts w:asciiTheme="minorHAnsi" w:hAnsiTheme="minorHAnsi" w:cstheme="minorHAnsi"/>
                <w:sz w:val="20"/>
                <w:szCs w:val="20"/>
              </w:rPr>
              <w:t>-</w:t>
            </w:r>
            <w:r w:rsidRPr="003D4647">
              <w:rPr>
                <w:rFonts w:asciiTheme="minorHAnsi" w:hAnsiTheme="minorHAnsi" w:cstheme="minorHAnsi"/>
                <w:sz w:val="20"/>
                <w:szCs w:val="20"/>
              </w:rPr>
              <w:t>jovice</w:t>
            </w:r>
          </w:p>
        </w:tc>
        <w:tc>
          <w:tcPr>
            <w:tcW w:w="766"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KS Plzeň</w:t>
            </w:r>
          </w:p>
        </w:tc>
        <w:tc>
          <w:tcPr>
            <w:tcW w:w="765"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KS Ústí n</w:t>
            </w:r>
            <w:r w:rsidR="003D4647">
              <w:rPr>
                <w:rFonts w:asciiTheme="minorHAnsi" w:hAnsiTheme="minorHAnsi" w:cstheme="minorHAnsi"/>
                <w:sz w:val="20"/>
                <w:szCs w:val="20"/>
              </w:rPr>
              <w:t>.</w:t>
            </w:r>
            <w:r w:rsidRPr="003D4647">
              <w:rPr>
                <w:rFonts w:asciiTheme="minorHAnsi" w:hAnsiTheme="minorHAnsi" w:cstheme="minorHAnsi"/>
                <w:sz w:val="20"/>
                <w:szCs w:val="20"/>
              </w:rPr>
              <w:t xml:space="preserve"> L</w:t>
            </w:r>
            <w:r w:rsidR="003D4647">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KS Hradec Králové</w:t>
            </w:r>
          </w:p>
        </w:tc>
        <w:tc>
          <w:tcPr>
            <w:tcW w:w="766" w:type="dxa"/>
            <w:tcMar>
              <w:left w:w="57" w:type="dxa"/>
              <w:right w:w="57" w:type="dxa"/>
            </w:tcMar>
            <w:vAlign w:val="center"/>
            <w:hideMark/>
          </w:tcPr>
          <w:p w:rsid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 xml:space="preserve">KS </w:t>
            </w:r>
          </w:p>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Brno</w:t>
            </w:r>
          </w:p>
        </w:tc>
        <w:tc>
          <w:tcPr>
            <w:tcW w:w="765"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KS Ostrava</w:t>
            </w:r>
          </w:p>
        </w:tc>
        <w:tc>
          <w:tcPr>
            <w:tcW w:w="766" w:type="dxa"/>
            <w:tcMar>
              <w:left w:w="57" w:type="dxa"/>
              <w:right w:w="57" w:type="dxa"/>
            </w:tcMar>
            <w:vAlign w:val="center"/>
            <w:hideMark/>
          </w:tcPr>
          <w:p w:rsidR="004F510B" w:rsidRPr="003D4647" w:rsidRDefault="000865D6" w:rsidP="003D464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ČR</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val="restart"/>
            <w:tcMar>
              <w:left w:w="57" w:type="dxa"/>
              <w:right w:w="57" w:type="dxa"/>
            </w:tcMar>
            <w:vAlign w:val="center"/>
            <w:hideMark/>
          </w:tcPr>
          <w:p w:rsidR="004F510B" w:rsidRPr="003D4647" w:rsidRDefault="000865D6" w:rsidP="003D4647">
            <w:pPr>
              <w:spacing w:before="0" w:after="0"/>
              <w:jc w:val="left"/>
              <w:rPr>
                <w:rFonts w:asciiTheme="minorHAnsi" w:hAnsiTheme="minorHAnsi" w:cstheme="minorHAnsi"/>
                <w:sz w:val="20"/>
                <w:szCs w:val="20"/>
              </w:rPr>
            </w:pPr>
            <w:r w:rsidRPr="003D4647">
              <w:rPr>
                <w:rFonts w:asciiTheme="minorHAnsi" w:hAnsiTheme="minorHAnsi" w:cstheme="minorHAnsi"/>
                <w:b w:val="0"/>
                <w:bCs w:val="0"/>
                <w:sz w:val="20"/>
                <w:szCs w:val="20"/>
              </w:rPr>
              <w:t>Počet rozhodnutí vydaných v daném roce</w:t>
            </w:r>
          </w:p>
        </w:tc>
        <w:tc>
          <w:tcPr>
            <w:tcW w:w="765" w:type="dxa"/>
            <w:tcMar>
              <w:left w:w="57" w:type="dxa"/>
              <w:right w:w="57" w:type="dxa"/>
            </w:tcMar>
            <w:vAlign w:val="center"/>
            <w:hideMark/>
          </w:tcPr>
          <w:p w:rsidR="004F510B" w:rsidRPr="003D4647" w:rsidRDefault="000865D6" w:rsidP="00DA205B">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2016</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4</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9</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4F510B" w:rsidRPr="003D4647" w:rsidRDefault="004F510B" w:rsidP="003D4647">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4F510B" w:rsidRPr="003D4647" w:rsidRDefault="000865D6" w:rsidP="00DA205B">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2017</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5</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10</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4F510B" w:rsidRPr="003D4647" w:rsidRDefault="004F510B" w:rsidP="003D4647">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4F510B" w:rsidRPr="003D4647" w:rsidRDefault="000865D6" w:rsidP="00DA205B">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2018</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4</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4F510B" w:rsidRPr="003D4647" w:rsidRDefault="004F510B" w:rsidP="003D4647">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4F510B" w:rsidRPr="003D4647" w:rsidRDefault="000865D6" w:rsidP="00DA205B">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2019</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6</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4F510B" w:rsidRPr="003D4647" w:rsidRDefault="004F510B" w:rsidP="003D4647">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4F510B" w:rsidRPr="003D4647" w:rsidRDefault="000865D6" w:rsidP="00DA205B">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2020</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3</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4</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3</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4F510B"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10</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val="restart"/>
            <w:tcMar>
              <w:left w:w="57" w:type="dxa"/>
              <w:right w:w="57" w:type="dxa"/>
            </w:tcMar>
            <w:vAlign w:val="center"/>
            <w:hideMark/>
          </w:tcPr>
          <w:p w:rsidR="004F510B" w:rsidRPr="003D4647" w:rsidRDefault="000865D6" w:rsidP="003D4647">
            <w:pPr>
              <w:spacing w:before="0" w:after="0"/>
              <w:jc w:val="left"/>
              <w:rPr>
                <w:rFonts w:asciiTheme="minorHAnsi" w:hAnsiTheme="minorHAnsi" w:cstheme="minorHAnsi"/>
                <w:sz w:val="20"/>
                <w:szCs w:val="20"/>
              </w:rPr>
            </w:pPr>
            <w:r w:rsidRPr="003D4647">
              <w:rPr>
                <w:rFonts w:asciiTheme="minorHAnsi" w:hAnsiTheme="minorHAnsi" w:cstheme="minorHAnsi"/>
                <w:b w:val="0"/>
                <w:bCs w:val="0"/>
                <w:sz w:val="20"/>
                <w:szCs w:val="20"/>
              </w:rPr>
              <w:t xml:space="preserve">Průměrná délka </w:t>
            </w:r>
            <w:r w:rsidRPr="003D4647">
              <w:rPr>
                <w:rFonts w:asciiTheme="minorHAnsi" w:hAnsiTheme="minorHAnsi" w:cstheme="minorHAnsi"/>
                <w:b w:val="0"/>
                <w:bCs w:val="0"/>
                <w:sz w:val="20"/>
                <w:szCs w:val="20"/>
              </w:rPr>
              <w:t>řízení (od zahájení řízení do nabytí právní moci rozhodnutí) v letech</w:t>
            </w:r>
            <w:r w:rsidRPr="003D4647">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2016</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5,1</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1,5</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0,4</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1,2</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0,8</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1,4</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4F510B" w:rsidRPr="003D4647" w:rsidRDefault="004F510B" w:rsidP="003D4647">
            <w:pPr>
              <w:spacing w:before="0" w:after="0"/>
              <w:rPr>
                <w:rFonts w:asciiTheme="minorHAnsi" w:hAnsiTheme="minorHAnsi" w:cstheme="minorHAnsi"/>
                <w:sz w:val="20"/>
                <w:szCs w:val="20"/>
              </w:rPr>
            </w:pPr>
          </w:p>
        </w:tc>
        <w:tc>
          <w:tcPr>
            <w:tcW w:w="765" w:type="dxa"/>
            <w:tcMar>
              <w:left w:w="57" w:type="dxa"/>
              <w:right w:w="57" w:type="dxa"/>
            </w:tcMar>
            <w:vAlign w:val="center"/>
            <w:hideMark/>
          </w:tcPr>
          <w:p w:rsidR="004F510B" w:rsidRPr="003D4647" w:rsidRDefault="000865D6" w:rsidP="00DA205B">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2017</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0,6</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1,0</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0,9</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0,5</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0,7</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4F510B" w:rsidRPr="003D4647" w:rsidRDefault="004F510B" w:rsidP="003D4647">
            <w:pPr>
              <w:spacing w:before="0" w:after="0"/>
              <w:rPr>
                <w:rFonts w:asciiTheme="minorHAnsi" w:hAnsiTheme="minorHAnsi" w:cstheme="minorHAnsi"/>
                <w:sz w:val="20"/>
                <w:szCs w:val="20"/>
              </w:rPr>
            </w:pPr>
          </w:p>
        </w:tc>
        <w:tc>
          <w:tcPr>
            <w:tcW w:w="765" w:type="dxa"/>
            <w:tcMar>
              <w:left w:w="57" w:type="dxa"/>
              <w:right w:w="57" w:type="dxa"/>
            </w:tcMar>
            <w:vAlign w:val="center"/>
            <w:hideMark/>
          </w:tcPr>
          <w:p w:rsidR="004F510B" w:rsidRPr="003D4647" w:rsidRDefault="000865D6" w:rsidP="00DA205B">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2018</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1,1</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0,3</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1,8</w:t>
            </w:r>
          </w:p>
        </w:tc>
        <w:tc>
          <w:tcPr>
            <w:tcW w:w="766" w:type="dxa"/>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1,1</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4F510B" w:rsidRPr="003D4647" w:rsidRDefault="004F510B" w:rsidP="003D4647">
            <w:pPr>
              <w:spacing w:before="0" w:after="0"/>
              <w:rPr>
                <w:rFonts w:asciiTheme="minorHAnsi" w:hAnsiTheme="minorHAnsi" w:cstheme="minorHAnsi"/>
                <w:sz w:val="20"/>
                <w:szCs w:val="20"/>
              </w:rPr>
            </w:pPr>
          </w:p>
        </w:tc>
        <w:tc>
          <w:tcPr>
            <w:tcW w:w="765" w:type="dxa"/>
            <w:tcMar>
              <w:left w:w="57" w:type="dxa"/>
              <w:right w:w="57" w:type="dxa"/>
            </w:tcMar>
            <w:vAlign w:val="center"/>
            <w:hideMark/>
          </w:tcPr>
          <w:p w:rsidR="004F510B" w:rsidRPr="003D4647" w:rsidRDefault="000865D6" w:rsidP="00DA205B">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2019</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0,3</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0,3</w:t>
            </w:r>
          </w:p>
        </w:tc>
        <w:tc>
          <w:tcPr>
            <w:tcW w:w="765"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1,4</w:t>
            </w:r>
          </w:p>
        </w:tc>
        <w:tc>
          <w:tcPr>
            <w:tcW w:w="766" w:type="dxa"/>
            <w:tcMar>
              <w:left w:w="57" w:type="dxa"/>
              <w:right w:w="57" w:type="dxa"/>
            </w:tcMar>
            <w:vAlign w:val="center"/>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1,2</w:t>
            </w:r>
          </w:p>
        </w:tc>
        <w:tc>
          <w:tcPr>
            <w:tcW w:w="766" w:type="dxa"/>
            <w:tcMar>
              <w:left w:w="57" w:type="dxa"/>
              <w:right w:w="57" w:type="dxa"/>
            </w:tcMar>
            <w:vAlign w:val="center"/>
            <w:hideMark/>
          </w:tcPr>
          <w:p w:rsidR="004F510B" w:rsidRPr="003D4647" w:rsidRDefault="000865D6" w:rsidP="00DA205B">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1,0</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Borders>
              <w:bottom w:val="single" w:sz="4" w:space="0" w:color="262626" w:themeColor="accent5"/>
            </w:tcBorders>
            <w:tcMar>
              <w:left w:w="57" w:type="dxa"/>
              <w:right w:w="57" w:type="dxa"/>
            </w:tcMar>
            <w:vAlign w:val="center"/>
            <w:hideMark/>
          </w:tcPr>
          <w:p w:rsidR="004F510B" w:rsidRPr="003D4647" w:rsidRDefault="004F510B" w:rsidP="003D4647">
            <w:pPr>
              <w:spacing w:before="0" w:after="0"/>
              <w:rPr>
                <w:rFonts w:asciiTheme="minorHAnsi" w:hAnsiTheme="minorHAnsi" w:cstheme="minorHAnsi"/>
                <w:sz w:val="20"/>
                <w:szCs w:val="20"/>
              </w:rPr>
            </w:pPr>
          </w:p>
        </w:tc>
        <w:tc>
          <w:tcPr>
            <w:tcW w:w="765" w:type="dxa"/>
            <w:tcBorders>
              <w:bottom w:val="single" w:sz="4" w:space="0" w:color="262626" w:themeColor="accent5"/>
            </w:tcBorders>
            <w:tcMar>
              <w:left w:w="57" w:type="dxa"/>
              <w:right w:w="57" w:type="dxa"/>
            </w:tcMar>
            <w:vAlign w:val="center"/>
            <w:hideMark/>
          </w:tcPr>
          <w:p w:rsidR="004F510B" w:rsidRPr="003D4647" w:rsidRDefault="000865D6" w:rsidP="00DA205B">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2020</w:t>
            </w:r>
          </w:p>
        </w:tc>
        <w:tc>
          <w:tcPr>
            <w:tcW w:w="765" w:type="dxa"/>
            <w:tcBorders>
              <w:bottom w:val="single" w:sz="4" w:space="0" w:color="262626" w:themeColor="accent5"/>
            </w:tcBorders>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Borders>
              <w:bottom w:val="single" w:sz="4" w:space="0" w:color="262626" w:themeColor="accent5"/>
            </w:tcBorders>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1,8</w:t>
            </w:r>
          </w:p>
        </w:tc>
        <w:tc>
          <w:tcPr>
            <w:tcW w:w="765" w:type="dxa"/>
            <w:tcBorders>
              <w:bottom w:val="single" w:sz="4" w:space="0" w:color="262626" w:themeColor="accent5"/>
            </w:tcBorders>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0,6</w:t>
            </w:r>
          </w:p>
        </w:tc>
        <w:tc>
          <w:tcPr>
            <w:tcW w:w="766" w:type="dxa"/>
            <w:tcBorders>
              <w:bottom w:val="single" w:sz="4" w:space="0" w:color="262626" w:themeColor="accent5"/>
            </w:tcBorders>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Borders>
              <w:bottom w:val="single" w:sz="4" w:space="0" w:color="262626" w:themeColor="accent5"/>
            </w:tcBorders>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Borders>
              <w:bottom w:val="single" w:sz="4" w:space="0" w:color="262626" w:themeColor="accent5"/>
            </w:tcBorders>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0,9</w:t>
            </w:r>
          </w:p>
        </w:tc>
        <w:tc>
          <w:tcPr>
            <w:tcW w:w="766" w:type="dxa"/>
            <w:tcBorders>
              <w:bottom w:val="single" w:sz="4" w:space="0" w:color="262626" w:themeColor="accent5"/>
            </w:tcBorders>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Borders>
              <w:bottom w:val="single" w:sz="4" w:space="0" w:color="262626" w:themeColor="accent5"/>
            </w:tcBorders>
            <w:tcMar>
              <w:left w:w="57" w:type="dxa"/>
              <w:right w:w="57" w:type="dxa"/>
            </w:tcMar>
            <w:vAlign w:val="center"/>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Borders>
              <w:bottom w:val="single" w:sz="4" w:space="0" w:color="262626" w:themeColor="accent5"/>
            </w:tcBorders>
            <w:tcMar>
              <w:left w:w="57" w:type="dxa"/>
              <w:right w:w="57" w:type="dxa"/>
            </w:tcMar>
            <w:vAlign w:val="center"/>
            <w:hideMark/>
          </w:tcPr>
          <w:p w:rsidR="004F510B" w:rsidRPr="003D4647" w:rsidRDefault="000865D6" w:rsidP="00DA205B">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1,0</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left"/>
              <w:rPr>
                <w:rFonts w:asciiTheme="minorHAnsi" w:hAnsiTheme="minorHAnsi" w:cstheme="minorHAnsi"/>
                <w:sz w:val="20"/>
                <w:szCs w:val="20"/>
              </w:rPr>
            </w:pPr>
            <w:r w:rsidRPr="00D476C4">
              <w:rPr>
                <w:rFonts w:asciiTheme="minorHAnsi" w:hAnsiTheme="minorHAnsi" w:cstheme="minorHAnsi"/>
                <w:sz w:val="20"/>
                <w:szCs w:val="20"/>
              </w:rPr>
              <w:t xml:space="preserve">Rozhodování </w:t>
            </w:r>
            <w:r w:rsidRPr="00D476C4">
              <w:rPr>
                <w:rFonts w:asciiTheme="minorHAnsi" w:hAnsiTheme="minorHAnsi" w:cstheme="minorHAnsi"/>
                <w:sz w:val="20"/>
                <w:szCs w:val="20"/>
              </w:rPr>
              <w:t>civilních soudů (OSŘ)</w:t>
            </w:r>
          </w:p>
        </w:tc>
        <w:tc>
          <w:tcPr>
            <w:tcW w:w="765"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Rok</w:t>
            </w:r>
          </w:p>
        </w:tc>
        <w:tc>
          <w:tcPr>
            <w:tcW w:w="765"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MS Praha</w:t>
            </w:r>
          </w:p>
        </w:tc>
        <w:tc>
          <w:tcPr>
            <w:tcW w:w="766"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KS Praha</w:t>
            </w:r>
          </w:p>
        </w:tc>
        <w:tc>
          <w:tcPr>
            <w:tcW w:w="765"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KS Č</w:t>
            </w:r>
            <w:r w:rsidR="003D4647" w:rsidRPr="00D476C4">
              <w:rPr>
                <w:rFonts w:asciiTheme="minorHAnsi" w:hAnsiTheme="minorHAnsi" w:cstheme="minorHAnsi"/>
                <w:b/>
                <w:bCs/>
                <w:sz w:val="20"/>
                <w:szCs w:val="20"/>
              </w:rPr>
              <w:t>.</w:t>
            </w:r>
            <w:r w:rsidRPr="00D476C4">
              <w:rPr>
                <w:rFonts w:asciiTheme="minorHAnsi" w:hAnsiTheme="minorHAnsi" w:cstheme="minorHAnsi"/>
                <w:b/>
                <w:bCs/>
                <w:sz w:val="20"/>
                <w:szCs w:val="20"/>
              </w:rPr>
              <w:t xml:space="preserve"> Budě</w:t>
            </w:r>
            <w:r w:rsidR="003D4647" w:rsidRPr="00D476C4">
              <w:rPr>
                <w:rFonts w:asciiTheme="minorHAnsi" w:hAnsiTheme="minorHAnsi" w:cstheme="minorHAnsi"/>
                <w:b/>
                <w:bCs/>
                <w:sz w:val="20"/>
                <w:szCs w:val="20"/>
              </w:rPr>
              <w:t>-</w:t>
            </w:r>
            <w:r w:rsidRPr="00D476C4">
              <w:rPr>
                <w:rFonts w:asciiTheme="minorHAnsi" w:hAnsiTheme="minorHAnsi" w:cstheme="minorHAnsi"/>
                <w:b/>
                <w:bCs/>
                <w:sz w:val="20"/>
                <w:szCs w:val="20"/>
              </w:rPr>
              <w:t>jovice</w:t>
            </w:r>
          </w:p>
        </w:tc>
        <w:tc>
          <w:tcPr>
            <w:tcW w:w="766"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KS Plzeň</w:t>
            </w:r>
          </w:p>
        </w:tc>
        <w:tc>
          <w:tcPr>
            <w:tcW w:w="765"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KS Ústí n</w:t>
            </w:r>
            <w:r w:rsidR="003D4647" w:rsidRPr="00D476C4">
              <w:rPr>
                <w:rFonts w:asciiTheme="minorHAnsi" w:hAnsiTheme="minorHAnsi" w:cstheme="minorHAnsi"/>
                <w:b/>
                <w:bCs/>
                <w:sz w:val="20"/>
                <w:szCs w:val="20"/>
              </w:rPr>
              <w:t>.</w:t>
            </w:r>
            <w:r w:rsidRPr="00D476C4">
              <w:rPr>
                <w:rFonts w:asciiTheme="minorHAnsi" w:hAnsiTheme="minorHAnsi" w:cstheme="minorHAnsi"/>
                <w:b/>
                <w:bCs/>
                <w:sz w:val="20"/>
                <w:szCs w:val="20"/>
              </w:rPr>
              <w:t xml:space="preserve"> L</w:t>
            </w:r>
            <w:r w:rsidR="003D4647" w:rsidRPr="00D476C4">
              <w:rPr>
                <w:rFonts w:asciiTheme="minorHAnsi" w:hAnsiTheme="minorHAnsi" w:cstheme="minorHAnsi"/>
                <w:b/>
                <w:bCs/>
                <w:sz w:val="20"/>
                <w:szCs w:val="20"/>
              </w:rPr>
              <w:t>.</w:t>
            </w:r>
          </w:p>
        </w:tc>
        <w:tc>
          <w:tcPr>
            <w:tcW w:w="765"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KS Hradec Králové</w:t>
            </w:r>
          </w:p>
        </w:tc>
        <w:tc>
          <w:tcPr>
            <w:tcW w:w="766" w:type="dxa"/>
            <w:tcBorders>
              <w:top w:val="single" w:sz="4" w:space="0" w:color="262626" w:themeColor="accent5"/>
              <w:bottom w:val="single" w:sz="4" w:space="0" w:color="262626" w:themeColor="accent5"/>
            </w:tcBorders>
            <w:tcMar>
              <w:left w:w="57" w:type="dxa"/>
              <w:right w:w="57" w:type="dxa"/>
            </w:tcMar>
            <w:vAlign w:val="center"/>
            <w:hideMark/>
          </w:tcPr>
          <w:p w:rsidR="003D4647"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 xml:space="preserve">KS </w:t>
            </w:r>
          </w:p>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Brno</w:t>
            </w:r>
          </w:p>
        </w:tc>
        <w:tc>
          <w:tcPr>
            <w:tcW w:w="765"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KS Ostrava</w:t>
            </w:r>
          </w:p>
        </w:tc>
        <w:tc>
          <w:tcPr>
            <w:tcW w:w="766" w:type="dxa"/>
            <w:tcBorders>
              <w:top w:val="single" w:sz="4" w:space="0" w:color="262626" w:themeColor="accent5"/>
              <w:bottom w:val="single" w:sz="4" w:space="0" w:color="262626" w:themeColor="accent5"/>
            </w:tcBorders>
            <w:tcMar>
              <w:left w:w="57" w:type="dxa"/>
              <w:right w:w="57" w:type="dxa"/>
            </w:tcMar>
            <w:vAlign w:val="center"/>
            <w:hideMark/>
          </w:tcPr>
          <w:p w:rsidR="004F510B" w:rsidRPr="00D476C4" w:rsidRDefault="000865D6" w:rsidP="003D4647">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 w:val="20"/>
                <w:szCs w:val="20"/>
              </w:rPr>
            </w:pPr>
            <w:r w:rsidRPr="00D476C4">
              <w:rPr>
                <w:rFonts w:asciiTheme="minorHAnsi" w:hAnsiTheme="minorHAnsi" w:cstheme="minorHAnsi"/>
                <w:b/>
                <w:bCs/>
                <w:sz w:val="20"/>
                <w:szCs w:val="20"/>
              </w:rPr>
              <w:t>Celk</w:t>
            </w:r>
            <w:r w:rsidR="003D4647" w:rsidRPr="00D476C4">
              <w:rPr>
                <w:rFonts w:asciiTheme="minorHAnsi" w:hAnsiTheme="minorHAnsi" w:cstheme="minorHAnsi"/>
                <w:b/>
                <w:bCs/>
                <w:sz w:val="20"/>
                <w:szCs w:val="20"/>
              </w:rPr>
              <w:t>em</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val="restart"/>
            <w:tcBorders>
              <w:top w:val="single" w:sz="4" w:space="0" w:color="262626" w:themeColor="accent5"/>
            </w:tcBorders>
            <w:tcMar>
              <w:left w:w="57" w:type="dxa"/>
              <w:right w:w="57" w:type="dxa"/>
            </w:tcMar>
            <w:vAlign w:val="center"/>
            <w:hideMark/>
          </w:tcPr>
          <w:p w:rsidR="00585C4C" w:rsidRPr="003D4647" w:rsidRDefault="000865D6" w:rsidP="00585C4C">
            <w:pPr>
              <w:spacing w:before="0" w:after="0"/>
              <w:jc w:val="left"/>
              <w:rPr>
                <w:rFonts w:asciiTheme="minorHAnsi" w:hAnsiTheme="minorHAnsi" w:cstheme="minorHAnsi"/>
                <w:sz w:val="20"/>
                <w:szCs w:val="20"/>
              </w:rPr>
            </w:pPr>
            <w:r w:rsidRPr="003D4647">
              <w:rPr>
                <w:rFonts w:asciiTheme="minorHAnsi" w:hAnsiTheme="minorHAnsi" w:cstheme="minorHAnsi"/>
                <w:b w:val="0"/>
                <w:bCs w:val="0"/>
                <w:sz w:val="20"/>
                <w:szCs w:val="20"/>
              </w:rPr>
              <w:t>Počet rozhodnutí vydaných v daném roce</w:t>
            </w:r>
          </w:p>
        </w:tc>
        <w:tc>
          <w:tcPr>
            <w:tcW w:w="765" w:type="dxa"/>
            <w:tcBorders>
              <w:top w:val="single" w:sz="4" w:space="0" w:color="262626" w:themeColor="accent5"/>
            </w:tcBorders>
            <w:tcMar>
              <w:left w:w="57" w:type="dxa"/>
              <w:right w:w="57" w:type="dxa"/>
            </w:tcMar>
            <w:vAlign w:val="center"/>
            <w:hideMark/>
          </w:tcPr>
          <w:p w:rsidR="00585C4C" w:rsidRPr="003D4647" w:rsidRDefault="000865D6" w:rsidP="00585C4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2016</w:t>
            </w:r>
          </w:p>
        </w:tc>
        <w:tc>
          <w:tcPr>
            <w:tcW w:w="765"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2FC4">
              <w:rPr>
                <w:rFonts w:asciiTheme="minorHAnsi" w:hAnsiTheme="minorHAnsi" w:cstheme="minorHAnsi"/>
                <w:sz w:val="20"/>
                <w:szCs w:val="20"/>
              </w:rPr>
              <w:t>-</w:t>
            </w:r>
          </w:p>
        </w:tc>
        <w:tc>
          <w:tcPr>
            <w:tcW w:w="765"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2FC4">
              <w:rPr>
                <w:rFonts w:asciiTheme="minorHAnsi" w:hAnsiTheme="minorHAnsi" w:cstheme="minorHAnsi"/>
                <w:sz w:val="20"/>
                <w:szCs w:val="20"/>
              </w:rPr>
              <w:t>-</w:t>
            </w:r>
          </w:p>
        </w:tc>
        <w:tc>
          <w:tcPr>
            <w:tcW w:w="766"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2FC4">
              <w:rPr>
                <w:rFonts w:asciiTheme="minorHAnsi" w:hAnsiTheme="minorHAnsi" w:cstheme="minorHAnsi"/>
                <w:sz w:val="20"/>
                <w:szCs w:val="20"/>
              </w:rPr>
              <w:t>-</w:t>
            </w:r>
          </w:p>
        </w:tc>
        <w:tc>
          <w:tcPr>
            <w:tcW w:w="765"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2FC4">
              <w:rPr>
                <w:rFonts w:asciiTheme="minorHAnsi" w:hAnsiTheme="minorHAnsi" w:cstheme="minorHAnsi"/>
                <w:sz w:val="20"/>
                <w:szCs w:val="20"/>
              </w:rPr>
              <w:t>-</w:t>
            </w:r>
          </w:p>
        </w:tc>
        <w:tc>
          <w:tcPr>
            <w:tcW w:w="765"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2FC4">
              <w:rPr>
                <w:rFonts w:asciiTheme="minorHAnsi" w:hAnsiTheme="minorHAnsi" w:cstheme="minorHAnsi"/>
                <w:sz w:val="20"/>
                <w:szCs w:val="20"/>
              </w:rPr>
              <w:t>-</w:t>
            </w:r>
          </w:p>
        </w:tc>
        <w:tc>
          <w:tcPr>
            <w:tcW w:w="766"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2FC4">
              <w:rPr>
                <w:rFonts w:asciiTheme="minorHAnsi" w:hAnsiTheme="minorHAnsi" w:cstheme="minorHAnsi"/>
                <w:sz w:val="20"/>
                <w:szCs w:val="20"/>
              </w:rPr>
              <w:t>-</w:t>
            </w:r>
          </w:p>
        </w:tc>
        <w:tc>
          <w:tcPr>
            <w:tcW w:w="765" w:type="dxa"/>
            <w:tcBorders>
              <w:top w:val="single" w:sz="4" w:space="0" w:color="262626" w:themeColor="accent5"/>
            </w:tcBorders>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32FC4">
              <w:rPr>
                <w:rFonts w:asciiTheme="minorHAnsi" w:hAnsiTheme="minorHAnsi" w:cstheme="minorHAnsi"/>
                <w:sz w:val="20"/>
                <w:szCs w:val="20"/>
              </w:rPr>
              <w:t>-</w:t>
            </w:r>
          </w:p>
        </w:tc>
        <w:tc>
          <w:tcPr>
            <w:tcW w:w="766" w:type="dxa"/>
            <w:tcBorders>
              <w:top w:val="single" w:sz="4" w:space="0" w:color="262626" w:themeColor="accent5"/>
            </w:tcBorders>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2017</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947EB">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947EB">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947EB">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947EB">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947EB">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947EB">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3</w:t>
            </w:r>
          </w:p>
        </w:tc>
        <w:tc>
          <w:tcPr>
            <w:tcW w:w="766"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3</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2018</w:t>
            </w:r>
          </w:p>
        </w:tc>
        <w:tc>
          <w:tcPr>
            <w:tcW w:w="765"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3F53">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3F53">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3F53">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3F53">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13F53">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3</w:t>
            </w:r>
          </w:p>
        </w:tc>
        <w:tc>
          <w:tcPr>
            <w:tcW w:w="766"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5</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2019</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93316">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93316">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93316">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A93316">
              <w:rPr>
                <w:rFonts w:asciiTheme="minorHAnsi" w:hAnsiTheme="minorHAnsi" w:cstheme="minorHAnsi"/>
                <w:sz w:val="20"/>
                <w:szCs w:val="20"/>
              </w:rPr>
              <w:t>-</w:t>
            </w:r>
          </w:p>
        </w:tc>
        <w:tc>
          <w:tcPr>
            <w:tcW w:w="766"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5"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4</w:t>
            </w:r>
          </w:p>
        </w:tc>
        <w:tc>
          <w:tcPr>
            <w:tcW w:w="766"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6</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jc w:val="left"/>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2020</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B55D1">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B55D1">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B55D1">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B55D1">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7B55D1">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3</w:t>
            </w:r>
          </w:p>
        </w:tc>
        <w:tc>
          <w:tcPr>
            <w:tcW w:w="766"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4</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val="restart"/>
            <w:tcMar>
              <w:left w:w="57" w:type="dxa"/>
              <w:right w:w="57" w:type="dxa"/>
            </w:tcMar>
            <w:vAlign w:val="center"/>
            <w:hideMark/>
          </w:tcPr>
          <w:p w:rsidR="00585C4C" w:rsidRPr="003D4647" w:rsidRDefault="000865D6" w:rsidP="00585C4C">
            <w:pPr>
              <w:spacing w:before="0" w:after="0"/>
              <w:jc w:val="left"/>
              <w:rPr>
                <w:rFonts w:asciiTheme="minorHAnsi" w:hAnsiTheme="minorHAnsi" w:cstheme="minorHAnsi"/>
                <w:sz w:val="20"/>
                <w:szCs w:val="20"/>
              </w:rPr>
            </w:pPr>
            <w:r w:rsidRPr="003D4647">
              <w:rPr>
                <w:rFonts w:asciiTheme="minorHAnsi" w:hAnsiTheme="minorHAnsi" w:cstheme="minorHAnsi"/>
                <w:b w:val="0"/>
                <w:bCs w:val="0"/>
                <w:sz w:val="20"/>
                <w:szCs w:val="20"/>
              </w:rPr>
              <w:t>Průměrná délka řízení (od zahájení řízení do nabytí právní moci rozhodnutí) v letech</w:t>
            </w:r>
          </w:p>
        </w:tc>
        <w:tc>
          <w:tcPr>
            <w:tcW w:w="765" w:type="dxa"/>
            <w:tcMar>
              <w:left w:w="57" w:type="dxa"/>
              <w:right w:w="57" w:type="dxa"/>
            </w:tcMar>
            <w:vAlign w:val="center"/>
            <w:hideMark/>
          </w:tcPr>
          <w:p w:rsidR="00585C4C" w:rsidRPr="003D4647" w:rsidRDefault="000865D6" w:rsidP="00585C4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2016</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2940B5">
              <w:rPr>
                <w:rFonts w:asciiTheme="minorHAnsi" w:hAnsiTheme="minorHAnsi" w:cstheme="minorHAnsi"/>
                <w:sz w:val="20"/>
                <w:szCs w:val="20"/>
              </w:rPr>
              <w:t>-</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2017</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1927">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1927">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1927">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1927">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1927">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1927">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51927">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2,1</w:t>
            </w:r>
          </w:p>
        </w:tc>
        <w:tc>
          <w:tcPr>
            <w:tcW w:w="766"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2,1</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2018</w:t>
            </w:r>
          </w:p>
        </w:tc>
        <w:tc>
          <w:tcPr>
            <w:tcW w:w="765"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0,8</w:t>
            </w:r>
          </w:p>
        </w:tc>
        <w:tc>
          <w:tcPr>
            <w:tcW w:w="766"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0,7</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24052">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24052">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24052">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24052">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24052">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3,1</w:t>
            </w:r>
          </w:p>
        </w:tc>
        <w:tc>
          <w:tcPr>
            <w:tcW w:w="766"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2,1</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2019</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6"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0,7</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1763">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1763">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1763">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AF1763">
              <w:rPr>
                <w:rFonts w:asciiTheme="minorHAnsi" w:hAnsiTheme="minorHAnsi" w:cstheme="minorHAnsi"/>
                <w:sz w:val="20"/>
                <w:szCs w:val="20"/>
              </w:rPr>
              <w:t>-</w:t>
            </w:r>
          </w:p>
        </w:tc>
        <w:tc>
          <w:tcPr>
            <w:tcW w:w="766"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0,5</w:t>
            </w:r>
          </w:p>
        </w:tc>
        <w:tc>
          <w:tcPr>
            <w:tcW w:w="765"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4,0</w:t>
            </w:r>
          </w:p>
        </w:tc>
        <w:tc>
          <w:tcPr>
            <w:tcW w:w="766" w:type="dxa"/>
            <w:tcMar>
              <w:left w:w="57" w:type="dxa"/>
              <w:right w:w="57" w:type="dxa"/>
            </w:tcMar>
            <w:vAlign w:val="center"/>
            <w:hideMark/>
          </w:tcPr>
          <w:p w:rsidR="00585C4C" w:rsidRPr="003D4647" w:rsidRDefault="000865D6" w:rsidP="00585C4C">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2,9</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418" w:type="dxa"/>
            <w:vMerge/>
            <w:tcMar>
              <w:left w:w="57" w:type="dxa"/>
              <w:right w:w="57" w:type="dxa"/>
            </w:tcMar>
            <w:vAlign w:val="center"/>
            <w:hideMark/>
          </w:tcPr>
          <w:p w:rsidR="00585C4C" w:rsidRPr="003D4647" w:rsidRDefault="00585C4C" w:rsidP="00585C4C">
            <w:pPr>
              <w:spacing w:before="0" w:after="0"/>
              <w:rPr>
                <w:rFonts w:asciiTheme="minorHAnsi" w:hAnsiTheme="minorHAnsi" w:cstheme="minorHAnsi"/>
                <w:sz w:val="20"/>
                <w:szCs w:val="20"/>
              </w:rPr>
            </w:pPr>
          </w:p>
        </w:tc>
        <w:tc>
          <w:tcPr>
            <w:tcW w:w="765" w:type="dxa"/>
            <w:tcMar>
              <w:left w:w="57" w:type="dxa"/>
              <w:right w:w="57" w:type="dxa"/>
            </w:tcMar>
            <w:vAlign w:val="center"/>
            <w:hideMark/>
          </w:tcPr>
          <w:p w:rsidR="00585C4C" w:rsidRPr="003D4647" w:rsidRDefault="000865D6" w:rsidP="00585C4C">
            <w:pPr>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2020</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13BE">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13BE">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13BE">
              <w:rPr>
                <w:rFonts w:asciiTheme="minorHAnsi" w:hAnsiTheme="minorHAnsi" w:cstheme="minorHAnsi"/>
                <w:sz w:val="20"/>
                <w:szCs w:val="20"/>
              </w:rPr>
              <w:t>-</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13BE">
              <w:rPr>
                <w:rFonts w:asciiTheme="minorHAnsi" w:hAnsiTheme="minorHAnsi" w:cstheme="minorHAnsi"/>
                <w:sz w:val="20"/>
                <w:szCs w:val="20"/>
              </w:rPr>
              <w:t>-</w:t>
            </w:r>
          </w:p>
        </w:tc>
        <w:tc>
          <w:tcPr>
            <w:tcW w:w="765"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213BE">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1,4</w:t>
            </w:r>
          </w:p>
        </w:tc>
        <w:tc>
          <w:tcPr>
            <w:tcW w:w="766" w:type="dxa"/>
            <w:tcMar>
              <w:left w:w="57" w:type="dxa"/>
              <w:right w:w="57" w:type="dxa"/>
            </w:tcMar>
            <w:vAlign w:val="center"/>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w:t>
            </w:r>
          </w:p>
        </w:tc>
        <w:tc>
          <w:tcPr>
            <w:tcW w:w="765"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6,0</w:t>
            </w:r>
          </w:p>
        </w:tc>
        <w:tc>
          <w:tcPr>
            <w:tcW w:w="766" w:type="dxa"/>
            <w:tcMar>
              <w:left w:w="57" w:type="dxa"/>
              <w:right w:w="57" w:type="dxa"/>
            </w:tcMar>
            <w:vAlign w:val="center"/>
            <w:hideMark/>
          </w:tcPr>
          <w:p w:rsidR="00585C4C" w:rsidRPr="003D4647" w:rsidRDefault="000865D6" w:rsidP="00585C4C">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3D4647">
              <w:rPr>
                <w:rFonts w:asciiTheme="minorHAnsi" w:hAnsiTheme="minorHAnsi" w:cstheme="minorHAnsi"/>
                <w:sz w:val="20"/>
                <w:szCs w:val="20"/>
              </w:rPr>
              <w:t>4,8</w:t>
            </w:r>
          </w:p>
        </w:tc>
      </w:tr>
    </w:tbl>
    <w:p w:rsidR="004F510B" w:rsidRDefault="000865D6" w:rsidP="00792650">
      <w:pPr>
        <w:pStyle w:val="Citt"/>
      </w:pPr>
      <w:r w:rsidRPr="000903F9">
        <w:t>*Pro</w:t>
      </w:r>
      <w:r>
        <w:t xml:space="preserve"> </w:t>
      </w:r>
      <w:r w:rsidR="00DA205B">
        <w:t>doplnění – polovina</w:t>
      </w:r>
      <w:r>
        <w:t xml:space="preserve"> řízení ve </w:t>
      </w:r>
      <w:r>
        <w:rPr>
          <w:u w:val="single"/>
        </w:rPr>
        <w:t>správním soudnictví</w:t>
      </w:r>
      <w:r>
        <w:t xml:space="preserve"> skončila od zahájení do 1 roku, a až na 2 případy vydaly správní soudy všechna rozhodnutí do 2 let od zahájení řízení.</w:t>
      </w:r>
    </w:p>
    <w:p w:rsidR="00103632" w:rsidRDefault="00103632">
      <w:pPr>
        <w:spacing w:before="0" w:after="0"/>
        <w:jc w:val="left"/>
        <w:rPr>
          <w:b/>
          <w:bCs/>
        </w:rPr>
      </w:pPr>
    </w:p>
    <w:p w:rsidR="00103632" w:rsidRPr="0010182A" w:rsidRDefault="000865D6" w:rsidP="00103632">
      <w:pPr>
        <w:pStyle w:val="Normln-tun"/>
        <w:rPr>
          <w:u w:val="single"/>
        </w:rPr>
      </w:pPr>
      <w:r w:rsidRPr="0010182A">
        <w:rPr>
          <w:u w:val="single"/>
        </w:rPr>
        <w:t>Dotazníkové šetření</w:t>
      </w:r>
    </w:p>
    <w:p w:rsidR="00103632" w:rsidRDefault="000865D6" w:rsidP="00103632">
      <w:pPr>
        <w:pStyle w:val="Normln-tun"/>
      </w:pPr>
      <w:r>
        <w:t>Vzhledem k tomu, že do</w:t>
      </w:r>
      <w:r w:rsidR="00D54F99">
        <w:t xml:space="preserve"> té doby </w:t>
      </w:r>
      <w:r>
        <w:t>nebyla sbírán</w:t>
      </w:r>
      <w:r>
        <w:t xml:space="preserve">a data za vyvlastňovací řízení, byli na počátku roku 2020 osloveni tajemníci jednotlivých úřadů, jejichž součástí jsou i úřady vyvlastňovací, s žádostí o vyplnění tabulky s detaily za jednotlivá vyvlastňovací řízení </w:t>
      </w:r>
      <w:r w:rsidRPr="007F256D">
        <w:t>Aby kvantitativní výzkum nebyl pro jedno</w:t>
      </w:r>
      <w:r w:rsidRPr="007F256D">
        <w:t xml:space="preserve">tlivé úřady příliš zatěžující, </w:t>
      </w:r>
      <w:r>
        <w:t>byla</w:t>
      </w:r>
      <w:r w:rsidRPr="007F256D">
        <w:t xml:space="preserve"> data sbírána za posledních 10 vyvlastňovacích řízení, kter</w:t>
      </w:r>
      <w:r>
        <w:t>á</w:t>
      </w:r>
      <w:r w:rsidRPr="007F256D">
        <w:t xml:space="preserve"> úřad vedl</w:t>
      </w:r>
      <w:r>
        <w:t xml:space="preserve">. </w:t>
      </w:r>
      <w:r w:rsidRPr="007F256D">
        <w:t xml:space="preserve">Vyvlastňovacími úřady jsou podle § 15 </w:t>
      </w:r>
      <w:r>
        <w:t xml:space="preserve">VyvlZ </w:t>
      </w:r>
      <w:r w:rsidRPr="007F256D">
        <w:t>obecní úřady obcí s rozšířenou působností, kterých je 205 a Magistrát hlavního města Prahy</w:t>
      </w:r>
      <w:r>
        <w:t>,</w:t>
      </w:r>
      <w:r w:rsidRPr="007F256D">
        <w:t xml:space="preserve"> </w:t>
      </w:r>
      <w:r>
        <w:t>tj.</w:t>
      </w:r>
      <w:r w:rsidRPr="007F256D">
        <w:t xml:space="preserve"> </w:t>
      </w:r>
      <w:r>
        <w:t xml:space="preserve">celkem </w:t>
      </w:r>
      <w:r w:rsidRPr="007F256D">
        <w:t xml:space="preserve">206 vyvlastňovacích úřadů v </w:t>
      </w:r>
      <w:r>
        <w:t>ČR</w:t>
      </w:r>
      <w:r w:rsidRPr="007F256D">
        <w:t xml:space="preserve">. </w:t>
      </w:r>
      <w:r>
        <w:t>Protože vyvlastňovací úřady nemají žádnou zákonnou povinnost na obdobné dotazy odpovídat, zpět bylo zasláno celkem</w:t>
      </w:r>
      <w:r w:rsidRPr="007F256D">
        <w:t xml:space="preserve"> </w:t>
      </w:r>
      <w:r>
        <w:t>24 odpovědí</w:t>
      </w:r>
      <w:r>
        <w:rPr>
          <w:rStyle w:val="Znakapoznpodarou"/>
        </w:rPr>
        <w:footnoteReference w:id="6"/>
      </w:r>
      <w:r>
        <w:t xml:space="preserve"> (míra návratnosti cca 12 %) a informace získány za 146 vyvlastňovacích řízení. Vybrané údaje jso</w:t>
      </w:r>
      <w:r>
        <w:t xml:space="preserve">u obsaženy v následující tabulce, ze které je zřejmé, za jakým účelem se nejčastěji přistupuje k vyvlastnění, kdo jsou hlavní stakeholdeři či jaký je důvod, příp. jakým je třeba čelit problémům. </w:t>
      </w:r>
    </w:p>
    <w:p w:rsidR="00103632" w:rsidRDefault="000865D6" w:rsidP="00103632">
      <w:pPr>
        <w:pStyle w:val="Titulek"/>
        <w:keepNext/>
      </w:pPr>
      <w:r>
        <w:t xml:space="preserve">Tabulka </w:t>
      </w:r>
      <w:r w:rsidR="00D644CC">
        <w:fldChar w:fldCharType="begin"/>
      </w:r>
      <w:r>
        <w:instrText xml:space="preserve"> SEQ Tabulka \* ARABIC </w:instrText>
      </w:r>
      <w:r w:rsidR="00D644CC">
        <w:fldChar w:fldCharType="separate"/>
      </w:r>
      <w:r>
        <w:t>8</w:t>
      </w:r>
      <w:r w:rsidR="00D644CC">
        <w:rPr>
          <w:noProof/>
        </w:rPr>
        <w:fldChar w:fldCharType="end"/>
      </w:r>
      <w:r>
        <w:t xml:space="preserve">: Výsledky dotazníkového </w:t>
      </w:r>
      <w:r>
        <w:t>šetření mezi vyvlastňovacími úřady</w:t>
      </w:r>
    </w:p>
    <w:tbl>
      <w:tblPr>
        <w:tblStyle w:val="Barevntabulkaseznamu6zvraznn52"/>
        <w:tblW w:w="8988" w:type="dxa"/>
        <w:tblLayout w:type="fixed"/>
        <w:tblLook w:val="04A0" w:firstRow="1" w:lastRow="0" w:firstColumn="1" w:lastColumn="0" w:noHBand="0" w:noVBand="1"/>
      </w:tblPr>
      <w:tblGrid>
        <w:gridCol w:w="817"/>
        <w:gridCol w:w="1134"/>
        <w:gridCol w:w="1694"/>
        <w:gridCol w:w="1306"/>
        <w:gridCol w:w="635"/>
        <w:gridCol w:w="708"/>
        <w:gridCol w:w="1701"/>
        <w:gridCol w:w="993"/>
      </w:tblGrid>
      <w:tr w:rsidR="00FC72A1" w:rsidTr="00FC72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Předmět vyvlast-nění </w:t>
            </w:r>
          </w:p>
          <w:p w:rsidR="00103632" w:rsidRPr="00D5031C" w:rsidRDefault="00103632" w:rsidP="007320A7">
            <w:pPr>
              <w:spacing w:before="0" w:after="0"/>
              <w:jc w:val="center"/>
              <w:rPr>
                <w:rFonts w:ascii="Calibri" w:eastAsia="Times New Roman" w:hAnsi="Calibri" w:cs="Calibri"/>
                <w:sz w:val="16"/>
                <w:szCs w:val="16"/>
                <w:lang w:eastAsia="cs-CZ"/>
              </w:rPr>
            </w:pPr>
          </w:p>
        </w:tc>
        <w:tc>
          <w:tcPr>
            <w:tcW w:w="1134" w:type="dxa"/>
            <w:vAlign w:val="center"/>
            <w:hideMark/>
          </w:tcPr>
          <w:p w:rsidR="00103632" w:rsidRPr="00D5031C"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Popis předmětu vyvlastnění</w:t>
            </w:r>
          </w:p>
        </w:tc>
        <w:tc>
          <w:tcPr>
            <w:tcW w:w="1694" w:type="dxa"/>
            <w:vAlign w:val="center"/>
            <w:hideMark/>
          </w:tcPr>
          <w:p w:rsidR="00103632" w:rsidRPr="00D5031C"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Popis záměru</w:t>
            </w:r>
          </w:p>
        </w:tc>
        <w:tc>
          <w:tcPr>
            <w:tcW w:w="1306" w:type="dxa"/>
            <w:vAlign w:val="center"/>
            <w:hideMark/>
          </w:tcPr>
          <w:p w:rsidR="00103632" w:rsidRPr="00D5031C"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 čí prospěch bylo vyvlastňováno</w:t>
            </w:r>
          </w:p>
        </w:tc>
        <w:tc>
          <w:tcPr>
            <w:tcW w:w="635" w:type="dxa"/>
            <w:vAlign w:val="center"/>
            <w:hideMark/>
          </w:tcPr>
          <w:p w:rsidR="00103632" w:rsidRPr="00D5031C"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Celkem vlast.</w:t>
            </w:r>
          </w:p>
        </w:tc>
        <w:tc>
          <w:tcPr>
            <w:tcW w:w="708" w:type="dxa"/>
            <w:vAlign w:val="center"/>
            <w:hideMark/>
          </w:tcPr>
          <w:p w:rsidR="00103632" w:rsidRPr="00D5031C" w:rsidRDefault="000865D6" w:rsidP="007320A7">
            <w:pPr>
              <w:pStyle w:val="Citt"/>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sz w:val="16"/>
                <w:szCs w:val="16"/>
              </w:rPr>
            </w:pPr>
            <w:r w:rsidRPr="00D5031C">
              <w:rPr>
                <w:rFonts w:ascii="Calibri" w:hAnsi="Calibri" w:cs="Calibri"/>
                <w:i w:val="0"/>
                <w:iCs w:val="0"/>
                <w:sz w:val="16"/>
                <w:szCs w:val="16"/>
              </w:rPr>
              <w:t>Důvod pro vyvl. řízení</w:t>
            </w:r>
          </w:p>
          <w:p w:rsidR="00103632" w:rsidRPr="00D5031C" w:rsidRDefault="00103632" w:rsidP="007320A7">
            <w:pPr>
              <w:pStyle w:val="Citt"/>
              <w:jc w:val="center"/>
              <w:cnfStyle w:val="100000000000" w:firstRow="1" w:lastRow="0" w:firstColumn="0" w:lastColumn="0" w:oddVBand="0" w:evenVBand="0" w:oddHBand="0" w:evenHBand="0" w:firstRowFirstColumn="0" w:firstRowLastColumn="0" w:lastRowFirstColumn="0" w:lastRowLastColumn="0"/>
              <w:rPr>
                <w:rFonts w:ascii="Calibri" w:hAnsi="Calibri" w:cs="Calibri"/>
                <w:i w:val="0"/>
                <w:iCs w:val="0"/>
                <w:sz w:val="16"/>
                <w:szCs w:val="16"/>
              </w:rPr>
            </w:pPr>
          </w:p>
        </w:tc>
        <w:tc>
          <w:tcPr>
            <w:tcW w:w="1701" w:type="dxa"/>
            <w:vAlign w:val="center"/>
            <w:hideMark/>
          </w:tcPr>
          <w:p w:rsidR="00103632" w:rsidRPr="00D5031C"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Proč se nepodařilo uzavřít smlouvu?</w:t>
            </w:r>
          </w:p>
        </w:tc>
        <w:tc>
          <w:tcPr>
            <w:tcW w:w="993" w:type="dxa"/>
            <w:vAlign w:val="center"/>
            <w:hideMark/>
          </w:tcPr>
          <w:p w:rsidR="00103632" w:rsidRPr="00D5031C"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Výše náhrady – dle § 10 odst. 1 VyvlZ (Kč)</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orná </w:t>
            </w:r>
            <w:r w:rsidRPr="00D5031C">
              <w:rPr>
                <w:rFonts w:ascii="Calibri" w:eastAsia="Times New Roman" w:hAnsi="Calibri" w:cs="Calibri"/>
                <w:sz w:val="16"/>
                <w:szCs w:val="16"/>
                <w:lang w:eastAsia="cs-CZ"/>
              </w:rPr>
              <w:t>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umístění a užívání již existující silnice č. </w:t>
            </w:r>
            <w:r w:rsidRPr="00D5031C">
              <w:rPr>
                <w:rFonts w:ascii="Calibri" w:eastAsia="Times New Roman" w:hAnsi="Calibri" w:cs="Calibri"/>
                <w:sz w:val="16"/>
                <w:szCs w:val="16"/>
                <w:lang w:eastAsia="cs-CZ"/>
              </w:rPr>
              <w:lastRenderedPageBreak/>
              <w:t>II/647, je ve vlastnictví vyvlastnitele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lastRenderedPageBreak/>
              <w:t>Moravskoslezský kraj</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103632"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1 023 960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vedení NN</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vedení NN</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ČEZ Distribuce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1 467</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vedení VN</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vedení VN</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I/13</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I/13</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5 820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most na I/13</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most na I/13</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2 300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komunikace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umístění stavby elektro vedení</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nebyla možná 100% dohoda</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5 000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orná půda </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stavba přenosové </w:t>
            </w:r>
            <w:r w:rsidRPr="00D5031C">
              <w:rPr>
                <w:rFonts w:ascii="Calibri" w:eastAsia="Times New Roman" w:hAnsi="Calibri" w:cs="Calibri"/>
                <w:sz w:val="16"/>
                <w:szCs w:val="16"/>
                <w:lang w:eastAsia="cs-CZ"/>
              </w:rPr>
              <w:t>soustavy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vlastník nereagoval</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silnice II/464 km 3,8 - 5,59 Studénka </w:t>
            </w:r>
          </w:p>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přípojky VN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103632"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8 780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 Č. Budějovice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10 300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stavba </w:t>
            </w:r>
            <w:r w:rsidRPr="00D5031C">
              <w:rPr>
                <w:rFonts w:ascii="Calibri" w:eastAsia="Times New Roman" w:hAnsi="Calibri" w:cs="Calibri"/>
                <w:sz w:val="16"/>
                <w:szCs w:val="16"/>
                <w:lang w:eastAsia="cs-CZ"/>
              </w:rPr>
              <w:t>dálnice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 Budějovice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louka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louka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80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570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louka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ČR SPÚ</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1 000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ČR SPÚ</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2 000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10 630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 TS</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 TS</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ČEZ Distribuce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 TS</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 TS</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ČEZ Distribuce </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ke garáži</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ke garáži</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FO</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 objektu</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a příjezd k objektu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PO </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w:t>
            </w:r>
            <w:r w:rsidRPr="00D5031C">
              <w:rPr>
                <w:rFonts w:ascii="Calibri" w:eastAsia="Times New Roman" w:hAnsi="Calibri" w:cs="Calibri"/>
                <w:sz w:val="16"/>
                <w:szCs w:val="16"/>
                <w:lang w:eastAsia="cs-CZ"/>
              </w:rPr>
              <w:t xml:space="preserve"> a příjezd k RD</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a příjezd k RD</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FO</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přeložka plynu</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přeložka plynu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neuvedeno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60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venkov. </w:t>
            </w:r>
            <w:r w:rsidRPr="00D5031C">
              <w:rPr>
                <w:rFonts w:ascii="Calibri" w:eastAsia="Times New Roman" w:hAnsi="Calibri" w:cs="Calibri"/>
                <w:sz w:val="16"/>
                <w:szCs w:val="16"/>
                <w:lang w:eastAsia="cs-CZ"/>
              </w:rPr>
              <w:t>vedení 110 kV</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les</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410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w:t>
            </w:r>
            <w:r w:rsidRPr="00D5031C">
              <w:rPr>
                <w:rFonts w:ascii="Calibri" w:eastAsia="Times New Roman" w:hAnsi="Calibri" w:cs="Calibri"/>
                <w:sz w:val="16"/>
                <w:szCs w:val="16"/>
                <w:lang w:eastAsia="cs-CZ"/>
              </w:rPr>
              <w:t xml:space="preserve"> 110 kV</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90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zahrada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110 kV</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není známo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zastav. pl., nádvoří</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kabelové vední NN</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odmítnutí převzetí a podpisu smlouvy</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820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pozemek pod existující silnicí I/55</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pozemek pod VPS</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vlastník nedostatečně identifikován v KN</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11 663</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návrh na zřízení věcného břemene na část pozemků pro uložení </w:t>
            </w:r>
            <w:r w:rsidRPr="00D5031C">
              <w:rPr>
                <w:rFonts w:ascii="Calibri" w:eastAsia="Times New Roman" w:hAnsi="Calibri" w:cs="Calibri"/>
                <w:sz w:val="16"/>
                <w:szCs w:val="16"/>
                <w:lang w:eastAsia="cs-CZ"/>
              </w:rPr>
              <w:t>vedení telekomunikační sítě</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držitel telekomunikační licence žádá o uvalení věcného břemene na část pozemku za účelem uložení podzemního vedení</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TransgasNet</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Jiné</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vlastník z KN na uvedené adrese nebydlí, RD na uvedené adrese zdemolován, původní obyvatel RD </w:t>
            </w:r>
            <w:r w:rsidRPr="00D5031C">
              <w:rPr>
                <w:rFonts w:ascii="Calibri" w:eastAsia="Times New Roman" w:hAnsi="Calibri" w:cs="Calibri"/>
                <w:sz w:val="16"/>
                <w:szCs w:val="16"/>
                <w:lang w:eastAsia="cs-CZ"/>
              </w:rPr>
              <w:t>dle stanoviska obce byl někdo jiný než vlastník z KN, toho obec nezná</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znalecký posudek nedoložen</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TransgasNet</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Jiné</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se dvěma spoluvlast. sepsána smlouva, třetí zemřel a dědic. řízení neproběhlo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znalecký posudek nedoložen</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TransgasNet</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Jiné</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se dvěma spoluvlast. sepsána smlouva, třetí zemřel a dědic. řízení neproběhlo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znalecký posudek nedoložen</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vyvlastnění parcely potřebné pro přístup do nemovitosti</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obec odprodala pozemek žadatelům, kteří ji uvedli v omyl – vydávali se za vlastníky; odprodejem skuteční vlastníci </w:t>
            </w:r>
            <w:r w:rsidRPr="00D5031C">
              <w:rPr>
                <w:rFonts w:ascii="Calibri" w:eastAsia="Times New Roman" w:hAnsi="Calibri" w:cs="Calibri"/>
                <w:sz w:val="16"/>
                <w:szCs w:val="16"/>
                <w:lang w:eastAsia="cs-CZ"/>
              </w:rPr>
              <w:lastRenderedPageBreak/>
              <w:t>stavby přišli o přístup k nemovitosti</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lastRenderedPageBreak/>
              <w:t>vlastníci nemovitosti</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nechtějí prodat</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znalecký posudek nedoložen</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 půda, 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w:t>
            </w:r>
            <w:r w:rsidRPr="00D5031C">
              <w:rPr>
                <w:rFonts w:ascii="Calibri" w:eastAsia="Times New Roman" w:hAnsi="Calibri" w:cs="Calibri"/>
                <w:sz w:val="16"/>
                <w:szCs w:val="16"/>
                <w:lang w:eastAsia="cs-CZ"/>
              </w:rPr>
              <w:t>35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11 096</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 půda, 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D35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38 321</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 půda, 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D35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24 450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trvalý travní porost - louka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D35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nereagoval na žádnou zaslanou písemnost</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32 452</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 půda,</w:t>
            </w:r>
            <w:r w:rsidRPr="00D5031C">
              <w:rPr>
                <w:rFonts w:ascii="Calibri" w:eastAsia="Times New Roman" w:hAnsi="Calibri" w:cs="Calibri"/>
                <w:sz w:val="16"/>
                <w:szCs w:val="16"/>
                <w:lang w:eastAsia="cs-CZ"/>
              </w:rPr>
              <w:t xml:space="preserve"> 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D35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10 160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 půda, 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D35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6 770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 půda, 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D35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15 975</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 půda, 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dálnice D35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29 850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část zahrádek za RD</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Příjezd ke skladu ovoce a </w:t>
            </w:r>
            <w:r w:rsidRPr="00D5031C">
              <w:rPr>
                <w:rFonts w:ascii="Calibri" w:eastAsia="Times New Roman" w:hAnsi="Calibri" w:cs="Calibri"/>
                <w:sz w:val="16"/>
                <w:szCs w:val="16"/>
                <w:lang w:eastAsia="cs-CZ"/>
              </w:rPr>
              <w:t>zeleniny</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Vlastník RD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vyvlastňovaných</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rozliv u suchého poldru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Povodí Labe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rozliv u </w:t>
            </w:r>
            <w:r w:rsidRPr="00D5031C">
              <w:rPr>
                <w:rFonts w:ascii="Calibri" w:eastAsia="Times New Roman" w:hAnsi="Calibri" w:cs="Calibri"/>
                <w:sz w:val="16"/>
                <w:szCs w:val="16"/>
                <w:lang w:eastAsia="cs-CZ"/>
              </w:rPr>
              <w:t>suchého poldru</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Povodí Labe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zeměděl. p.</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distribuční vedení</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obchvat Chrudimi</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Adresát není na adrese znám</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dálnice D35 Časy-Ostr.</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požadoval vyšší částku</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dálnice D35 Časy-Ostr.</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nereag. na návrh</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plocha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dálnice D35 Časy-Ostr.</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nereagoval na návrh</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dálnice D35 Časy-Ostr.</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6</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plocha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plynovodu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GasNet, s.r.o.</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má několik exekucí</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10 100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trvalý travní porost</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dálnice D35 Časy-Ostr.</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nereag. na návrh</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dálnice D35 Časy-Ostr.</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dálnice D35 Časy-Ostr.</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různé pozemky</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Krounka, Kutřín, výstavba poldru</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ČR - právo hospodařit pro Povodí Labe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nechtěl podepsat smlouvu</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pozemek pod pilířem mostu D/6 </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oprava státního mostu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vyvlastň.</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156 327</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zahrada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stavba nadzemního vedení 2x110 kV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PREdistribuce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omezení užívání </w:t>
            </w:r>
            <w:r w:rsidRPr="00D5031C">
              <w:rPr>
                <w:rFonts w:ascii="Calibri" w:eastAsia="Times New Roman" w:hAnsi="Calibri" w:cs="Calibri"/>
                <w:sz w:val="16"/>
                <w:szCs w:val="16"/>
                <w:lang w:eastAsia="cs-CZ"/>
              </w:rPr>
              <w:t>zhrady u RD</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79 260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 plocha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na pozemek</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vlastník sousedního pozemku</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nečinnost</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louka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ke stavbě</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ZD Vacov</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vlast.</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zahrada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 pozemku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FO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vlast.</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uložení kabelu NN distrib. sítě</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E.ON Distribuce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vlast.</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louka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pozemek pod přeložku silnice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vlast.</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nádvoří</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přístup ke stavbě</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vlast.</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1 000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Ltm, VN, TS, kabelové NN vývody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ČEZ Distribuce </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5 800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ostatní plocha, </w:t>
            </w:r>
            <w:r w:rsidRPr="00D5031C">
              <w:rPr>
                <w:rFonts w:ascii="Calibri" w:eastAsia="Times New Roman" w:hAnsi="Calibri" w:cs="Calibri"/>
                <w:sz w:val="16"/>
                <w:szCs w:val="16"/>
                <w:lang w:eastAsia="cs-CZ"/>
              </w:rPr>
              <w:t>zeleň</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Reko MS Litoměřice Družstevní +2</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Gas Net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66</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exekuce spoluvlastníka</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162 120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zastavěná plocha a nádvoří, zahrada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veřejná komunikace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Úštěk</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Vedení 400kV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ČEPS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komunikace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umístění el. vedení </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8</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nebyla možná 100% dohoda</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1 330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komunikace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umístění el. vedení</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nebyla možná 100% dohoda</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1 370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lastRenderedPageBreak/>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umístění el. vedení</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s výší náhrady</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12 512</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zřízení a provozování VTL plynovodu</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držitel licence na distribuci plynu</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nesouhlas s trasou plynovodu; výší ceny za zřízení služebnosti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14 280, k vyvl.  nedošlo</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zřízení a provozování VTL plynovodu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nesouhlas s výší ceny za zřízení služebnosti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7 931, k vyvl.  nedošlo</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zřízení a provozování VTL plynovodu</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s trasou plynovodu; výší ceny za zřízení služebnosti</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8 620, k vyvl.  nedošlo</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zřízení a provozování VTL plynovodu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nesouhlas s výší ceny za zřízení služebnosti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22 320, k vyvl.  </w:t>
            </w:r>
            <w:r w:rsidRPr="00D5031C">
              <w:rPr>
                <w:rFonts w:ascii="Calibri" w:eastAsia="Times New Roman" w:hAnsi="Calibri" w:cs="Calibri"/>
                <w:sz w:val="16"/>
                <w:szCs w:val="16"/>
                <w:lang w:eastAsia="cs-CZ"/>
              </w:rPr>
              <w:t>nedošlo</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zřízení a provozování VTL plynovodu</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7</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7 950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zřízení a provozování VTL plynovodu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vyvlastňovaný nereagoval na návrh na uzavření smlouvy</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1 530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zřízení a provozování VTL plynovodu</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vyvlastňovaný </w:t>
            </w:r>
            <w:r w:rsidRPr="00D5031C">
              <w:rPr>
                <w:rFonts w:ascii="Calibri" w:eastAsia="Times New Roman" w:hAnsi="Calibri" w:cs="Calibri"/>
                <w:sz w:val="16"/>
                <w:szCs w:val="16"/>
                <w:lang w:eastAsia="cs-CZ"/>
              </w:rPr>
              <w:t>nereagoval na návrh na uzavření smlouvy</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18 830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realizace stavby silnice II. třídy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Olomoucký kraj</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12 650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realizace stavby silnice II. třídy</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Olomoucký kraj</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4 800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cesta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realizace stavby silnice II. třídy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Olomoucký kraj</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32 </w:t>
            </w:r>
            <w:r w:rsidRPr="00D5031C">
              <w:rPr>
                <w:rFonts w:ascii="Calibri" w:eastAsia="Times New Roman" w:hAnsi="Calibri" w:cs="Calibri"/>
                <w:sz w:val="16"/>
                <w:szCs w:val="16"/>
                <w:lang w:eastAsia="cs-CZ"/>
              </w:rPr>
              <w:t>870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přen. soustavy</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 nezn. pobytu</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přen. soustavy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 nezn. pobytu</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990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 vodní plocha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přen. soustavy</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 nereagoval</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4 100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přen. soustavy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 nereagoval</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2 060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přen. soustavy</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 nereagovali</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 trv. tr. porost</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přen. soustavy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 nereagoval</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přen. soustavy</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ČEPS</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 nesouhlasil</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ostatní plocha, </w:t>
            </w:r>
            <w:r w:rsidRPr="00D5031C">
              <w:rPr>
                <w:rFonts w:ascii="Calibri" w:eastAsia="Times New Roman" w:hAnsi="Calibri" w:cs="Calibri"/>
                <w:sz w:val="16"/>
                <w:szCs w:val="16"/>
                <w:lang w:eastAsia="cs-CZ"/>
              </w:rPr>
              <w:t>zahrada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věcné břemeno chůze a jízdy pro nezbytný přístup k pozemku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FO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vyvlastňovaných</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TTP</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Chůze a jízda</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FO</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vedení elektrické energie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ČEZ Distribuce </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s výší náhrady</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6 000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vedení elektrické</w:t>
            </w:r>
            <w:r w:rsidRPr="00D5031C">
              <w:rPr>
                <w:rFonts w:ascii="Calibri" w:eastAsia="Times New Roman" w:hAnsi="Calibri" w:cs="Calibri"/>
                <w:sz w:val="16"/>
                <w:szCs w:val="16"/>
                <w:lang w:eastAsia="cs-CZ"/>
              </w:rPr>
              <w:t xml:space="preserve"> energie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ČEZ Distribuce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Nesouhlas s výší náhrady</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2 550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plocha, orná půda, ostatní komunikace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realizace silnice I/42 Brno</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Brno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Bezvýsledný pokus o uzavření sml.</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5 163 500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trvalý travní porost</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VN 22 kV</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E.ON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Bezvýsledný pokus o uzavření sml.</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3 417</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trvalý travní porost</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venkov. vedení VN 22 kV</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E.ON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Bezvýsledný pokus o uzavření sml.</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7 000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plocha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kabelové vedení NN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E.ON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vlastník pozemku zemřel, dědictví nebylo vypoř.</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2 340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plocha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kabelové vedení NN </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E.ON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3 z vlastníků pozemku zemřeli a dědictví nebylo vypoř.; zbývajícímu 1 z vlastníků se nedařilo doručovat - osoba neznámého pobytu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3 480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plocha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kabelové vedení NN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E.ON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vlastníci pozemku zemřeli, dědictví nebylo vypoř.</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1 760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ostatní plocha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kabelové vedení NN </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E.ON 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vlastník pozemku zemřel, dědictví nebylo vypoř.</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2 340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zemní kab. vedení NN</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zemní kab. vedení NN</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ČEZ </w:t>
            </w:r>
            <w:r w:rsidRPr="00D5031C">
              <w:rPr>
                <w:rFonts w:ascii="Calibri" w:eastAsia="Times New Roman" w:hAnsi="Calibri" w:cs="Calibri"/>
                <w:sz w:val="16"/>
                <w:szCs w:val="16"/>
                <w:lang w:eastAsia="cs-CZ"/>
              </w:rPr>
              <w:t>Distribuce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zemní kab. vedení NN</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ČEZ Distribuce</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lastRenderedPageBreak/>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STL plynovodu </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Obec</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190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sdělovacích kabelů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zemní kab. vedení NN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les</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VTL plynovodu </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RWE GasNet</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4</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90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pole</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sdělovacích kabelů přístupové sítě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CETIN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1 700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les</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dtto </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O2 </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zahrada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Přeložka STL plynovodu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RWE GasNet</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zahrada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I/68 Třanovice - Nebory</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199 940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VTL plynovod</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GasNet</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395</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ostatní plocha </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II/490, zejména příkop a propustek</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Ředitelství silnic Zlínského kraje</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27 430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kanalizace a čistírna </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Obec Korytná</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200 000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C</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2 127</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Návrh dohody </w:t>
            </w:r>
            <w:r w:rsidRPr="00D5031C">
              <w:rPr>
                <w:rFonts w:ascii="Calibri" w:eastAsia="Times New Roman" w:hAnsi="Calibri" w:cs="Calibri"/>
                <w:sz w:val="16"/>
                <w:szCs w:val="16"/>
                <w:lang w:eastAsia="cs-CZ"/>
              </w:rPr>
              <w:t>bez odezvy</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2 127</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323</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dtto</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11 915</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Odmítal prodej, požadoval směnu, jež nebyla možná</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Požadavek na vyšší odkupní cenu</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16 620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11 560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orná půda</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stavba D55</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12 700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I/57</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byla zřízena na cizím pozemku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vyvl. na dohodu nereagoval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13 400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I/57</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byla zřízena na cizím pozemku</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103632"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B</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neznámý vlastník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I/57</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byla zřízena na cizím pozemku</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ŘSD</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vyvl. na dohodu nereagoval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 Jelenice - Lesní Albrechtice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Moravskoslezský kraj</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vyvlastň. je zemědělec, nesouhlas s prodejem</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přeložení plynovodu v rámci stavby silnice</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 Vítkov - Větřkovice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SMP Net, s.r.o.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vyvl. na dohodu nereagoval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 Vítkov - Větřkovice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Moravskoslezský kraj</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Jiné</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 důvodu předkup. práva ČR</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74 673</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 Vítkov - Větřkovice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Moravskoslezský kraj</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Jiné</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 důvodu předkup. práva ČR</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26 052</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 Jelenice - Lesní Albrechtice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Moravskoslezský kraj</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2</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vyvl. na dohodu nereagoval </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181 600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 Vítkov - Větřkovice</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Moravskoslezský kraj</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vyvl. na dohodu nereagoval </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8 370</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P</w:t>
            </w:r>
          </w:p>
        </w:tc>
        <w:tc>
          <w:tcPr>
            <w:tcW w:w="113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w:t>
            </w:r>
          </w:p>
        </w:tc>
        <w:tc>
          <w:tcPr>
            <w:tcW w:w="1694"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Silnice II/462 Vítkov - Větřkovice</w:t>
            </w:r>
          </w:p>
        </w:tc>
        <w:tc>
          <w:tcPr>
            <w:tcW w:w="1306"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w:t>
            </w:r>
          </w:p>
        </w:tc>
        <w:tc>
          <w:tcPr>
            <w:tcW w:w="635"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3</w:t>
            </w:r>
          </w:p>
        </w:tc>
        <w:tc>
          <w:tcPr>
            <w:tcW w:w="708"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náhrada za vyvlastnění</w:t>
            </w:r>
          </w:p>
        </w:tc>
        <w:tc>
          <w:tcPr>
            <w:tcW w:w="993" w:type="dxa"/>
            <w:vAlign w:val="center"/>
            <w:hideMark/>
          </w:tcPr>
          <w:p w:rsidR="00103632" w:rsidRPr="00D5031C"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779 000</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103632" w:rsidRPr="00D5031C" w:rsidRDefault="000865D6" w:rsidP="007320A7">
            <w:pPr>
              <w:spacing w:before="0" w:after="0"/>
              <w:jc w:val="center"/>
              <w:rPr>
                <w:rFonts w:ascii="Calibri" w:eastAsia="Times New Roman" w:hAnsi="Calibri" w:cs="Calibri"/>
                <w:sz w:val="16"/>
                <w:szCs w:val="16"/>
                <w:lang w:eastAsia="cs-CZ"/>
              </w:rPr>
            </w:pPr>
            <w:r w:rsidRPr="00D5031C">
              <w:rPr>
                <w:rFonts w:ascii="Calibri" w:eastAsia="Times New Roman" w:hAnsi="Calibri" w:cs="Calibri"/>
                <w:b w:val="0"/>
                <w:bCs w:val="0"/>
                <w:sz w:val="16"/>
                <w:szCs w:val="16"/>
                <w:lang w:eastAsia="cs-CZ"/>
              </w:rPr>
              <w:t>S</w:t>
            </w:r>
          </w:p>
        </w:tc>
        <w:tc>
          <w:tcPr>
            <w:tcW w:w="113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 xml:space="preserve">návrh na </w:t>
            </w:r>
            <w:r w:rsidRPr="00D5031C">
              <w:rPr>
                <w:rFonts w:ascii="Calibri" w:eastAsia="Times New Roman" w:hAnsi="Calibri" w:cs="Calibri"/>
                <w:sz w:val="16"/>
                <w:szCs w:val="16"/>
                <w:lang w:eastAsia="cs-CZ"/>
              </w:rPr>
              <w:t>zřízení věcného břemene na stavbě</w:t>
            </w:r>
          </w:p>
        </w:tc>
        <w:tc>
          <w:tcPr>
            <w:tcW w:w="1694"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držitel telekom</w:t>
            </w:r>
            <w:r>
              <w:rPr>
                <w:rFonts w:ascii="Calibri" w:eastAsia="Times New Roman" w:hAnsi="Calibri" w:cs="Calibri"/>
                <w:sz w:val="16"/>
                <w:szCs w:val="16"/>
                <w:lang w:eastAsia="cs-CZ"/>
              </w:rPr>
              <w:t>.</w:t>
            </w:r>
            <w:r w:rsidRPr="00D5031C">
              <w:rPr>
                <w:rFonts w:ascii="Calibri" w:eastAsia="Times New Roman" w:hAnsi="Calibri" w:cs="Calibri"/>
                <w:sz w:val="16"/>
                <w:szCs w:val="16"/>
                <w:lang w:eastAsia="cs-CZ"/>
              </w:rPr>
              <w:t xml:space="preserve"> licence žádá o uvalení věc</w:t>
            </w:r>
            <w:r>
              <w:rPr>
                <w:rFonts w:ascii="Calibri" w:eastAsia="Times New Roman" w:hAnsi="Calibri" w:cs="Calibri"/>
                <w:sz w:val="16"/>
                <w:szCs w:val="16"/>
                <w:lang w:eastAsia="cs-CZ"/>
              </w:rPr>
              <w:t>.</w:t>
            </w:r>
            <w:r w:rsidRPr="00D5031C">
              <w:rPr>
                <w:rFonts w:ascii="Calibri" w:eastAsia="Times New Roman" w:hAnsi="Calibri" w:cs="Calibri"/>
                <w:sz w:val="16"/>
                <w:szCs w:val="16"/>
                <w:lang w:eastAsia="cs-CZ"/>
              </w:rPr>
              <w:t xml:space="preserve"> břemene na byt</w:t>
            </w:r>
            <w:r>
              <w:rPr>
                <w:rFonts w:ascii="Calibri" w:eastAsia="Times New Roman" w:hAnsi="Calibri" w:cs="Calibri"/>
                <w:sz w:val="16"/>
                <w:szCs w:val="16"/>
                <w:lang w:eastAsia="cs-CZ"/>
              </w:rPr>
              <w:t>.</w:t>
            </w:r>
            <w:r w:rsidRPr="00D5031C">
              <w:rPr>
                <w:rFonts w:ascii="Calibri" w:eastAsia="Times New Roman" w:hAnsi="Calibri" w:cs="Calibri"/>
                <w:sz w:val="16"/>
                <w:szCs w:val="16"/>
                <w:lang w:eastAsia="cs-CZ"/>
              </w:rPr>
              <w:t xml:space="preserve"> dům, kde umístil v roce 2005 stožár s anténami na internet</w:t>
            </w:r>
          </w:p>
        </w:tc>
        <w:tc>
          <w:tcPr>
            <w:tcW w:w="1306"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PO</w:t>
            </w:r>
          </w:p>
        </w:tc>
        <w:tc>
          <w:tcPr>
            <w:tcW w:w="635"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16</w:t>
            </w:r>
          </w:p>
        </w:tc>
        <w:tc>
          <w:tcPr>
            <w:tcW w:w="708"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A</w:t>
            </w:r>
          </w:p>
        </w:tc>
        <w:tc>
          <w:tcPr>
            <w:tcW w:w="1701"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vlastníci stožár na střeše nechtějí</w:t>
            </w:r>
          </w:p>
        </w:tc>
        <w:tc>
          <w:tcPr>
            <w:tcW w:w="993" w:type="dxa"/>
            <w:vAlign w:val="center"/>
            <w:hideMark/>
          </w:tcPr>
          <w:p w:rsidR="00103632" w:rsidRPr="00D5031C"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6"/>
                <w:szCs w:val="16"/>
                <w:lang w:eastAsia="cs-CZ"/>
              </w:rPr>
            </w:pPr>
            <w:r w:rsidRPr="00D5031C">
              <w:rPr>
                <w:rFonts w:ascii="Calibri" w:eastAsia="Times New Roman" w:hAnsi="Calibri" w:cs="Calibri"/>
                <w:sz w:val="16"/>
                <w:szCs w:val="16"/>
                <w:lang w:eastAsia="cs-CZ"/>
              </w:rPr>
              <w:t>znalecký posudek nedoložen</w:t>
            </w:r>
          </w:p>
        </w:tc>
      </w:tr>
    </w:tbl>
    <w:p w:rsidR="00103632" w:rsidRPr="0056586B" w:rsidRDefault="000865D6" w:rsidP="00103632">
      <w:pPr>
        <w:pStyle w:val="Citt"/>
      </w:pPr>
      <w:r>
        <w:t xml:space="preserve">Pozn.: </w:t>
      </w:r>
      <w:r w:rsidRPr="0056586B">
        <w:t>P=Pozemek/S=Stavba</w:t>
      </w:r>
      <w:r>
        <w:t xml:space="preserve">; </w:t>
      </w:r>
      <w:r w:rsidRPr="0056586B">
        <w:t xml:space="preserve">A/ </w:t>
      </w:r>
      <w:r w:rsidRPr="0056586B">
        <w:t>Nepodařilo se uzavřít smlouvu; B/ Vyvlastň. není znám aj. dle § 5 odst. 5a); C/ Vyvlastň. je omezen ve smluvní volnosti dle § 5 odst. 5b)</w:t>
      </w:r>
    </w:p>
    <w:p w:rsidR="004F510B" w:rsidRDefault="004F510B" w:rsidP="008C01CE">
      <w:pPr>
        <w:pStyle w:val="Normln-tun"/>
      </w:pPr>
    </w:p>
    <w:p w:rsidR="00D54F99" w:rsidRDefault="000865D6">
      <w:pPr>
        <w:spacing w:before="0" w:after="0"/>
        <w:jc w:val="left"/>
        <w:rPr>
          <w:rFonts w:ascii="Cambria" w:hAnsi="Cambria"/>
          <w:b/>
          <w:bCs/>
        </w:rPr>
      </w:pPr>
      <w:r>
        <w:rPr>
          <w:b/>
          <w:bCs/>
        </w:rPr>
        <w:br w:type="page"/>
      </w:r>
    </w:p>
    <w:p w:rsidR="00A66BEA" w:rsidRDefault="00A66BEA" w:rsidP="008C01CE">
      <w:pPr>
        <w:pStyle w:val="Normln-tun"/>
        <w:sectPr w:rsidR="00A66BEA" w:rsidSect="00D22D54">
          <w:footerReference w:type="default" r:id="rId9"/>
          <w:pgSz w:w="11906" w:h="16838" w:code="9"/>
          <w:pgMar w:top="1276" w:right="1418" w:bottom="992" w:left="1418" w:header="709" w:footer="709" w:gutter="0"/>
          <w:cols w:space="708"/>
          <w:docGrid w:linePitch="360"/>
        </w:sectPr>
      </w:pPr>
    </w:p>
    <w:p w:rsidR="000565BF" w:rsidRPr="00795817" w:rsidRDefault="000865D6" w:rsidP="000565BF">
      <w:pPr>
        <w:pStyle w:val="Nadpis3"/>
      </w:pPr>
      <w:bookmarkStart w:id="30" w:name="_Toc256000004"/>
      <w:r w:rsidRPr="00795817">
        <w:lastRenderedPageBreak/>
        <w:t>Definice problému</w:t>
      </w:r>
      <w:bookmarkEnd w:id="30"/>
    </w:p>
    <w:p w:rsidR="00665155" w:rsidRPr="00B2260E" w:rsidRDefault="000865D6" w:rsidP="00B2260E">
      <w:pPr>
        <w:pStyle w:val="Normln-tun"/>
      </w:pPr>
      <w:r w:rsidRPr="00B2260E">
        <w:t>Konkrétní identifikované problémy v rámci konzultací</w:t>
      </w:r>
      <w:r w:rsidR="008523C4" w:rsidRPr="00B2260E">
        <w:t xml:space="preserve"> jsou následující</w:t>
      </w:r>
      <w:r w:rsidRPr="00B2260E">
        <w:t>:</w:t>
      </w:r>
    </w:p>
    <w:p w:rsidR="00A7501B" w:rsidRPr="004852AF" w:rsidRDefault="000865D6" w:rsidP="00B2260E">
      <w:pPr>
        <w:pStyle w:val="Normln-tun"/>
      </w:pPr>
      <w:r w:rsidRPr="004852AF">
        <w:rPr>
          <w:b/>
          <w:bCs/>
        </w:rPr>
        <w:t xml:space="preserve">Vyvlastňovací </w:t>
      </w:r>
      <w:r w:rsidR="004F0C7C" w:rsidRPr="004852AF">
        <w:rPr>
          <w:b/>
          <w:bCs/>
        </w:rPr>
        <w:t>úřady</w:t>
      </w:r>
      <w:r w:rsidR="004F0C7C" w:rsidRPr="004852AF">
        <w:t xml:space="preserve"> – nedostatečný</w:t>
      </w:r>
      <w:r w:rsidRPr="004852AF">
        <w:t xml:space="preserve"> počet p</w:t>
      </w:r>
      <w:r w:rsidR="00225B28" w:rsidRPr="004852AF">
        <w:t>r</w:t>
      </w:r>
      <w:r w:rsidRPr="004852AF">
        <w:t>acovníků</w:t>
      </w:r>
      <w:r w:rsidR="00A8541B" w:rsidRPr="004852AF">
        <w:t xml:space="preserve"> versus velké množství žádostí podaných nárazově</w:t>
      </w:r>
      <w:r w:rsidRPr="004852AF">
        <w:t xml:space="preserve">; málo zkušeností – jde o vzácnější </w:t>
      </w:r>
      <w:r w:rsidRPr="004852AF">
        <w:t>agendu, co se týče počtu řízení</w:t>
      </w:r>
      <w:r w:rsidR="00A8541B" w:rsidRPr="004852AF">
        <w:t>; minimum či absence metodických pokynů, odborné literatury nebo pořádaných školení na dané téma aj.</w:t>
      </w:r>
      <w:r w:rsidR="004852AF" w:rsidRPr="004852AF">
        <w:t>, v některých případech velmi nízké částky náhrad</w:t>
      </w:r>
      <w:r w:rsidR="004852AF">
        <w:t xml:space="preserve">, problémy v případech, pokud je k předmětům vyvlastnění vedena exekuce, </w:t>
      </w:r>
      <w:r w:rsidR="004852AF" w:rsidRPr="004852AF">
        <w:t>dohledávání účastníků po zemřelých osobách</w:t>
      </w:r>
      <w:r w:rsidR="004852AF">
        <w:t xml:space="preserve">, problémy v případě osob s neznámou adresou, </w:t>
      </w:r>
      <w:r w:rsidR="004852AF" w:rsidRPr="004852AF">
        <w:t>ne</w:t>
      </w:r>
      <w:r w:rsidR="006F48C6">
        <w:t>mož</w:t>
      </w:r>
      <w:r w:rsidR="004852AF" w:rsidRPr="004852AF">
        <w:t>nost dohod</w:t>
      </w:r>
      <w:r w:rsidR="006F48C6">
        <w:t xml:space="preserve">y ohledně </w:t>
      </w:r>
      <w:r w:rsidR="004852AF" w:rsidRPr="004852AF">
        <w:t>výš</w:t>
      </w:r>
      <w:r w:rsidR="006F48C6">
        <w:t>e</w:t>
      </w:r>
      <w:r w:rsidR="004852AF" w:rsidRPr="004852AF">
        <w:t xml:space="preserve"> úhrady</w:t>
      </w:r>
      <w:r w:rsidR="00BA625D">
        <w:t>, problém s doručováním</w:t>
      </w:r>
      <w:r w:rsidR="004852AF">
        <w:t>.</w:t>
      </w:r>
    </w:p>
    <w:p w:rsidR="00A7501B" w:rsidRPr="00B2260E" w:rsidRDefault="000865D6">
      <w:pPr>
        <w:pStyle w:val="Normln-tun"/>
        <w:numPr>
          <w:ilvl w:val="0"/>
          <w:numId w:val="89"/>
        </w:numPr>
        <w:rPr>
          <w:i/>
          <w:iCs/>
        </w:rPr>
      </w:pPr>
      <w:r w:rsidRPr="00B2260E">
        <w:rPr>
          <w:i/>
          <w:iCs/>
        </w:rPr>
        <w:t>„Od vyvlastňování věcných břemen na venkovní vedení 110 kV už žádné další vyvlas</w:t>
      </w:r>
      <w:r w:rsidR="00225B28" w:rsidRPr="00B2260E">
        <w:rPr>
          <w:i/>
          <w:iCs/>
        </w:rPr>
        <w:t>t</w:t>
      </w:r>
      <w:r w:rsidRPr="00B2260E">
        <w:rPr>
          <w:i/>
          <w:iCs/>
        </w:rPr>
        <w:t>ňovací řízení nevedeme.  K té</w:t>
      </w:r>
      <w:r w:rsidRPr="00B2260E">
        <w:rPr>
          <w:i/>
          <w:iCs/>
        </w:rPr>
        <w:t>to akci jsme vedli 18 vyvlastňovacích řízení. V jednom řízení jsme měli výši náhrady 1,- Kč</w:t>
      </w:r>
      <w:r w:rsidR="00225B28" w:rsidRPr="00B2260E">
        <w:rPr>
          <w:i/>
          <w:iCs/>
        </w:rPr>
        <w:t>,</w:t>
      </w:r>
      <w:r w:rsidRPr="00B2260E">
        <w:rPr>
          <w:i/>
          <w:iCs/>
        </w:rPr>
        <w:t xml:space="preserve"> což bylo směšné.“</w:t>
      </w:r>
    </w:p>
    <w:p w:rsidR="00A7501B" w:rsidRPr="00B2260E" w:rsidRDefault="000865D6">
      <w:pPr>
        <w:pStyle w:val="Normln-tun"/>
        <w:numPr>
          <w:ilvl w:val="0"/>
          <w:numId w:val="89"/>
        </w:numPr>
        <w:rPr>
          <w:i/>
          <w:iCs/>
        </w:rPr>
      </w:pPr>
      <w:r w:rsidRPr="00B2260E">
        <w:rPr>
          <w:i/>
          <w:iCs/>
        </w:rPr>
        <w:t>„Jedná se o nárazové žádosti, takže s nimi máme málo zkušeností, což přináší zpomalení do celého procesu povolování, protože si sami prvně musíme</w:t>
      </w:r>
      <w:r w:rsidRPr="00B2260E">
        <w:rPr>
          <w:i/>
          <w:iCs/>
        </w:rPr>
        <w:t xml:space="preserve"> nastudovat legislativu. V minulých letech 2000-2018 se jedn</w:t>
      </w:r>
      <w:r w:rsidR="00225B28" w:rsidRPr="00B2260E">
        <w:rPr>
          <w:i/>
          <w:iCs/>
        </w:rPr>
        <w:t>alo</w:t>
      </w:r>
      <w:r w:rsidRPr="00B2260E">
        <w:rPr>
          <w:i/>
          <w:iCs/>
        </w:rPr>
        <w:t xml:space="preserve"> o cca 15 podaných žádostí. V loňském roce 2019 jsme zaznamenali zvýšený počet žádostí - 5 za účelem maje</w:t>
      </w:r>
      <w:r w:rsidR="00225B28" w:rsidRPr="00B2260E">
        <w:rPr>
          <w:i/>
          <w:iCs/>
        </w:rPr>
        <w:t>t</w:t>
      </w:r>
      <w:r w:rsidRPr="00B2260E">
        <w:rPr>
          <w:i/>
          <w:iCs/>
        </w:rPr>
        <w:t>koprávního vyrovnání pozemků pod rychlostní komunikací I55, žádalo ŘSD ČR. Další vlna n</w:t>
      </w:r>
      <w:r w:rsidRPr="00B2260E">
        <w:rPr>
          <w:i/>
          <w:iCs/>
        </w:rPr>
        <w:t>ás jistě čeká, protože od novely stavebního a energetického zákona jsme opakovaně žádáni (zejména u rozšíření distribuční soustavy elektrické energie) o vydání ÚR bez souhlasu vlastníka pozemku. Tato ÚR o umístění stavby budou tedy podk</w:t>
      </w:r>
      <w:r w:rsidR="00225B28" w:rsidRPr="00B2260E">
        <w:rPr>
          <w:i/>
          <w:iCs/>
        </w:rPr>
        <w:t>l</w:t>
      </w:r>
      <w:r w:rsidRPr="00B2260E">
        <w:rPr>
          <w:i/>
          <w:iCs/>
        </w:rPr>
        <w:t>adem pro vyvlastňov</w:t>
      </w:r>
      <w:r w:rsidRPr="00B2260E">
        <w:rPr>
          <w:i/>
          <w:iCs/>
        </w:rPr>
        <w:t>ací řízení.“</w:t>
      </w:r>
    </w:p>
    <w:p w:rsidR="00A7501B" w:rsidRPr="00B2260E" w:rsidRDefault="000865D6">
      <w:pPr>
        <w:pStyle w:val="Normln-tun"/>
        <w:numPr>
          <w:ilvl w:val="0"/>
          <w:numId w:val="89"/>
        </w:numPr>
        <w:rPr>
          <w:i/>
          <w:iCs/>
        </w:rPr>
      </w:pPr>
      <w:r w:rsidRPr="00B2260E">
        <w:rPr>
          <w:i/>
          <w:iCs/>
        </w:rPr>
        <w:t>„Nedostatek zkušeností a praxe (od roku 1990 bylo vedeno pouze jedno vyvlastňovací řízení na základě sousedského sporu, které bylo zastaveno, neboť nebyly splněny podmínky podle § 3 VyvlZ); v současné době vyvlastňovací úřad kromě uvedených os</w:t>
      </w:r>
      <w:r w:rsidRPr="00B2260E">
        <w:rPr>
          <w:i/>
          <w:iCs/>
        </w:rPr>
        <w:t>mi vede ještě dalších 10 vyvlastňovacích řízení (od 1. 8. 2019 je příslušným vyvlastňovacím úřadem pro stavby dopravní infrastruktury krajský úřad), ta však dosud nebyla ukončena pravomocným rozhodnutím.“</w:t>
      </w:r>
    </w:p>
    <w:p w:rsidR="00A7501B" w:rsidRPr="00B2260E" w:rsidRDefault="000865D6">
      <w:pPr>
        <w:pStyle w:val="Normln-tun"/>
        <w:numPr>
          <w:ilvl w:val="0"/>
          <w:numId w:val="89"/>
        </w:numPr>
        <w:rPr>
          <w:i/>
          <w:iCs/>
        </w:rPr>
      </w:pPr>
      <w:r w:rsidRPr="00B2260E">
        <w:rPr>
          <w:i/>
          <w:iCs/>
        </w:rPr>
        <w:t>„Aktuálně nevedeme vyvlastňovací řízen</w:t>
      </w:r>
      <w:r w:rsidR="00E270A0" w:rsidRPr="00B2260E">
        <w:rPr>
          <w:i/>
          <w:iCs/>
        </w:rPr>
        <w:t>í</w:t>
      </w:r>
      <w:r w:rsidRPr="00B2260E">
        <w:rPr>
          <w:i/>
          <w:iCs/>
        </w:rPr>
        <w:t>. Nejčastějš</w:t>
      </w:r>
      <w:r w:rsidRPr="00B2260E">
        <w:rPr>
          <w:i/>
          <w:iCs/>
        </w:rPr>
        <w:t>ím problémem je skutečnost, že vyvlastnitel osobně nekomunikuje s vyvlastňovaným. Pouze zašle a očekává automatické uzavření smlouvy. Po svolaném jednání a vysvětlení záležitosti dojde většinou k dohodě a uzavření smlouvy.“</w:t>
      </w:r>
    </w:p>
    <w:p w:rsidR="00A7501B" w:rsidRPr="00B2260E" w:rsidRDefault="000865D6">
      <w:pPr>
        <w:pStyle w:val="Normln-tun"/>
        <w:numPr>
          <w:ilvl w:val="0"/>
          <w:numId w:val="89"/>
        </w:numPr>
        <w:rPr>
          <w:i/>
          <w:iCs/>
        </w:rPr>
      </w:pPr>
      <w:r w:rsidRPr="00B2260E">
        <w:rPr>
          <w:i/>
          <w:iCs/>
        </w:rPr>
        <w:t xml:space="preserve">„V zákoně o vyvlastnění by mělo </w:t>
      </w:r>
      <w:r w:rsidRPr="00B2260E">
        <w:rPr>
          <w:i/>
          <w:iCs/>
        </w:rPr>
        <w:t xml:space="preserve">být upraveno, že není povinností konat ústní jednání v případě </w:t>
      </w:r>
      <w:r w:rsidR="004F0C7C" w:rsidRPr="00B2260E">
        <w:rPr>
          <w:i/>
          <w:iCs/>
        </w:rPr>
        <w:t>vyvlastnění – věcného</w:t>
      </w:r>
      <w:r w:rsidRPr="00B2260E">
        <w:rPr>
          <w:i/>
          <w:iCs/>
        </w:rPr>
        <w:t xml:space="preserve"> břemene, když jeden z vyvlastňovaných má </w:t>
      </w:r>
      <w:r w:rsidR="004F0C7C" w:rsidRPr="00B2260E">
        <w:rPr>
          <w:i/>
          <w:iCs/>
        </w:rPr>
        <w:t>exekuce – protože</w:t>
      </w:r>
      <w:r w:rsidRPr="00B2260E">
        <w:rPr>
          <w:i/>
          <w:iCs/>
        </w:rPr>
        <w:t xml:space="preserve"> kvůli tomu nemohou ostatní podepsat smlouvu, i když chtějí</w:t>
      </w:r>
      <w:r w:rsidR="00E10D40" w:rsidRPr="00B2260E">
        <w:rPr>
          <w:i/>
          <w:iCs/>
        </w:rPr>
        <w:t>,</w:t>
      </w:r>
      <w:r w:rsidRPr="00B2260E">
        <w:rPr>
          <w:i/>
          <w:iCs/>
        </w:rPr>
        <w:t xml:space="preserve"> a ústní jednání tedy nic nevyřeší, akorát se tím pro</w:t>
      </w:r>
      <w:r w:rsidRPr="00B2260E">
        <w:rPr>
          <w:i/>
          <w:iCs/>
        </w:rPr>
        <w:t>dlužuje vyvlastňovací řízení.“</w:t>
      </w:r>
    </w:p>
    <w:p w:rsidR="00A7501B" w:rsidRPr="00B2260E" w:rsidRDefault="000865D6">
      <w:pPr>
        <w:pStyle w:val="Normln-tun"/>
        <w:numPr>
          <w:ilvl w:val="0"/>
          <w:numId w:val="89"/>
        </w:numPr>
        <w:rPr>
          <w:i/>
          <w:iCs/>
        </w:rPr>
      </w:pPr>
      <w:r w:rsidRPr="00B2260E">
        <w:rPr>
          <w:i/>
          <w:iCs/>
        </w:rPr>
        <w:t>„</w:t>
      </w:r>
      <w:r w:rsidR="00E10D40" w:rsidRPr="00B2260E">
        <w:rPr>
          <w:i/>
          <w:iCs/>
        </w:rPr>
        <w:t>Problémem je z</w:t>
      </w:r>
      <w:r w:rsidRPr="00B2260E">
        <w:rPr>
          <w:i/>
          <w:iCs/>
        </w:rPr>
        <w:t>ákonem daná lhůta 60 dní na stanovení termínu jednání, po převzetí oznámení vyvlastnitelem i vyvlastňovaným.“</w:t>
      </w:r>
    </w:p>
    <w:p w:rsidR="00A7501B" w:rsidRPr="00B2260E" w:rsidRDefault="000865D6">
      <w:pPr>
        <w:pStyle w:val="Normln-tun"/>
        <w:numPr>
          <w:ilvl w:val="0"/>
          <w:numId w:val="89"/>
        </w:numPr>
        <w:rPr>
          <w:i/>
          <w:iCs/>
        </w:rPr>
      </w:pPr>
      <w:r w:rsidRPr="00B2260E">
        <w:rPr>
          <w:i/>
          <w:iCs/>
        </w:rPr>
        <w:t xml:space="preserve">„Není metodika, není prováděcí vyhláška, </w:t>
      </w:r>
      <w:r w:rsidR="00E10D40" w:rsidRPr="00B2260E">
        <w:rPr>
          <w:i/>
          <w:iCs/>
        </w:rPr>
        <w:t xml:space="preserve">není </w:t>
      </w:r>
      <w:r w:rsidRPr="00B2260E">
        <w:rPr>
          <w:i/>
          <w:iCs/>
        </w:rPr>
        <w:t>dostatečná teoretická příprava</w:t>
      </w:r>
      <w:r w:rsidR="00E10D40" w:rsidRPr="00B2260E">
        <w:rPr>
          <w:i/>
          <w:iCs/>
        </w:rPr>
        <w:t xml:space="preserve"> </w:t>
      </w:r>
      <w:r w:rsidRPr="00B2260E">
        <w:rPr>
          <w:i/>
          <w:iCs/>
        </w:rPr>
        <w:t xml:space="preserve">(školení), </w:t>
      </w:r>
      <w:r w:rsidR="00E10D40" w:rsidRPr="00B2260E">
        <w:rPr>
          <w:i/>
          <w:iCs/>
        </w:rPr>
        <w:t xml:space="preserve">odkud plyne </w:t>
      </w:r>
      <w:r w:rsidRPr="00B2260E">
        <w:rPr>
          <w:i/>
          <w:iCs/>
        </w:rPr>
        <w:t>nezkušenost.“</w:t>
      </w:r>
    </w:p>
    <w:p w:rsidR="00A7501B" w:rsidRPr="00B2260E" w:rsidRDefault="000865D6">
      <w:pPr>
        <w:pStyle w:val="Normln-tun"/>
        <w:numPr>
          <w:ilvl w:val="0"/>
          <w:numId w:val="89"/>
        </w:numPr>
        <w:rPr>
          <w:i/>
          <w:iCs/>
        </w:rPr>
      </w:pPr>
      <w:r w:rsidRPr="00B2260E">
        <w:rPr>
          <w:i/>
          <w:iCs/>
        </w:rPr>
        <w:t>„Největší problémy představuje dohledávání účastníků po zemřelých osobách.“</w:t>
      </w:r>
    </w:p>
    <w:p w:rsidR="00A7501B" w:rsidRPr="00B2260E" w:rsidRDefault="000865D6">
      <w:pPr>
        <w:pStyle w:val="Normln-tun"/>
        <w:numPr>
          <w:ilvl w:val="0"/>
          <w:numId w:val="89"/>
        </w:numPr>
        <w:rPr>
          <w:i/>
          <w:iCs/>
        </w:rPr>
      </w:pPr>
      <w:r w:rsidRPr="00B2260E">
        <w:rPr>
          <w:i/>
          <w:iCs/>
        </w:rPr>
        <w:t>„</w:t>
      </w:r>
      <w:r w:rsidR="00E10D40" w:rsidRPr="00B2260E">
        <w:rPr>
          <w:i/>
          <w:iCs/>
        </w:rPr>
        <w:t>Nejčastějším problémem js</w:t>
      </w:r>
      <w:r w:rsidRPr="00B2260E">
        <w:rPr>
          <w:i/>
          <w:iCs/>
        </w:rPr>
        <w:t>ou osoby, které mají v KN uvedou adre</w:t>
      </w:r>
      <w:r w:rsidR="00E10D40" w:rsidRPr="00B2260E">
        <w:rPr>
          <w:i/>
          <w:iCs/>
        </w:rPr>
        <w:t>s</w:t>
      </w:r>
      <w:r w:rsidRPr="00B2260E">
        <w:rPr>
          <w:i/>
          <w:iCs/>
        </w:rPr>
        <w:t>u neznámou, ve větš</w:t>
      </w:r>
      <w:r w:rsidR="00E10D40" w:rsidRPr="00B2260E">
        <w:rPr>
          <w:i/>
          <w:iCs/>
        </w:rPr>
        <w:t>i</w:t>
      </w:r>
      <w:r w:rsidRPr="00B2260E">
        <w:rPr>
          <w:i/>
          <w:iCs/>
        </w:rPr>
        <w:t>ně případů se jedná o zesnulé osoby, s nedořešeným dědickým řízením</w:t>
      </w:r>
      <w:r w:rsidR="00E10D40" w:rsidRPr="00B2260E">
        <w:rPr>
          <w:i/>
          <w:iCs/>
        </w:rPr>
        <w:t>;</w:t>
      </w:r>
      <w:r w:rsidRPr="00B2260E">
        <w:rPr>
          <w:i/>
          <w:iCs/>
        </w:rPr>
        <w:t xml:space="preserve"> je nutné se tak dotazovat u soudů, notářů a prodlužuje se tak značně délka řízení. Dalším důvodem je neschopnost dohodnout se </w:t>
      </w:r>
      <w:r w:rsidR="00E10D40" w:rsidRPr="00B2260E">
        <w:rPr>
          <w:i/>
          <w:iCs/>
        </w:rPr>
        <w:t>na</w:t>
      </w:r>
      <w:r w:rsidRPr="00B2260E">
        <w:rPr>
          <w:i/>
          <w:iCs/>
        </w:rPr>
        <w:t xml:space="preserve"> výši úhrady za </w:t>
      </w:r>
      <w:r w:rsidR="00E10D40" w:rsidRPr="00B2260E">
        <w:rPr>
          <w:i/>
          <w:iCs/>
        </w:rPr>
        <w:t>věcné břemeno</w:t>
      </w:r>
      <w:r w:rsidRPr="00B2260E">
        <w:rPr>
          <w:i/>
          <w:iCs/>
        </w:rPr>
        <w:t xml:space="preserve">.“ </w:t>
      </w:r>
    </w:p>
    <w:p w:rsidR="00A7501B" w:rsidRPr="00B2260E" w:rsidRDefault="000865D6">
      <w:pPr>
        <w:pStyle w:val="Normln-tun"/>
        <w:numPr>
          <w:ilvl w:val="0"/>
          <w:numId w:val="89"/>
        </w:numPr>
        <w:rPr>
          <w:i/>
          <w:iCs/>
        </w:rPr>
      </w:pPr>
      <w:r w:rsidRPr="00B2260E">
        <w:rPr>
          <w:i/>
          <w:iCs/>
        </w:rPr>
        <w:lastRenderedPageBreak/>
        <w:t>„S ohledem na celkovou délku řízení</w:t>
      </w:r>
      <w:r w:rsidR="00E10D40" w:rsidRPr="00B2260E">
        <w:rPr>
          <w:i/>
          <w:iCs/>
        </w:rPr>
        <w:t>:</w:t>
      </w:r>
      <w:r w:rsidRPr="00B2260E">
        <w:rPr>
          <w:i/>
          <w:iCs/>
        </w:rPr>
        <w:t xml:space="preserve"> dohledávání/ověřování osob, které jsou neznámé, průtahy z</w:t>
      </w:r>
      <w:r w:rsidRPr="00B2260E">
        <w:rPr>
          <w:i/>
          <w:iCs/>
        </w:rPr>
        <w:t xml:space="preserve">e strany </w:t>
      </w:r>
      <w:r w:rsidR="004F0C7C" w:rsidRPr="00B2260E">
        <w:rPr>
          <w:i/>
          <w:iCs/>
        </w:rPr>
        <w:t>účastníků – vyvlastňovaných</w:t>
      </w:r>
      <w:r w:rsidRPr="00B2260E">
        <w:rPr>
          <w:i/>
          <w:iCs/>
        </w:rPr>
        <w:t xml:space="preserve"> týkající se odvolávání proti všem usnesením/rozhodnutím, která jsou v průběhu řízení vydávána.“ </w:t>
      </w:r>
    </w:p>
    <w:p w:rsidR="00A7501B" w:rsidRPr="00B2260E" w:rsidRDefault="000865D6">
      <w:pPr>
        <w:pStyle w:val="Normln-tun"/>
        <w:numPr>
          <w:ilvl w:val="0"/>
          <w:numId w:val="89"/>
        </w:numPr>
        <w:rPr>
          <w:i/>
          <w:iCs/>
        </w:rPr>
      </w:pPr>
      <w:r w:rsidRPr="00B2260E">
        <w:rPr>
          <w:i/>
          <w:iCs/>
        </w:rPr>
        <w:t>„Aktuálně úřad nevede žádné vyvlastňovací řízení. Obecně je problémem nízká četnost vedených vyvlastňovacích řízení (u nás</w:t>
      </w:r>
      <w:r w:rsidRPr="00B2260E">
        <w:rPr>
          <w:i/>
          <w:iCs/>
        </w:rPr>
        <w:t xml:space="preserve"> cca jednou za 10 </w:t>
      </w:r>
      <w:r w:rsidR="004F0C7C" w:rsidRPr="00B2260E">
        <w:rPr>
          <w:i/>
          <w:iCs/>
        </w:rPr>
        <w:t>let – toto</w:t>
      </w:r>
      <w:r w:rsidRPr="00B2260E">
        <w:rPr>
          <w:i/>
          <w:iCs/>
        </w:rPr>
        <w:t xml:space="preserve"> byla naprostá výjimka) a s tím související nutnost vždy znovu kompletně nastudovat pravidla poměrně složitého správního řízení.“</w:t>
      </w:r>
    </w:p>
    <w:p w:rsidR="00A7501B" w:rsidRPr="00B2260E" w:rsidRDefault="000865D6">
      <w:pPr>
        <w:pStyle w:val="Normln-tun"/>
        <w:numPr>
          <w:ilvl w:val="0"/>
          <w:numId w:val="89"/>
        </w:numPr>
        <w:rPr>
          <w:i/>
          <w:iCs/>
        </w:rPr>
      </w:pPr>
      <w:r w:rsidRPr="00B2260E">
        <w:rPr>
          <w:i/>
          <w:iCs/>
        </w:rPr>
        <w:t xml:space="preserve">„Návrhy na vyvlastnění řeší náš úřad velmi výjimečně.“ </w:t>
      </w:r>
    </w:p>
    <w:p w:rsidR="00A7501B" w:rsidRPr="00B2260E" w:rsidRDefault="000865D6">
      <w:pPr>
        <w:pStyle w:val="Normln-tun"/>
        <w:numPr>
          <w:ilvl w:val="0"/>
          <w:numId w:val="89"/>
        </w:numPr>
        <w:rPr>
          <w:i/>
          <w:iCs/>
        </w:rPr>
      </w:pPr>
      <w:r w:rsidRPr="00B2260E">
        <w:rPr>
          <w:i/>
          <w:iCs/>
        </w:rPr>
        <w:t>„Špatná komunikace s účastníky řízení (vyv</w:t>
      </w:r>
      <w:r w:rsidRPr="00B2260E">
        <w:rPr>
          <w:i/>
          <w:iCs/>
        </w:rPr>
        <w:t>lastňovanými), nemožnost doručování, častá nevypořádaná dědictví</w:t>
      </w:r>
      <w:r w:rsidR="004F0C7C" w:rsidRPr="00B2260E">
        <w:rPr>
          <w:i/>
          <w:iCs/>
        </w:rPr>
        <w:t>,</w:t>
      </w:r>
      <w:r w:rsidRPr="00B2260E">
        <w:rPr>
          <w:i/>
          <w:iCs/>
        </w:rPr>
        <w:t xml:space="preserve"> a tedy účastníci již několik let mrtví s následnou nutností ustanovování opatrovníka v řízení.“</w:t>
      </w:r>
    </w:p>
    <w:p w:rsidR="00A7501B" w:rsidRPr="00B2260E" w:rsidRDefault="000865D6">
      <w:pPr>
        <w:pStyle w:val="Normln-tun"/>
        <w:numPr>
          <w:ilvl w:val="0"/>
          <w:numId w:val="89"/>
        </w:numPr>
        <w:rPr>
          <w:i/>
          <w:iCs/>
        </w:rPr>
      </w:pPr>
      <w:r w:rsidRPr="00B2260E">
        <w:rPr>
          <w:i/>
          <w:iCs/>
        </w:rPr>
        <w:t xml:space="preserve">„Otázka, zda u stavby </w:t>
      </w:r>
      <w:r w:rsidR="00E10D40" w:rsidRPr="00B2260E">
        <w:rPr>
          <w:i/>
          <w:iCs/>
        </w:rPr>
        <w:t>silnice zřízen</w:t>
      </w:r>
      <w:r w:rsidRPr="00B2260E">
        <w:rPr>
          <w:i/>
          <w:iCs/>
        </w:rPr>
        <w:t xml:space="preserve">é na cizím pozemku </w:t>
      </w:r>
      <w:r w:rsidR="00E10D40" w:rsidRPr="00B2260E">
        <w:rPr>
          <w:i/>
          <w:iCs/>
        </w:rPr>
        <w:t>v</w:t>
      </w:r>
      <w:r w:rsidRPr="00B2260E">
        <w:rPr>
          <w:i/>
          <w:iCs/>
        </w:rPr>
        <w:t xml:space="preserve">yvlastňované "do minula" podle ust. § </w:t>
      </w:r>
      <w:r w:rsidRPr="00B2260E">
        <w:rPr>
          <w:i/>
          <w:iCs/>
        </w:rPr>
        <w:t>17 odst. 2 zákona o pozemních komunikacích, je třeba připojit k žádosti jako podklad územní rozhodnutí podle ust. § 18 odst. 3 písm. b) zákona o vyvlastnění, když vyvlastnitel často takové rozhodnutí nemá, protože se např. jedná o stavbu starou 50 let.“</w:t>
      </w:r>
    </w:p>
    <w:p w:rsidR="00A7501B" w:rsidRPr="00B2260E" w:rsidRDefault="000865D6">
      <w:pPr>
        <w:pStyle w:val="Normln-tun"/>
        <w:numPr>
          <w:ilvl w:val="0"/>
          <w:numId w:val="89"/>
        </w:numPr>
        <w:rPr>
          <w:i/>
          <w:iCs/>
        </w:rPr>
      </w:pPr>
      <w:r w:rsidRPr="00B2260E">
        <w:rPr>
          <w:i/>
          <w:iCs/>
        </w:rPr>
        <w:t>„M</w:t>
      </w:r>
      <w:r w:rsidRPr="00B2260E">
        <w:rPr>
          <w:i/>
          <w:iCs/>
        </w:rPr>
        <w:t>inimum či naprostá absence metodických pokynů, odborné literatury nebo pořádaných školení na dané téma. Nedostatečné personální obsazení. Velké množství žádostí podaných nárazově (v roce 2019 podáno v průběhu jednoho měsíce cca 30 žádostí o vyvlastnění), a</w:t>
      </w:r>
      <w:r w:rsidRPr="00B2260E">
        <w:rPr>
          <w:i/>
          <w:iCs/>
        </w:rPr>
        <w:t>j.“</w:t>
      </w:r>
    </w:p>
    <w:p w:rsidR="00FB4EF7" w:rsidRPr="00B2260E" w:rsidRDefault="000865D6">
      <w:pPr>
        <w:pStyle w:val="Normln-tun"/>
        <w:numPr>
          <w:ilvl w:val="0"/>
          <w:numId w:val="89"/>
        </w:numPr>
        <w:rPr>
          <w:i/>
          <w:iCs/>
          <w:color w:val="FF0000"/>
        </w:rPr>
      </w:pPr>
      <w:r w:rsidRPr="00B2260E">
        <w:rPr>
          <w:i/>
          <w:iCs/>
        </w:rPr>
        <w:t>„Vyvlastňovacím úřadům odebrat rozhodování o výši náhrady. Výrok o výši náhrady téměř vždy skončí u soudu, který má podle zákona dospět k náhradě spravedlivé. Ať je tedy výše náhrady (nedojde-li k dohodě) rovnou v kompetenci soudů. S tím souvisí i omez</w:t>
      </w:r>
      <w:r w:rsidRPr="00B2260E">
        <w:rPr>
          <w:i/>
          <w:iCs/>
        </w:rPr>
        <w:t>ená možnost pracovníků správního orgánu posuzovat správnost znaleckých posudků zpracovaných pro výši náhrady. Znalecké posudky zpracovává soudní znalec s kulatým razítkem, úředník správního orgánu (není-li náhodou sám znalcem), těžko může posuzovat správno</w:t>
      </w:r>
      <w:r w:rsidRPr="00B2260E">
        <w:rPr>
          <w:i/>
          <w:iCs/>
        </w:rPr>
        <w:t>st tohoto posudku. Obtížně jsou také pracovníky správního orgánu zpracovávána zadání pro vyhotovení znaleckého posudku. Odvolací důvody v rámci řízení jsou pak převážně vůči ceně.“</w:t>
      </w:r>
    </w:p>
    <w:p w:rsidR="00FD57C1" w:rsidRPr="00EC3044" w:rsidRDefault="000865D6" w:rsidP="00EC3044">
      <w:pPr>
        <w:pStyle w:val="Normln-tun"/>
        <w:rPr>
          <w:b/>
          <w:bCs/>
        </w:rPr>
      </w:pPr>
      <w:r w:rsidRPr="00EC3044">
        <w:rPr>
          <w:b/>
          <w:bCs/>
        </w:rPr>
        <w:t xml:space="preserve">Názory vyvlastňovacích úřadů na možnost </w:t>
      </w:r>
      <w:r w:rsidR="00EC3044" w:rsidRPr="00EC3044">
        <w:rPr>
          <w:b/>
          <w:bCs/>
        </w:rPr>
        <w:t xml:space="preserve">rozšíření </w:t>
      </w:r>
      <w:r w:rsidR="00EC3044">
        <w:rPr>
          <w:b/>
          <w:bCs/>
        </w:rPr>
        <w:t xml:space="preserve">institutu </w:t>
      </w:r>
      <w:r w:rsidRPr="00EC3044">
        <w:rPr>
          <w:b/>
          <w:bCs/>
        </w:rPr>
        <w:t>mezitímní</w:t>
      </w:r>
      <w:r w:rsidR="00EC3044" w:rsidRPr="00EC3044">
        <w:rPr>
          <w:b/>
          <w:bCs/>
        </w:rPr>
        <w:t>ho</w:t>
      </w:r>
      <w:r w:rsidRPr="00EC3044">
        <w:rPr>
          <w:b/>
          <w:bCs/>
        </w:rPr>
        <w:t xml:space="preserve"> roz</w:t>
      </w:r>
      <w:r w:rsidRPr="00EC3044">
        <w:rPr>
          <w:b/>
          <w:bCs/>
        </w:rPr>
        <w:t xml:space="preserve">hodnutí </w:t>
      </w:r>
      <w:r w:rsidR="00EC3044" w:rsidRPr="00EC3044">
        <w:rPr>
          <w:b/>
          <w:bCs/>
        </w:rPr>
        <w:t xml:space="preserve">na </w:t>
      </w:r>
      <w:bookmarkStart w:id="31" w:name="_Hlk98163274"/>
      <w:r w:rsidR="00EC3044">
        <w:rPr>
          <w:b/>
          <w:bCs/>
        </w:rPr>
        <w:t>více kategorií</w:t>
      </w:r>
      <w:r w:rsidR="00EC3044" w:rsidRPr="00EC3044">
        <w:rPr>
          <w:b/>
          <w:bCs/>
        </w:rPr>
        <w:t xml:space="preserve"> staveb </w:t>
      </w:r>
      <w:bookmarkEnd w:id="31"/>
      <w:r w:rsidR="00EC3044" w:rsidRPr="00EC3044">
        <w:rPr>
          <w:b/>
          <w:bCs/>
        </w:rPr>
        <w:t>a</w:t>
      </w:r>
      <w:r w:rsidRPr="00EC3044">
        <w:rPr>
          <w:b/>
          <w:bCs/>
        </w:rPr>
        <w:t xml:space="preserve"> jednoinstančnost</w:t>
      </w:r>
      <w:r w:rsidR="005B6BA2">
        <w:rPr>
          <w:b/>
          <w:bCs/>
        </w:rPr>
        <w:t>i vyvlastňovacího</w:t>
      </w:r>
      <w:r w:rsidRPr="00EC3044">
        <w:rPr>
          <w:b/>
          <w:bCs/>
        </w:rPr>
        <w:t xml:space="preserve"> řízení</w:t>
      </w:r>
      <w:r w:rsidR="00F942FA">
        <w:rPr>
          <w:b/>
          <w:bCs/>
        </w:rPr>
        <w:t xml:space="preserve"> (Q</w:t>
      </w:r>
      <w:r w:rsidR="004F62D2">
        <w:rPr>
          <w:b/>
          <w:bCs/>
        </w:rPr>
        <w:t xml:space="preserve">4 </w:t>
      </w:r>
      <w:r w:rsidR="00F942FA">
        <w:rPr>
          <w:b/>
          <w:bCs/>
        </w:rPr>
        <w:t>202</w:t>
      </w:r>
      <w:r w:rsidR="004F62D2">
        <w:rPr>
          <w:b/>
          <w:bCs/>
        </w:rPr>
        <w:t>1</w:t>
      </w:r>
      <w:r w:rsidR="00F942FA">
        <w:rPr>
          <w:b/>
          <w:bCs/>
        </w:rPr>
        <w:t>)</w:t>
      </w:r>
    </w:p>
    <w:tbl>
      <w:tblPr>
        <w:tblStyle w:val="Barevntabulkaseznamu6zvraznn52"/>
        <w:tblW w:w="0" w:type="auto"/>
        <w:tblBorders>
          <w:insideH w:val="dotted" w:sz="4" w:space="0" w:color="262626" w:themeColor="accent5"/>
        </w:tblBorders>
        <w:tblLook w:val="04A0" w:firstRow="1" w:lastRow="0" w:firstColumn="1" w:lastColumn="0" w:noHBand="0" w:noVBand="1"/>
      </w:tblPr>
      <w:tblGrid>
        <w:gridCol w:w="4530"/>
        <w:gridCol w:w="4530"/>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Borders>
              <w:bottom w:val="none" w:sz="0" w:space="0" w:color="auto"/>
            </w:tcBorders>
            <w:shd w:val="clear" w:color="auto" w:fill="auto"/>
          </w:tcPr>
          <w:p w:rsidR="00432B62" w:rsidRPr="009148EA" w:rsidRDefault="000865D6" w:rsidP="00432B62">
            <w:pPr>
              <w:pStyle w:val="Normln-tun"/>
              <w:rPr>
                <w:rFonts w:asciiTheme="minorHAnsi" w:hAnsiTheme="minorHAnsi" w:cstheme="minorHAnsi"/>
                <w:sz w:val="20"/>
                <w:szCs w:val="20"/>
              </w:rPr>
            </w:pPr>
            <w:r w:rsidRPr="009148EA">
              <w:rPr>
                <w:rFonts w:asciiTheme="minorHAnsi" w:hAnsiTheme="minorHAnsi" w:cstheme="minorHAnsi"/>
                <w:sz w:val="20"/>
                <w:szCs w:val="20"/>
              </w:rPr>
              <w:t>Mezitímní rozhodnutí</w:t>
            </w:r>
            <w:r w:rsidR="00DD732B" w:rsidRPr="00DD732B">
              <w:rPr>
                <w:rFonts w:asciiTheme="minorHAnsi" w:hAnsiTheme="minorHAnsi" w:cstheme="minorHAnsi"/>
                <w:sz w:val="20"/>
                <w:szCs w:val="20"/>
              </w:rPr>
              <w:t xml:space="preserve"> pro více kategorií staveb</w:t>
            </w:r>
          </w:p>
        </w:tc>
        <w:tc>
          <w:tcPr>
            <w:tcW w:w="4530" w:type="dxa"/>
            <w:tcBorders>
              <w:bottom w:val="none" w:sz="0" w:space="0" w:color="auto"/>
            </w:tcBorders>
            <w:shd w:val="clear" w:color="auto" w:fill="auto"/>
          </w:tcPr>
          <w:p w:rsidR="00432B62" w:rsidRPr="009148EA" w:rsidRDefault="000865D6" w:rsidP="00432B62">
            <w:pPr>
              <w:pStyle w:val="Normln-tun"/>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48EA">
              <w:rPr>
                <w:rFonts w:asciiTheme="minorHAnsi" w:hAnsiTheme="minorHAnsi" w:cstheme="minorHAnsi"/>
                <w:sz w:val="20"/>
                <w:szCs w:val="20"/>
              </w:rPr>
              <w:t>Jednoinstančnost</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BB4D30" w:rsidRPr="002E2E01" w:rsidRDefault="000865D6" w:rsidP="00432B62">
            <w:pPr>
              <w:pStyle w:val="Normln-tun"/>
              <w:rPr>
                <w:rFonts w:asciiTheme="minorHAnsi" w:hAnsiTheme="minorHAnsi" w:cstheme="minorHAnsi"/>
                <w:color w:val="auto"/>
                <w:sz w:val="20"/>
                <w:szCs w:val="20"/>
              </w:rPr>
            </w:pPr>
            <w:r w:rsidRPr="002E2E01">
              <w:rPr>
                <w:rFonts w:asciiTheme="minorHAnsi" w:hAnsiTheme="minorHAnsi" w:cstheme="minorHAnsi"/>
                <w:b w:val="0"/>
                <w:bCs w:val="0"/>
                <w:color w:val="auto"/>
                <w:sz w:val="20"/>
                <w:szCs w:val="20"/>
              </w:rPr>
              <w:t xml:space="preserve">ANO </w:t>
            </w:r>
            <w:r w:rsidR="002F0717">
              <w:rPr>
                <w:rFonts w:asciiTheme="minorHAnsi" w:hAnsiTheme="minorHAnsi" w:cstheme="minorHAnsi"/>
                <w:b w:val="0"/>
                <w:bCs w:val="0"/>
                <w:color w:val="auto"/>
                <w:sz w:val="20"/>
                <w:szCs w:val="20"/>
              </w:rPr>
              <w:t>–</w:t>
            </w:r>
            <w:r w:rsidRPr="002E2E01">
              <w:rPr>
                <w:rFonts w:asciiTheme="minorHAnsi" w:hAnsiTheme="minorHAnsi" w:cstheme="minorHAnsi"/>
                <w:b w:val="0"/>
                <w:bCs w:val="0"/>
                <w:color w:val="auto"/>
                <w:sz w:val="20"/>
                <w:szCs w:val="20"/>
              </w:rPr>
              <w:t xml:space="preserve"> I</w:t>
            </w:r>
            <w:r w:rsidR="00D771A2">
              <w:rPr>
                <w:rFonts w:asciiTheme="minorHAnsi" w:hAnsiTheme="minorHAnsi" w:cstheme="minorHAnsi"/>
                <w:b w:val="0"/>
                <w:bCs w:val="0"/>
                <w:color w:val="auto"/>
                <w:sz w:val="20"/>
                <w:szCs w:val="20"/>
              </w:rPr>
              <w:t xml:space="preserve"> = 1</w:t>
            </w:r>
          </w:p>
        </w:tc>
        <w:tc>
          <w:tcPr>
            <w:tcW w:w="4530" w:type="dxa"/>
            <w:shd w:val="clear" w:color="auto" w:fill="auto"/>
          </w:tcPr>
          <w:p w:rsidR="00BB4D30" w:rsidRPr="002F0717" w:rsidRDefault="000865D6" w:rsidP="00432B62">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2F0717">
              <w:rPr>
                <w:rFonts w:asciiTheme="minorHAnsi" w:hAnsiTheme="minorHAnsi" w:cstheme="minorHAnsi"/>
                <w:color w:val="auto"/>
                <w:sz w:val="20"/>
                <w:szCs w:val="20"/>
              </w:rPr>
              <w:t>ANO</w:t>
            </w:r>
            <w:r w:rsidR="001A4696" w:rsidRPr="002F0717">
              <w:rPr>
                <w:rFonts w:asciiTheme="minorHAnsi" w:hAnsiTheme="minorHAnsi" w:cstheme="minorHAnsi"/>
                <w:color w:val="auto"/>
                <w:sz w:val="20"/>
                <w:szCs w:val="20"/>
              </w:rPr>
              <w:t xml:space="preserve"> </w:t>
            </w:r>
            <w:r w:rsidR="002F0717">
              <w:rPr>
                <w:rFonts w:asciiTheme="minorHAnsi" w:hAnsiTheme="minorHAnsi" w:cstheme="minorHAnsi"/>
                <w:color w:val="auto"/>
                <w:sz w:val="20"/>
                <w:szCs w:val="20"/>
              </w:rPr>
              <w:t>–</w:t>
            </w:r>
            <w:r w:rsidR="001A4696" w:rsidRPr="002F0717">
              <w:rPr>
                <w:rFonts w:asciiTheme="minorHAnsi" w:hAnsiTheme="minorHAnsi" w:cstheme="minorHAnsi"/>
                <w:color w:val="auto"/>
                <w:sz w:val="20"/>
                <w:szCs w:val="20"/>
              </w:rPr>
              <w:t xml:space="preserve"> I</w:t>
            </w:r>
            <w:r w:rsidR="00D771A2">
              <w:rPr>
                <w:rFonts w:asciiTheme="minorHAnsi" w:hAnsiTheme="minorHAnsi" w:cstheme="minorHAnsi"/>
                <w:color w:val="auto"/>
                <w:sz w:val="20"/>
                <w:szCs w:val="20"/>
              </w:rPr>
              <w:t xml:space="preserve"> = 1</w:t>
            </w:r>
          </w:p>
        </w:tc>
      </w:tr>
      <w:tr w:rsidR="00FC72A1" w:rsidTr="00FC72A1">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496152" w:rsidRPr="002E2E01" w:rsidRDefault="000865D6" w:rsidP="00432B62">
            <w:pPr>
              <w:pStyle w:val="Normln-tun"/>
              <w:rPr>
                <w:rFonts w:asciiTheme="minorHAnsi" w:hAnsiTheme="minorHAnsi" w:cstheme="minorHAnsi"/>
                <w:color w:val="auto"/>
                <w:sz w:val="20"/>
                <w:szCs w:val="20"/>
              </w:rPr>
            </w:pPr>
            <w:r w:rsidRPr="002E2E01">
              <w:rPr>
                <w:rFonts w:asciiTheme="minorHAnsi" w:hAnsiTheme="minorHAnsi" w:cstheme="minorHAnsi"/>
                <w:b w:val="0"/>
                <w:bCs w:val="0"/>
                <w:color w:val="auto"/>
                <w:sz w:val="20"/>
                <w:szCs w:val="20"/>
              </w:rPr>
              <w:t xml:space="preserve">NE </w:t>
            </w:r>
            <w:r w:rsidR="002F0717">
              <w:rPr>
                <w:rFonts w:asciiTheme="minorHAnsi" w:hAnsiTheme="minorHAnsi" w:cstheme="minorHAnsi"/>
                <w:b w:val="0"/>
                <w:bCs w:val="0"/>
                <w:color w:val="auto"/>
                <w:sz w:val="20"/>
                <w:szCs w:val="20"/>
              </w:rPr>
              <w:t>–</w:t>
            </w:r>
            <w:r w:rsidRPr="002E2E01">
              <w:rPr>
                <w:rFonts w:asciiTheme="minorHAnsi" w:hAnsiTheme="minorHAnsi" w:cstheme="minorHAnsi"/>
                <w:b w:val="0"/>
                <w:bCs w:val="0"/>
                <w:color w:val="auto"/>
                <w:sz w:val="20"/>
                <w:szCs w:val="20"/>
              </w:rPr>
              <w:t xml:space="preserve"> </w:t>
            </w:r>
            <w:r w:rsidR="00DB6763" w:rsidRPr="002E2E01">
              <w:rPr>
                <w:rFonts w:asciiTheme="minorHAnsi" w:hAnsiTheme="minorHAnsi" w:cstheme="minorHAnsi"/>
                <w:b w:val="0"/>
                <w:bCs w:val="0"/>
                <w:color w:val="auto"/>
                <w:sz w:val="20"/>
                <w:szCs w:val="20"/>
              </w:rPr>
              <w:t>I</w:t>
            </w:r>
            <w:r w:rsidR="00DD732B" w:rsidRPr="002E2E01">
              <w:rPr>
                <w:rFonts w:asciiTheme="minorHAnsi" w:hAnsiTheme="minorHAnsi" w:cstheme="minorHAnsi"/>
                <w:b w:val="0"/>
                <w:bCs w:val="0"/>
                <w:color w:val="auto"/>
                <w:sz w:val="20"/>
                <w:szCs w:val="20"/>
              </w:rPr>
              <w:t>I</w:t>
            </w:r>
            <w:r w:rsidR="002E2E01" w:rsidRPr="002E2E01">
              <w:rPr>
                <w:rFonts w:asciiTheme="minorHAnsi" w:hAnsiTheme="minorHAnsi" w:cstheme="minorHAnsi"/>
                <w:b w:val="0"/>
                <w:bCs w:val="0"/>
                <w:color w:val="auto"/>
                <w:sz w:val="20"/>
                <w:szCs w:val="20"/>
              </w:rPr>
              <w:t>I</w:t>
            </w:r>
            <w:r w:rsidR="00D771A2">
              <w:rPr>
                <w:rFonts w:asciiTheme="minorHAnsi" w:hAnsiTheme="minorHAnsi" w:cstheme="minorHAnsi"/>
                <w:b w:val="0"/>
                <w:bCs w:val="0"/>
                <w:color w:val="auto"/>
                <w:sz w:val="20"/>
                <w:szCs w:val="20"/>
              </w:rPr>
              <w:t xml:space="preserve"> = 3</w:t>
            </w:r>
          </w:p>
        </w:tc>
        <w:tc>
          <w:tcPr>
            <w:tcW w:w="4530" w:type="dxa"/>
            <w:shd w:val="clear" w:color="auto" w:fill="auto"/>
          </w:tcPr>
          <w:p w:rsidR="00496152" w:rsidRPr="002F0717" w:rsidRDefault="000865D6" w:rsidP="00432B62">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iCs/>
                <w:color w:val="auto"/>
                <w:sz w:val="20"/>
                <w:szCs w:val="20"/>
              </w:rPr>
            </w:pPr>
            <w:r w:rsidRPr="002F0717">
              <w:rPr>
                <w:rFonts w:asciiTheme="minorHAnsi" w:hAnsiTheme="minorHAnsi" w:cstheme="minorHAnsi"/>
                <w:color w:val="auto"/>
                <w:sz w:val="20"/>
                <w:szCs w:val="20"/>
              </w:rPr>
              <w:t>NE</w:t>
            </w:r>
            <w:r w:rsidR="00075FE7" w:rsidRPr="002F0717">
              <w:rPr>
                <w:rFonts w:asciiTheme="minorHAnsi" w:hAnsiTheme="minorHAnsi" w:cstheme="minorHAnsi"/>
                <w:color w:val="auto"/>
                <w:sz w:val="20"/>
                <w:szCs w:val="20"/>
              </w:rPr>
              <w:t xml:space="preserve"> </w:t>
            </w:r>
            <w:r w:rsidR="002F0717">
              <w:rPr>
                <w:rFonts w:asciiTheme="minorHAnsi" w:hAnsiTheme="minorHAnsi" w:cstheme="minorHAnsi"/>
                <w:color w:val="auto"/>
                <w:sz w:val="20"/>
                <w:szCs w:val="20"/>
              </w:rPr>
              <w:t>–</w:t>
            </w:r>
            <w:r w:rsidR="00075FE7" w:rsidRPr="002F0717">
              <w:rPr>
                <w:rFonts w:asciiTheme="minorHAnsi" w:hAnsiTheme="minorHAnsi" w:cstheme="minorHAnsi"/>
                <w:color w:val="auto"/>
                <w:sz w:val="20"/>
                <w:szCs w:val="20"/>
              </w:rPr>
              <w:t xml:space="preserve"> II</w:t>
            </w:r>
            <w:r w:rsidR="008C1553" w:rsidRPr="002F0717">
              <w:rPr>
                <w:rFonts w:asciiTheme="minorHAnsi" w:hAnsiTheme="minorHAnsi" w:cstheme="minorHAnsi"/>
                <w:color w:val="auto"/>
                <w:sz w:val="20"/>
                <w:szCs w:val="20"/>
              </w:rPr>
              <w:t>II</w:t>
            </w:r>
            <w:r w:rsidR="002F0717" w:rsidRPr="002F0717">
              <w:rPr>
                <w:rFonts w:asciiTheme="minorHAnsi" w:hAnsiTheme="minorHAnsi" w:cstheme="minorHAnsi"/>
                <w:color w:val="auto"/>
                <w:sz w:val="20"/>
                <w:szCs w:val="20"/>
              </w:rPr>
              <w:t>I</w:t>
            </w:r>
            <w:r w:rsidR="00D771A2">
              <w:rPr>
                <w:rFonts w:asciiTheme="minorHAnsi" w:hAnsiTheme="minorHAnsi" w:cstheme="minorHAnsi"/>
                <w:color w:val="auto"/>
                <w:sz w:val="20"/>
                <w:szCs w:val="20"/>
              </w:rPr>
              <w:t xml:space="preserve"> = 5</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BB4D30" w:rsidRPr="002E2E01" w:rsidRDefault="000865D6" w:rsidP="00432B62">
            <w:pPr>
              <w:pStyle w:val="Normln-tun"/>
              <w:rPr>
                <w:rFonts w:asciiTheme="minorHAnsi" w:hAnsiTheme="minorHAnsi" w:cstheme="minorHAnsi"/>
                <w:color w:val="auto"/>
                <w:sz w:val="20"/>
                <w:szCs w:val="20"/>
              </w:rPr>
            </w:pPr>
            <w:r w:rsidRPr="002E2E01">
              <w:rPr>
                <w:rFonts w:asciiTheme="minorHAnsi" w:hAnsiTheme="minorHAnsi" w:cstheme="minorHAnsi"/>
                <w:b w:val="0"/>
                <w:bCs w:val="0"/>
                <w:color w:val="auto"/>
                <w:sz w:val="20"/>
                <w:szCs w:val="20"/>
              </w:rPr>
              <w:t>BEZ ZKUŠENOSTI, NELZE POSOUDIT</w:t>
            </w:r>
            <w:r w:rsidR="00F87B43">
              <w:rPr>
                <w:rFonts w:asciiTheme="minorHAnsi" w:hAnsiTheme="minorHAnsi" w:cstheme="minorHAnsi"/>
                <w:b w:val="0"/>
                <w:bCs w:val="0"/>
                <w:color w:val="auto"/>
                <w:sz w:val="20"/>
                <w:szCs w:val="20"/>
              </w:rPr>
              <w:t xml:space="preserve"> </w:t>
            </w:r>
            <w:r w:rsidR="002F0717">
              <w:rPr>
                <w:rFonts w:asciiTheme="minorHAnsi" w:hAnsiTheme="minorHAnsi" w:cstheme="minorHAnsi"/>
                <w:b w:val="0"/>
                <w:bCs w:val="0"/>
                <w:color w:val="auto"/>
                <w:sz w:val="20"/>
                <w:szCs w:val="20"/>
              </w:rPr>
              <w:t>–</w:t>
            </w:r>
            <w:r w:rsidRPr="002E2E01">
              <w:rPr>
                <w:rFonts w:asciiTheme="minorHAnsi" w:hAnsiTheme="minorHAnsi" w:cstheme="minorHAnsi"/>
                <w:b w:val="0"/>
                <w:bCs w:val="0"/>
                <w:color w:val="auto"/>
                <w:sz w:val="20"/>
                <w:szCs w:val="20"/>
              </w:rPr>
              <w:t xml:space="preserve"> III</w:t>
            </w:r>
            <w:r w:rsidR="00F87B43">
              <w:rPr>
                <w:rFonts w:asciiTheme="minorHAnsi" w:hAnsiTheme="minorHAnsi" w:cstheme="minorHAnsi"/>
                <w:b w:val="0"/>
                <w:bCs w:val="0"/>
                <w:color w:val="auto"/>
                <w:sz w:val="20"/>
                <w:szCs w:val="20"/>
              </w:rPr>
              <w:t>I</w:t>
            </w:r>
            <w:r w:rsidR="00D771A2">
              <w:rPr>
                <w:rFonts w:asciiTheme="minorHAnsi" w:hAnsiTheme="minorHAnsi" w:cstheme="minorHAnsi"/>
                <w:b w:val="0"/>
                <w:bCs w:val="0"/>
                <w:color w:val="auto"/>
                <w:sz w:val="20"/>
                <w:szCs w:val="20"/>
              </w:rPr>
              <w:t xml:space="preserve"> = 4</w:t>
            </w:r>
          </w:p>
        </w:tc>
        <w:tc>
          <w:tcPr>
            <w:tcW w:w="4530" w:type="dxa"/>
            <w:shd w:val="clear" w:color="auto" w:fill="auto"/>
          </w:tcPr>
          <w:p w:rsidR="00BB4D30" w:rsidRPr="002F0717" w:rsidRDefault="000865D6" w:rsidP="00432B62">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 w:val="20"/>
                <w:szCs w:val="20"/>
              </w:rPr>
            </w:pPr>
            <w:r w:rsidRPr="002F0717">
              <w:rPr>
                <w:rFonts w:asciiTheme="minorHAnsi" w:hAnsiTheme="minorHAnsi" w:cstheme="minorHAnsi"/>
                <w:color w:val="auto"/>
                <w:sz w:val="20"/>
                <w:szCs w:val="20"/>
              </w:rPr>
              <w:t xml:space="preserve">JINÉ </w:t>
            </w:r>
            <w:r w:rsidR="002F0717">
              <w:rPr>
                <w:rFonts w:asciiTheme="minorHAnsi" w:hAnsiTheme="minorHAnsi" w:cstheme="minorHAnsi"/>
                <w:color w:val="auto"/>
                <w:sz w:val="20"/>
                <w:szCs w:val="20"/>
              </w:rPr>
              <w:t>–</w:t>
            </w:r>
            <w:r w:rsidRPr="002F0717">
              <w:rPr>
                <w:rFonts w:asciiTheme="minorHAnsi" w:hAnsiTheme="minorHAnsi" w:cstheme="minorHAnsi"/>
                <w:color w:val="auto"/>
                <w:sz w:val="20"/>
                <w:szCs w:val="20"/>
              </w:rPr>
              <w:t xml:space="preserve"> I</w:t>
            </w:r>
            <w:r w:rsidR="00982FFF" w:rsidRPr="002F0717">
              <w:rPr>
                <w:rFonts w:asciiTheme="minorHAnsi" w:hAnsiTheme="minorHAnsi" w:cstheme="minorHAnsi"/>
                <w:color w:val="auto"/>
                <w:sz w:val="20"/>
                <w:szCs w:val="20"/>
              </w:rPr>
              <w:t>I</w:t>
            </w:r>
            <w:r w:rsidR="002F0717" w:rsidRPr="002F0717">
              <w:rPr>
                <w:rFonts w:asciiTheme="minorHAnsi" w:hAnsiTheme="minorHAnsi" w:cstheme="minorHAnsi"/>
                <w:color w:val="auto"/>
                <w:sz w:val="20"/>
                <w:szCs w:val="20"/>
              </w:rPr>
              <w:t>I</w:t>
            </w:r>
            <w:r w:rsidR="00D771A2">
              <w:rPr>
                <w:rFonts w:asciiTheme="minorHAnsi" w:hAnsiTheme="minorHAnsi" w:cstheme="minorHAnsi"/>
                <w:color w:val="auto"/>
                <w:sz w:val="20"/>
                <w:szCs w:val="20"/>
              </w:rPr>
              <w:t xml:space="preserve"> = 3</w:t>
            </w:r>
          </w:p>
        </w:tc>
      </w:tr>
      <w:tr w:rsidR="00FC72A1" w:rsidTr="00FC72A1">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432B62" w:rsidRPr="009148EA" w:rsidRDefault="000865D6" w:rsidP="00432B62">
            <w:pPr>
              <w:pStyle w:val="Normln-tun"/>
              <w:rPr>
                <w:rFonts w:asciiTheme="minorHAnsi" w:hAnsiTheme="minorHAnsi" w:cstheme="minorHAnsi"/>
                <w:sz w:val="20"/>
                <w:szCs w:val="20"/>
              </w:rPr>
            </w:pPr>
            <w:r>
              <w:rPr>
                <w:rFonts w:asciiTheme="minorHAnsi" w:hAnsiTheme="minorHAnsi" w:cstheme="minorHAnsi"/>
                <w:b w:val="0"/>
                <w:bCs w:val="0"/>
                <w:sz w:val="20"/>
                <w:szCs w:val="20"/>
              </w:rPr>
              <w:t>T</w:t>
            </w:r>
            <w:r w:rsidRPr="009148EA">
              <w:rPr>
                <w:rFonts w:asciiTheme="minorHAnsi" w:hAnsiTheme="minorHAnsi" w:cstheme="minorHAnsi"/>
                <w:b w:val="0"/>
                <w:bCs w:val="0"/>
                <w:sz w:val="20"/>
                <w:szCs w:val="20"/>
              </w:rPr>
              <w:t xml:space="preserve">ento institut </w:t>
            </w:r>
            <w:r w:rsidR="00444015">
              <w:rPr>
                <w:rFonts w:asciiTheme="minorHAnsi" w:hAnsiTheme="minorHAnsi" w:cstheme="minorHAnsi"/>
                <w:b w:val="0"/>
                <w:bCs w:val="0"/>
                <w:sz w:val="20"/>
                <w:szCs w:val="20"/>
              </w:rPr>
              <w:t xml:space="preserve">by </w:t>
            </w:r>
            <w:r w:rsidRPr="009148EA">
              <w:rPr>
                <w:rFonts w:asciiTheme="minorHAnsi" w:hAnsiTheme="minorHAnsi" w:cstheme="minorHAnsi"/>
                <w:b w:val="0"/>
                <w:bCs w:val="0"/>
                <w:sz w:val="20"/>
                <w:szCs w:val="20"/>
              </w:rPr>
              <w:t>měl zůstat zachován jako jedna z důležitých procesních možností, které má vyvlastnitel k dispozici. Integrace mezitímního rozhodnutí přímo do vyvlastňovacího zákona pak může být správným krokem pro širší užití zmíněného institutu (</w:t>
            </w:r>
            <w:r w:rsidRPr="009148EA">
              <w:rPr>
                <w:rFonts w:asciiTheme="minorHAnsi" w:hAnsiTheme="minorHAnsi" w:cstheme="minorHAnsi"/>
                <w:b w:val="0"/>
                <w:bCs w:val="0"/>
                <w:sz w:val="20"/>
                <w:szCs w:val="20"/>
              </w:rPr>
              <w:t xml:space="preserve">i pro stavby, u kterých ho momentálně nebylo možné využít), a tedy do budoucna i jeho lepší uchopení a zpracování, myšleno s odkazem </w:t>
            </w:r>
            <w:r w:rsidR="00496152" w:rsidRPr="009148EA">
              <w:rPr>
                <w:rFonts w:asciiTheme="minorHAnsi" w:hAnsiTheme="minorHAnsi" w:cstheme="minorHAnsi"/>
                <w:b w:val="0"/>
                <w:bCs w:val="0"/>
                <w:sz w:val="20"/>
                <w:szCs w:val="20"/>
              </w:rPr>
              <w:t xml:space="preserve">jak </w:t>
            </w:r>
            <w:r w:rsidRPr="009148EA">
              <w:rPr>
                <w:rFonts w:asciiTheme="minorHAnsi" w:hAnsiTheme="minorHAnsi" w:cstheme="minorHAnsi"/>
                <w:b w:val="0"/>
                <w:bCs w:val="0"/>
                <w:sz w:val="20"/>
                <w:szCs w:val="20"/>
              </w:rPr>
              <w:t xml:space="preserve">na rozvoj </w:t>
            </w:r>
            <w:r w:rsidRPr="009148EA">
              <w:rPr>
                <w:rFonts w:asciiTheme="minorHAnsi" w:hAnsiTheme="minorHAnsi" w:cstheme="minorHAnsi"/>
                <w:b w:val="0"/>
                <w:bCs w:val="0"/>
                <w:sz w:val="20"/>
                <w:szCs w:val="20"/>
              </w:rPr>
              <w:lastRenderedPageBreak/>
              <w:t xml:space="preserve">příslušné judikatury, tak na vznik více odborných článků, případně komentované literatury věnující se tomuto </w:t>
            </w:r>
            <w:r w:rsidRPr="009148EA">
              <w:rPr>
                <w:rFonts w:asciiTheme="minorHAnsi" w:hAnsiTheme="minorHAnsi" w:cstheme="minorHAnsi"/>
                <w:b w:val="0"/>
                <w:bCs w:val="0"/>
                <w:sz w:val="20"/>
                <w:szCs w:val="20"/>
              </w:rPr>
              <w:t>tématu.</w:t>
            </w:r>
          </w:p>
        </w:tc>
        <w:tc>
          <w:tcPr>
            <w:tcW w:w="4530" w:type="dxa"/>
            <w:shd w:val="clear" w:color="auto" w:fill="auto"/>
          </w:tcPr>
          <w:p w:rsidR="00432B62" w:rsidRPr="009148EA" w:rsidRDefault="000865D6" w:rsidP="00432B62">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Se zrušením odvolání a</w:t>
            </w:r>
            <w:r w:rsidRPr="009148EA">
              <w:rPr>
                <w:rFonts w:asciiTheme="minorHAnsi" w:hAnsiTheme="minorHAnsi" w:cstheme="minorHAnsi"/>
                <w:sz w:val="20"/>
                <w:szCs w:val="20"/>
              </w:rPr>
              <w:t xml:space="preserve"> ponechání</w:t>
            </w:r>
            <w:r>
              <w:rPr>
                <w:rFonts w:asciiTheme="minorHAnsi" w:hAnsiTheme="minorHAnsi" w:cstheme="minorHAnsi"/>
                <w:sz w:val="20"/>
                <w:szCs w:val="20"/>
              </w:rPr>
              <w:t>m</w:t>
            </w:r>
            <w:r w:rsidRPr="009148EA">
              <w:rPr>
                <w:rFonts w:asciiTheme="minorHAnsi" w:hAnsiTheme="minorHAnsi" w:cstheme="minorHAnsi"/>
                <w:sz w:val="20"/>
                <w:szCs w:val="20"/>
              </w:rPr>
              <w:t xml:space="preserve"> pouze soudního přezkumu se z naší strany </w:t>
            </w:r>
            <w:r>
              <w:rPr>
                <w:rFonts w:asciiTheme="minorHAnsi" w:hAnsiTheme="minorHAnsi" w:cstheme="minorHAnsi"/>
                <w:sz w:val="20"/>
                <w:szCs w:val="20"/>
              </w:rPr>
              <w:t>nelze</w:t>
            </w:r>
            <w:r w:rsidRPr="009148EA">
              <w:rPr>
                <w:rFonts w:asciiTheme="minorHAnsi" w:hAnsiTheme="minorHAnsi" w:cstheme="minorHAnsi"/>
                <w:sz w:val="20"/>
                <w:szCs w:val="20"/>
              </w:rPr>
              <w:t xml:space="preserve"> zcela ztotožnit. Nejen s ohledem na rozsah a závažnost zásahů, které vyvlastnění přináší, máme za to, že by vyvlastňovaní měli mít k dispozici dostatečné možnosti, jak se vyvlastnění bránit. Ačkoliv to není pravidlem a nelze nijak paušalizovat, jsme také </w:t>
            </w:r>
            <w:r w:rsidRPr="009148EA">
              <w:rPr>
                <w:rFonts w:asciiTheme="minorHAnsi" w:hAnsiTheme="minorHAnsi" w:cstheme="minorHAnsi"/>
                <w:sz w:val="20"/>
                <w:szCs w:val="20"/>
              </w:rPr>
              <w:t xml:space="preserve">názoru, že v rámci odvolacího řízení dochází k vydání rozhodnutí o </w:t>
            </w:r>
            <w:r w:rsidRPr="009148EA">
              <w:rPr>
                <w:rFonts w:asciiTheme="minorHAnsi" w:hAnsiTheme="minorHAnsi" w:cstheme="minorHAnsi"/>
                <w:sz w:val="20"/>
                <w:szCs w:val="20"/>
              </w:rPr>
              <w:lastRenderedPageBreak/>
              <w:t>předmětném opravném prostředku, a někdy tím pádem i k vyřízení a uzavření celé věci, rychleji, než je tomu u žalob projednávaných civilními či správními soudy.</w:t>
            </w:r>
          </w:p>
          <w:p w:rsidR="00432B62" w:rsidRPr="009148EA" w:rsidRDefault="000865D6" w:rsidP="00432B62">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48EA">
              <w:rPr>
                <w:rFonts w:asciiTheme="minorHAnsi" w:hAnsiTheme="minorHAnsi" w:cstheme="minorHAnsi"/>
                <w:sz w:val="20"/>
                <w:szCs w:val="20"/>
              </w:rPr>
              <w:t>Zároveň lze konstatovat, ačko</w:t>
            </w:r>
            <w:r w:rsidRPr="009148EA">
              <w:rPr>
                <w:rFonts w:asciiTheme="minorHAnsi" w:hAnsiTheme="minorHAnsi" w:cstheme="minorHAnsi"/>
                <w:sz w:val="20"/>
                <w:szCs w:val="20"/>
              </w:rPr>
              <w:t xml:space="preserve">liv ani to není pravidlem, že hlavním bodem, kolem kterého vzniká nejvíce sporů, nepředstavuje samotné odnětí nebo omezení vlastnického práva, ale otázka náhrady za vyvlastnění. V mnoha případech, ve kterých je dnes v rámci vyvlastňovacího řízení podáváno </w:t>
            </w:r>
            <w:r w:rsidRPr="009148EA">
              <w:rPr>
                <w:rFonts w:asciiTheme="minorHAnsi" w:hAnsiTheme="minorHAnsi" w:cstheme="minorHAnsi"/>
                <w:sz w:val="20"/>
                <w:szCs w:val="20"/>
              </w:rPr>
              <w:t>odvolání, tak nemusí vůbec dojít k nástupu odkladného účinku výroků o vyvlastnění na základě podaného odvolání (§ 25 odst. 2 vyvlastňovacího zákona) a jakémukoliv zpoždění realizace účelu, kvůli kterému bylo vyvlastňovací řízení vedeno.</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432B62" w:rsidRPr="009148EA" w:rsidRDefault="000865D6" w:rsidP="00432B62">
            <w:pPr>
              <w:pStyle w:val="Normln-tun"/>
              <w:rPr>
                <w:rFonts w:asciiTheme="minorHAnsi" w:hAnsiTheme="minorHAnsi" w:cstheme="minorHAnsi"/>
                <w:sz w:val="20"/>
                <w:szCs w:val="20"/>
              </w:rPr>
            </w:pPr>
            <w:r>
              <w:rPr>
                <w:rFonts w:asciiTheme="minorHAnsi" w:hAnsiTheme="minorHAnsi" w:cstheme="minorHAnsi"/>
                <w:b w:val="0"/>
                <w:bCs w:val="0"/>
                <w:sz w:val="20"/>
                <w:szCs w:val="20"/>
              </w:rPr>
              <w:lastRenderedPageBreak/>
              <w:t>N</w:t>
            </w:r>
            <w:r w:rsidRPr="009148EA">
              <w:rPr>
                <w:rFonts w:asciiTheme="minorHAnsi" w:hAnsiTheme="minorHAnsi" w:cstheme="minorHAnsi"/>
                <w:b w:val="0"/>
                <w:bCs w:val="0"/>
                <w:sz w:val="20"/>
                <w:szCs w:val="20"/>
              </w:rPr>
              <w:t>ení</w:t>
            </w:r>
            <w:r>
              <w:rPr>
                <w:rFonts w:asciiTheme="minorHAnsi" w:hAnsiTheme="minorHAnsi" w:cstheme="minorHAnsi"/>
                <w:b w:val="0"/>
                <w:bCs w:val="0"/>
                <w:sz w:val="20"/>
                <w:szCs w:val="20"/>
              </w:rPr>
              <w:t xml:space="preserve"> zatím</w:t>
            </w:r>
            <w:r w:rsidRPr="009148EA">
              <w:rPr>
                <w:rFonts w:asciiTheme="minorHAnsi" w:hAnsiTheme="minorHAnsi" w:cstheme="minorHAnsi"/>
                <w:b w:val="0"/>
                <w:bCs w:val="0"/>
                <w:sz w:val="20"/>
                <w:szCs w:val="20"/>
              </w:rPr>
              <w:t xml:space="preserve"> v</w:t>
            </w:r>
            <w:r w:rsidR="00BD522B">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praxi</w:t>
            </w:r>
            <w:r w:rsidRPr="009148EA">
              <w:rPr>
                <w:rFonts w:asciiTheme="minorHAnsi" w:hAnsiTheme="minorHAnsi" w:cstheme="minorHAnsi"/>
                <w:b w:val="0"/>
                <w:bCs w:val="0"/>
                <w:sz w:val="20"/>
                <w:szCs w:val="20"/>
              </w:rPr>
              <w:t xml:space="preserve"> téměř vůbec využíváno.</w:t>
            </w:r>
            <w:r>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Z</w:t>
            </w:r>
            <w:r>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rozhodovací praxe</w:t>
            </w:r>
            <w:r>
              <w:rPr>
                <w:rFonts w:asciiTheme="minorHAnsi" w:hAnsiTheme="minorHAnsi" w:cstheme="minorHAnsi"/>
                <w:b w:val="0"/>
                <w:bCs w:val="0"/>
                <w:sz w:val="20"/>
                <w:szCs w:val="20"/>
              </w:rPr>
              <w:t xml:space="preserve"> úřadu</w:t>
            </w:r>
            <w:r w:rsidRPr="009148EA">
              <w:rPr>
                <w:rFonts w:asciiTheme="minorHAnsi" w:hAnsiTheme="minorHAnsi" w:cstheme="minorHAnsi"/>
                <w:b w:val="0"/>
                <w:bCs w:val="0"/>
                <w:sz w:val="20"/>
                <w:szCs w:val="20"/>
              </w:rPr>
              <w:t xml:space="preserve"> jako prvoinstančního orgánu nicméně vyplývá, že většina námitek nesměřuje do vyvlastnění jako takového, ale především do výše náhrady. Řízení jsou pak i vedena z</w:t>
            </w:r>
            <w:r>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důvodu nemožnosti dosáhnout dohody, neboť</w:t>
            </w:r>
            <w:r>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vy</w:t>
            </w:r>
            <w:r w:rsidRPr="009148EA">
              <w:rPr>
                <w:rFonts w:asciiTheme="minorHAnsi" w:hAnsiTheme="minorHAnsi" w:cstheme="minorHAnsi"/>
                <w:b w:val="0"/>
                <w:bCs w:val="0"/>
                <w:sz w:val="20"/>
                <w:szCs w:val="20"/>
              </w:rPr>
              <w:t xml:space="preserve">vlastňované osoby nejsou známy. </w:t>
            </w:r>
          </w:p>
        </w:tc>
        <w:tc>
          <w:tcPr>
            <w:tcW w:w="4530" w:type="dxa"/>
            <w:shd w:val="clear" w:color="auto" w:fill="auto"/>
          </w:tcPr>
          <w:p w:rsidR="00432B62" w:rsidRPr="009148EA" w:rsidRDefault="000865D6" w:rsidP="00432B62">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148EA">
              <w:rPr>
                <w:rFonts w:asciiTheme="minorHAnsi" w:hAnsiTheme="minorHAnsi" w:cstheme="minorHAnsi"/>
                <w:sz w:val="20"/>
                <w:szCs w:val="20"/>
              </w:rPr>
              <w:t>Ohledně možnosti vedení řízení pouze v</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jednom stupni s následujícím soudním přezkumem se domníváme, že tento postup není vyloučen, avšak doporučovali bychom, aby byl nastaven jednotný proces pro všechna vyvlastňovací řízení</w:t>
            </w:r>
            <w:r w:rsidRPr="009148EA">
              <w:rPr>
                <w:rFonts w:asciiTheme="minorHAnsi" w:hAnsiTheme="minorHAnsi" w:cstheme="minorHAnsi"/>
                <w:sz w:val="20"/>
                <w:szCs w:val="20"/>
              </w:rPr>
              <w:t>. Situaci, kdy by byl takto markantně rozdílný proces mezi</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 xml:space="preserve">vyvlastňovacím řízení pro „běžné stavby“ – tj. dvojinstanční řízení a pro stavby dopravní infrastruktury, které by bylo pouze jednoinstanční, nepovažujeme za optimální. </w:t>
            </w:r>
          </w:p>
        </w:tc>
      </w:tr>
      <w:tr w:rsidR="00FC72A1" w:rsidTr="00FC72A1">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B807B3" w:rsidRPr="009148EA" w:rsidRDefault="000865D6" w:rsidP="00B807B3">
            <w:pPr>
              <w:pStyle w:val="Normln-tun"/>
              <w:rPr>
                <w:rFonts w:asciiTheme="minorHAnsi" w:hAnsiTheme="minorHAnsi" w:cstheme="minorHAnsi"/>
                <w:sz w:val="20"/>
                <w:szCs w:val="20"/>
              </w:rPr>
            </w:pPr>
            <w:r>
              <w:rPr>
                <w:rFonts w:asciiTheme="minorHAnsi" w:hAnsiTheme="minorHAnsi" w:cstheme="minorHAnsi"/>
                <w:b w:val="0"/>
                <w:bCs w:val="0"/>
                <w:sz w:val="20"/>
                <w:szCs w:val="20"/>
              </w:rPr>
              <w:t>P</w:t>
            </w:r>
            <w:r w:rsidRPr="009148EA">
              <w:rPr>
                <w:rFonts w:asciiTheme="minorHAnsi" w:hAnsiTheme="minorHAnsi" w:cstheme="minorHAnsi"/>
                <w:b w:val="0"/>
                <w:bCs w:val="0"/>
                <w:sz w:val="20"/>
                <w:szCs w:val="20"/>
              </w:rPr>
              <w:t xml:space="preserve">odání žádosti o </w:t>
            </w:r>
            <w:r>
              <w:rPr>
                <w:rFonts w:asciiTheme="minorHAnsi" w:hAnsiTheme="minorHAnsi" w:cstheme="minorHAnsi"/>
                <w:b w:val="0"/>
                <w:bCs w:val="0"/>
                <w:sz w:val="20"/>
                <w:szCs w:val="20"/>
              </w:rPr>
              <w:t>mezitímní</w:t>
            </w:r>
            <w:r w:rsidRPr="009148EA">
              <w:rPr>
                <w:rFonts w:asciiTheme="minorHAnsi" w:hAnsiTheme="minorHAnsi" w:cstheme="minorHAnsi"/>
                <w:b w:val="0"/>
                <w:bCs w:val="0"/>
                <w:sz w:val="20"/>
                <w:szCs w:val="20"/>
              </w:rPr>
              <w:t xml:space="preserve"> rozhodnutí žádný z</w:t>
            </w:r>
            <w:r w:rsidR="00BD522B">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investorů v</w:t>
            </w:r>
            <w:r w:rsidR="00BD522B">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kraji dosud nevyužil, a proto se k</w:t>
            </w:r>
            <w:r w:rsidR="00BD522B">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této problematice z</w:t>
            </w:r>
            <w:r w:rsidR="00BD522B">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hlediska praxe nemůžeme vyjádřit.</w:t>
            </w:r>
          </w:p>
          <w:p w:rsidR="00432B62" w:rsidRPr="009148EA" w:rsidRDefault="00432B62" w:rsidP="00432B62">
            <w:pPr>
              <w:pStyle w:val="Normln-tun"/>
              <w:rPr>
                <w:rFonts w:asciiTheme="minorHAnsi" w:hAnsiTheme="minorHAnsi" w:cstheme="minorHAnsi"/>
                <w:sz w:val="20"/>
                <w:szCs w:val="20"/>
              </w:rPr>
            </w:pPr>
          </w:p>
        </w:tc>
        <w:tc>
          <w:tcPr>
            <w:tcW w:w="4530" w:type="dxa"/>
            <w:shd w:val="clear" w:color="auto" w:fill="auto"/>
          </w:tcPr>
          <w:p w:rsidR="00432B62" w:rsidRPr="009148EA" w:rsidRDefault="000865D6" w:rsidP="00075FE7">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48EA">
              <w:rPr>
                <w:rFonts w:asciiTheme="minorHAnsi" w:hAnsiTheme="minorHAnsi" w:cstheme="minorHAnsi"/>
                <w:sz w:val="20"/>
                <w:szCs w:val="20"/>
              </w:rPr>
              <w:t>Podle zkušeností, které máme zejména z</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odvolacích, ale i z</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prvoinstančních řízení ve věci vyvlastnění, se domníváme, že by vedení vyvlastňovacího řízení jako jednoinstančního řízení s následným soudním přezkumem nebylo ani ku prospěchu věci a ve výsledku by nevedlo ani ke zrychlení vyvlastňovacího procesu. Ve smys</w:t>
            </w:r>
            <w:r w:rsidRPr="009148EA">
              <w:rPr>
                <w:rFonts w:asciiTheme="minorHAnsi" w:hAnsiTheme="minorHAnsi" w:cstheme="minorHAnsi"/>
                <w:sz w:val="20"/>
                <w:szCs w:val="20"/>
              </w:rPr>
              <w:t xml:space="preserve">lu ust. § 2 odst. 2 </w:t>
            </w:r>
            <w:r w:rsidR="00075FE7">
              <w:rPr>
                <w:rFonts w:asciiTheme="minorHAnsi" w:hAnsiTheme="minorHAnsi" w:cstheme="minorHAnsi"/>
                <w:sz w:val="20"/>
                <w:szCs w:val="20"/>
              </w:rPr>
              <w:t xml:space="preserve">liniového zákona </w:t>
            </w:r>
            <w:r w:rsidRPr="009148EA">
              <w:rPr>
                <w:rFonts w:asciiTheme="minorHAnsi" w:hAnsiTheme="minorHAnsi" w:cstheme="minorHAnsi"/>
                <w:sz w:val="20"/>
                <w:szCs w:val="20"/>
              </w:rPr>
              <w:t>má soud již v</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současné době rozhodnout o podané žalobě ve věci vyvlastnění ve lhůtě 90 dnů, a v</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 xml:space="preserve">případě mezitímního rozhodnutí dokonce ve lhůtě 60 dnů. Naše konkrétní zkušenost: Žaloba byla podána </w:t>
            </w:r>
            <w:r w:rsidR="00075FE7">
              <w:rPr>
                <w:rFonts w:asciiTheme="minorHAnsi" w:hAnsiTheme="minorHAnsi" w:cstheme="minorHAnsi"/>
                <w:sz w:val="20"/>
                <w:szCs w:val="20"/>
              </w:rPr>
              <w:t>0</w:t>
            </w:r>
            <w:r w:rsidRPr="009148EA">
              <w:rPr>
                <w:rFonts w:asciiTheme="minorHAnsi" w:hAnsiTheme="minorHAnsi" w:cstheme="minorHAnsi"/>
                <w:sz w:val="20"/>
                <w:szCs w:val="20"/>
              </w:rPr>
              <w:t>7</w:t>
            </w:r>
            <w:r w:rsidR="00075FE7">
              <w:rPr>
                <w:rFonts w:asciiTheme="minorHAnsi" w:hAnsiTheme="minorHAnsi" w:cstheme="minorHAnsi"/>
                <w:sz w:val="20"/>
                <w:szCs w:val="20"/>
              </w:rPr>
              <w:t>/07/</w:t>
            </w:r>
            <w:r w:rsidRPr="009148EA">
              <w:rPr>
                <w:rFonts w:asciiTheme="minorHAnsi" w:hAnsiTheme="minorHAnsi" w:cstheme="minorHAnsi"/>
                <w:sz w:val="20"/>
                <w:szCs w:val="20"/>
              </w:rPr>
              <w:t xml:space="preserve">20 a dosud o ní </w:t>
            </w:r>
            <w:r w:rsidRPr="009148EA">
              <w:rPr>
                <w:rFonts w:asciiTheme="minorHAnsi" w:hAnsiTheme="minorHAnsi" w:cstheme="minorHAnsi"/>
                <w:sz w:val="20"/>
                <w:szCs w:val="20"/>
              </w:rPr>
              <w:t>nebylo rozhodnuto. Pokud by řízení o vyvlastnění bylo jednoinstanční, pouze s</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možností žaloby proti výslednému rozhodnutí, hrozí naopak zpomalení výstavby, neboť pokud správní soud rozhodne po letech o zrušení rozhodnutí pro pochybení, které odvolací orgán</w:t>
            </w:r>
            <w:r w:rsidRPr="009148EA">
              <w:rPr>
                <w:rFonts w:asciiTheme="minorHAnsi" w:hAnsiTheme="minorHAnsi" w:cstheme="minorHAnsi"/>
                <w:sz w:val="20"/>
                <w:szCs w:val="20"/>
              </w:rPr>
              <w:t xml:space="preserve"> mohl napravit v odvolacím řízení, např. i změnou rozhodnutí, pak se může stát, že</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stavba bude sice povolenou, ale neoprávněnou.</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432B62" w:rsidRPr="009148EA" w:rsidRDefault="000865D6" w:rsidP="003D1E2D">
            <w:pPr>
              <w:pStyle w:val="Normln-tun"/>
              <w:rPr>
                <w:rFonts w:asciiTheme="minorHAnsi" w:hAnsiTheme="minorHAnsi" w:cstheme="minorHAnsi"/>
                <w:sz w:val="20"/>
                <w:szCs w:val="20"/>
              </w:rPr>
            </w:pPr>
            <w:r w:rsidRPr="009148EA">
              <w:rPr>
                <w:rFonts w:asciiTheme="minorHAnsi" w:hAnsiTheme="minorHAnsi" w:cstheme="minorHAnsi"/>
                <w:b w:val="0"/>
                <w:bCs w:val="0"/>
                <w:sz w:val="20"/>
                <w:szCs w:val="20"/>
              </w:rPr>
              <w:t>Mezitímní rozhodnutí je institut, který dlouhodobě kritizujeme, a to především s</w:t>
            </w:r>
            <w:r w:rsidR="00BD522B">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ohledem na porušování základních zásad vyvlas</w:t>
            </w:r>
            <w:r w:rsidRPr="009148EA">
              <w:rPr>
                <w:rFonts w:asciiTheme="minorHAnsi" w:hAnsiTheme="minorHAnsi" w:cstheme="minorHAnsi"/>
                <w:b w:val="0"/>
                <w:bCs w:val="0"/>
                <w:sz w:val="20"/>
                <w:szCs w:val="20"/>
              </w:rPr>
              <w:t xml:space="preserve">tňovacího řízení, které jsou ostatně i uvedeny v ústavní stížnosti PL. ÚS 39/18. </w:t>
            </w:r>
            <w:r w:rsidR="00496152">
              <w:rPr>
                <w:rFonts w:asciiTheme="minorHAnsi" w:hAnsiTheme="minorHAnsi" w:cstheme="minorHAnsi"/>
                <w:b w:val="0"/>
                <w:bCs w:val="0"/>
                <w:sz w:val="20"/>
                <w:szCs w:val="20"/>
              </w:rPr>
              <w:t>S</w:t>
            </w:r>
            <w:r w:rsidRPr="009148EA">
              <w:rPr>
                <w:rFonts w:asciiTheme="minorHAnsi" w:hAnsiTheme="minorHAnsi" w:cstheme="minorHAnsi"/>
                <w:b w:val="0"/>
                <w:bCs w:val="0"/>
                <w:sz w:val="20"/>
                <w:szCs w:val="20"/>
              </w:rPr>
              <w:t xml:space="preserve">oučasně </w:t>
            </w:r>
            <w:r w:rsidR="00496152">
              <w:rPr>
                <w:rFonts w:asciiTheme="minorHAnsi" w:hAnsiTheme="minorHAnsi" w:cstheme="minorHAnsi"/>
                <w:b w:val="0"/>
                <w:bCs w:val="0"/>
                <w:sz w:val="20"/>
                <w:szCs w:val="20"/>
              </w:rPr>
              <w:t>je však třeba</w:t>
            </w:r>
            <w:r w:rsidRPr="009148EA">
              <w:rPr>
                <w:rFonts w:asciiTheme="minorHAnsi" w:hAnsiTheme="minorHAnsi" w:cstheme="minorHAnsi"/>
                <w:b w:val="0"/>
                <w:bCs w:val="0"/>
                <w:sz w:val="20"/>
                <w:szCs w:val="20"/>
              </w:rPr>
              <w:t xml:space="preserve"> přiznat, že jsme ještě žádné řízení nevedli, kde bychom to</w:t>
            </w:r>
            <w:r w:rsidR="005A45A7">
              <w:rPr>
                <w:rFonts w:asciiTheme="minorHAnsi" w:hAnsiTheme="minorHAnsi" w:cstheme="minorHAnsi"/>
                <w:b w:val="0"/>
                <w:bCs w:val="0"/>
                <w:sz w:val="20"/>
                <w:szCs w:val="20"/>
              </w:rPr>
              <w:t>to rozhodnutí</w:t>
            </w:r>
            <w:r w:rsidRPr="009148EA">
              <w:rPr>
                <w:rFonts w:asciiTheme="minorHAnsi" w:hAnsiTheme="minorHAnsi" w:cstheme="minorHAnsi"/>
                <w:b w:val="0"/>
                <w:bCs w:val="0"/>
                <w:sz w:val="20"/>
                <w:szCs w:val="20"/>
              </w:rPr>
              <w:t xml:space="preserve"> museli vydávat. </w:t>
            </w:r>
            <w:r w:rsidR="00DB6763">
              <w:rPr>
                <w:rFonts w:asciiTheme="minorHAnsi" w:hAnsiTheme="minorHAnsi" w:cstheme="minorHAnsi"/>
                <w:b w:val="0"/>
                <w:bCs w:val="0"/>
                <w:sz w:val="20"/>
                <w:szCs w:val="20"/>
              </w:rPr>
              <w:t>J</w:t>
            </w:r>
            <w:r w:rsidRPr="009148EA">
              <w:rPr>
                <w:rFonts w:asciiTheme="minorHAnsi" w:hAnsiTheme="minorHAnsi" w:cstheme="minorHAnsi"/>
                <w:b w:val="0"/>
                <w:bCs w:val="0"/>
                <w:sz w:val="20"/>
                <w:szCs w:val="20"/>
              </w:rPr>
              <w:t>eště větší</w:t>
            </w:r>
            <w:r w:rsidR="005A45A7" w:rsidRPr="009148EA">
              <w:rPr>
                <w:rFonts w:asciiTheme="minorHAnsi" w:hAnsiTheme="minorHAnsi" w:cstheme="minorHAnsi"/>
                <w:b w:val="0"/>
                <w:bCs w:val="0"/>
                <w:sz w:val="20"/>
                <w:szCs w:val="20"/>
              </w:rPr>
              <w:t xml:space="preserve"> zkrácení práv </w:t>
            </w:r>
            <w:r w:rsidR="00DB6763">
              <w:rPr>
                <w:rFonts w:asciiTheme="minorHAnsi" w:hAnsiTheme="minorHAnsi" w:cstheme="minorHAnsi"/>
                <w:b w:val="0"/>
                <w:bCs w:val="0"/>
                <w:sz w:val="20"/>
                <w:szCs w:val="20"/>
              </w:rPr>
              <w:t>plyne</w:t>
            </w:r>
            <w:r w:rsidR="005A45A7">
              <w:rPr>
                <w:rFonts w:asciiTheme="minorHAnsi" w:hAnsiTheme="minorHAnsi" w:cstheme="minorHAnsi"/>
                <w:b w:val="0"/>
                <w:bCs w:val="0"/>
                <w:sz w:val="20"/>
                <w:szCs w:val="20"/>
              </w:rPr>
              <w:t xml:space="preserve"> z </w:t>
            </w:r>
            <w:r w:rsidR="005A45A7" w:rsidRPr="009148EA">
              <w:rPr>
                <w:rFonts w:asciiTheme="minorHAnsi" w:hAnsiTheme="minorHAnsi" w:cstheme="minorHAnsi"/>
                <w:b w:val="0"/>
                <w:bCs w:val="0"/>
                <w:sz w:val="20"/>
                <w:szCs w:val="20"/>
              </w:rPr>
              <w:t>§</w:t>
            </w:r>
            <w:r w:rsidRPr="009148EA">
              <w:rPr>
                <w:rFonts w:asciiTheme="minorHAnsi" w:hAnsiTheme="minorHAnsi" w:cstheme="minorHAnsi"/>
                <w:b w:val="0"/>
                <w:bCs w:val="0"/>
                <w:sz w:val="20"/>
                <w:szCs w:val="20"/>
              </w:rPr>
              <w:t xml:space="preserve"> </w:t>
            </w:r>
            <w:r w:rsidR="005A45A7" w:rsidRPr="009148EA">
              <w:rPr>
                <w:rFonts w:asciiTheme="minorHAnsi" w:hAnsiTheme="minorHAnsi" w:cstheme="minorHAnsi"/>
                <w:b w:val="0"/>
                <w:bCs w:val="0"/>
                <w:sz w:val="20"/>
                <w:szCs w:val="20"/>
              </w:rPr>
              <w:t xml:space="preserve">4c a 4d </w:t>
            </w:r>
            <w:r w:rsidR="00DB6763">
              <w:rPr>
                <w:rFonts w:asciiTheme="minorHAnsi" w:hAnsiTheme="minorHAnsi" w:cstheme="minorHAnsi"/>
                <w:b w:val="0"/>
                <w:bCs w:val="0"/>
                <w:sz w:val="20"/>
                <w:szCs w:val="20"/>
              </w:rPr>
              <w:lastRenderedPageBreak/>
              <w:t>liniového zákona (není třeba</w:t>
            </w:r>
            <w:r w:rsidRPr="009148EA">
              <w:rPr>
                <w:rFonts w:asciiTheme="minorHAnsi" w:hAnsiTheme="minorHAnsi" w:cstheme="minorHAnsi"/>
                <w:b w:val="0"/>
                <w:bCs w:val="0"/>
                <w:sz w:val="20"/>
                <w:szCs w:val="20"/>
              </w:rPr>
              <w:t xml:space="preserve"> vyjednávat</w:t>
            </w:r>
            <w:r w:rsidR="00DB6763">
              <w:rPr>
                <w:rFonts w:asciiTheme="minorHAnsi" w:hAnsiTheme="minorHAnsi" w:cstheme="minorHAnsi"/>
                <w:b w:val="0"/>
                <w:bCs w:val="0"/>
                <w:sz w:val="20"/>
                <w:szCs w:val="20"/>
              </w:rPr>
              <w:t>,</w:t>
            </w:r>
            <w:r w:rsidRPr="009148EA">
              <w:rPr>
                <w:rFonts w:asciiTheme="minorHAnsi" w:hAnsiTheme="minorHAnsi" w:cstheme="minorHAnsi"/>
                <w:b w:val="0"/>
                <w:bCs w:val="0"/>
                <w:sz w:val="20"/>
                <w:szCs w:val="20"/>
              </w:rPr>
              <w:t xml:space="preserve"> rovnou </w:t>
            </w:r>
            <w:r w:rsidR="00DB6763">
              <w:rPr>
                <w:rFonts w:asciiTheme="minorHAnsi" w:hAnsiTheme="minorHAnsi" w:cstheme="minorHAnsi"/>
                <w:b w:val="0"/>
                <w:bCs w:val="0"/>
                <w:sz w:val="20"/>
                <w:szCs w:val="20"/>
              </w:rPr>
              <w:t>se vydává mezitímní rozhodnutí).</w:t>
            </w:r>
          </w:p>
        </w:tc>
        <w:tc>
          <w:tcPr>
            <w:tcW w:w="4530" w:type="dxa"/>
            <w:shd w:val="clear" w:color="auto" w:fill="auto"/>
          </w:tcPr>
          <w:p w:rsidR="00B807B3" w:rsidRPr="009148EA" w:rsidRDefault="000865D6" w:rsidP="003D1E2D">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lastRenderedPageBreak/>
              <w:t>Je</w:t>
            </w:r>
            <w:r w:rsidRPr="009148EA">
              <w:rPr>
                <w:rFonts w:asciiTheme="minorHAnsi" w:hAnsiTheme="minorHAnsi" w:cstheme="minorHAnsi"/>
                <w:sz w:val="20"/>
                <w:szCs w:val="20"/>
              </w:rPr>
              <w:t xml:space="preserve"> </w:t>
            </w:r>
            <w:r>
              <w:rPr>
                <w:rFonts w:asciiTheme="minorHAnsi" w:hAnsiTheme="minorHAnsi" w:cstheme="minorHAnsi"/>
                <w:sz w:val="20"/>
                <w:szCs w:val="20"/>
              </w:rPr>
              <w:t>o</w:t>
            </w:r>
            <w:r w:rsidRPr="009148EA">
              <w:rPr>
                <w:rFonts w:asciiTheme="minorHAnsi" w:hAnsiTheme="minorHAnsi" w:cstheme="minorHAnsi"/>
                <w:sz w:val="20"/>
                <w:szCs w:val="20"/>
              </w:rPr>
              <w:t xml:space="preserve">tázka, jestli se </w:t>
            </w:r>
            <w:r>
              <w:rPr>
                <w:rFonts w:asciiTheme="minorHAnsi" w:hAnsiTheme="minorHAnsi" w:cstheme="minorHAnsi"/>
                <w:sz w:val="20"/>
                <w:szCs w:val="20"/>
              </w:rPr>
              <w:t>proces</w:t>
            </w:r>
            <w:r w:rsidRPr="009148EA">
              <w:rPr>
                <w:rFonts w:asciiTheme="minorHAnsi" w:hAnsiTheme="minorHAnsi" w:cstheme="minorHAnsi"/>
                <w:sz w:val="20"/>
                <w:szCs w:val="20"/>
              </w:rPr>
              <w:t xml:space="preserve"> urychlí, </w:t>
            </w:r>
            <w:r>
              <w:rPr>
                <w:rFonts w:asciiTheme="minorHAnsi" w:hAnsiTheme="minorHAnsi" w:cstheme="minorHAnsi"/>
                <w:sz w:val="20"/>
                <w:szCs w:val="20"/>
              </w:rPr>
              <w:t>pokud</w:t>
            </w:r>
            <w:r w:rsidRPr="009148EA">
              <w:rPr>
                <w:rFonts w:asciiTheme="minorHAnsi" w:hAnsiTheme="minorHAnsi" w:cstheme="minorHAnsi"/>
                <w:sz w:val="20"/>
                <w:szCs w:val="20"/>
              </w:rPr>
              <w:t xml:space="preserve"> bude vyvlastňovací řízení pouze jednostupňové. Ze zkušenosti vidím</w:t>
            </w:r>
            <w:r w:rsidR="003D1E2D">
              <w:rPr>
                <w:rFonts w:asciiTheme="minorHAnsi" w:hAnsiTheme="minorHAnsi" w:cstheme="minorHAnsi"/>
                <w:sz w:val="20"/>
                <w:szCs w:val="20"/>
              </w:rPr>
              <w:t>e</w:t>
            </w:r>
            <w:r w:rsidRPr="009148EA">
              <w:rPr>
                <w:rFonts w:asciiTheme="minorHAnsi" w:hAnsiTheme="minorHAnsi" w:cstheme="minorHAnsi"/>
                <w:sz w:val="20"/>
                <w:szCs w:val="20"/>
              </w:rPr>
              <w:t xml:space="preserve">, že </w:t>
            </w:r>
            <w:r w:rsidR="003D1E2D">
              <w:rPr>
                <w:rFonts w:asciiTheme="minorHAnsi" w:hAnsiTheme="minorHAnsi" w:cstheme="minorHAnsi"/>
                <w:sz w:val="20"/>
                <w:szCs w:val="20"/>
              </w:rPr>
              <w:t>množství</w:t>
            </w:r>
            <w:r w:rsidRPr="009148EA">
              <w:rPr>
                <w:rFonts w:asciiTheme="minorHAnsi" w:hAnsiTheme="minorHAnsi" w:cstheme="minorHAnsi"/>
                <w:sz w:val="20"/>
                <w:szCs w:val="20"/>
              </w:rPr>
              <w:t xml:space="preserve"> vad</w:t>
            </w:r>
            <w:r w:rsidR="003D1E2D">
              <w:rPr>
                <w:rFonts w:asciiTheme="minorHAnsi" w:hAnsiTheme="minorHAnsi" w:cstheme="minorHAnsi"/>
                <w:sz w:val="20"/>
                <w:szCs w:val="20"/>
              </w:rPr>
              <w:t xml:space="preserve"> </w:t>
            </w:r>
            <w:r w:rsidRPr="009148EA">
              <w:rPr>
                <w:rFonts w:asciiTheme="minorHAnsi" w:hAnsiTheme="minorHAnsi" w:cstheme="minorHAnsi"/>
                <w:sz w:val="20"/>
                <w:szCs w:val="20"/>
              </w:rPr>
              <w:t xml:space="preserve">se </w:t>
            </w:r>
            <w:r w:rsidR="003D1E2D">
              <w:rPr>
                <w:rFonts w:asciiTheme="minorHAnsi" w:hAnsiTheme="minorHAnsi" w:cstheme="minorHAnsi"/>
                <w:sz w:val="20"/>
                <w:szCs w:val="20"/>
              </w:rPr>
              <w:t>dá</w:t>
            </w:r>
            <w:r w:rsidRPr="009148EA">
              <w:rPr>
                <w:rFonts w:asciiTheme="minorHAnsi" w:hAnsiTheme="minorHAnsi" w:cstheme="minorHAnsi"/>
                <w:sz w:val="20"/>
                <w:szCs w:val="20"/>
              </w:rPr>
              <w:t xml:space="preserve"> zhojit buď v</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 xml:space="preserve">odvolacím řízení nebo novým projednáním po vrácení věci. </w:t>
            </w:r>
            <w:r w:rsidR="003D1E2D">
              <w:rPr>
                <w:rFonts w:asciiTheme="minorHAnsi" w:hAnsiTheme="minorHAnsi" w:cstheme="minorHAnsi"/>
                <w:sz w:val="20"/>
                <w:szCs w:val="20"/>
              </w:rPr>
              <w:t>Též</w:t>
            </w:r>
            <w:r w:rsidRPr="009148EA">
              <w:rPr>
                <w:rFonts w:asciiTheme="minorHAnsi" w:hAnsiTheme="minorHAnsi" w:cstheme="minorHAnsi"/>
                <w:sz w:val="20"/>
                <w:szCs w:val="20"/>
              </w:rPr>
              <w:t xml:space="preserve"> je nutné pracovat s</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 xml:space="preserve">vytížeností soudů, která je dnes prezentována jako enormní. </w:t>
            </w:r>
            <w:r w:rsidR="003D1E2D">
              <w:rPr>
                <w:rFonts w:asciiTheme="minorHAnsi" w:hAnsiTheme="minorHAnsi" w:cstheme="minorHAnsi"/>
                <w:sz w:val="20"/>
                <w:szCs w:val="20"/>
              </w:rPr>
              <w:t>Pokud</w:t>
            </w:r>
            <w:r w:rsidRPr="009148EA">
              <w:rPr>
                <w:rFonts w:asciiTheme="minorHAnsi" w:hAnsiTheme="minorHAnsi" w:cstheme="minorHAnsi"/>
                <w:sz w:val="20"/>
                <w:szCs w:val="20"/>
              </w:rPr>
              <w:t xml:space="preserve"> by se </w:t>
            </w:r>
            <w:r w:rsidR="003D1E2D">
              <w:rPr>
                <w:rFonts w:asciiTheme="minorHAnsi" w:hAnsiTheme="minorHAnsi" w:cstheme="minorHAnsi"/>
                <w:sz w:val="20"/>
                <w:szCs w:val="20"/>
              </w:rPr>
              <w:t xml:space="preserve">soudům </w:t>
            </w:r>
            <w:r w:rsidRPr="009148EA">
              <w:rPr>
                <w:rFonts w:asciiTheme="minorHAnsi" w:hAnsiTheme="minorHAnsi" w:cstheme="minorHAnsi"/>
                <w:sz w:val="20"/>
                <w:szCs w:val="20"/>
              </w:rPr>
              <w:t>přiřadil</w:t>
            </w:r>
            <w:r w:rsidR="003D1E2D">
              <w:rPr>
                <w:rFonts w:asciiTheme="minorHAnsi" w:hAnsiTheme="minorHAnsi" w:cstheme="minorHAnsi"/>
                <w:sz w:val="20"/>
                <w:szCs w:val="20"/>
              </w:rPr>
              <w:t xml:space="preserve"> větší rozsah agendy</w:t>
            </w:r>
            <w:r w:rsidRPr="009148EA">
              <w:rPr>
                <w:rFonts w:asciiTheme="minorHAnsi" w:hAnsiTheme="minorHAnsi" w:cstheme="minorHAnsi"/>
                <w:sz w:val="20"/>
                <w:szCs w:val="20"/>
              </w:rPr>
              <w:t xml:space="preserve">, nebudou </w:t>
            </w:r>
            <w:r w:rsidR="003D1E2D">
              <w:rPr>
                <w:rFonts w:asciiTheme="minorHAnsi" w:hAnsiTheme="minorHAnsi" w:cstheme="minorHAnsi"/>
                <w:sz w:val="20"/>
                <w:szCs w:val="20"/>
              </w:rPr>
              <w:t xml:space="preserve">ji </w:t>
            </w:r>
            <w:r w:rsidRPr="009148EA">
              <w:rPr>
                <w:rFonts w:asciiTheme="minorHAnsi" w:hAnsiTheme="minorHAnsi" w:cstheme="minorHAnsi"/>
                <w:sz w:val="20"/>
                <w:szCs w:val="20"/>
              </w:rPr>
              <w:lastRenderedPageBreak/>
              <w:t xml:space="preserve">soudy schopné projednat. </w:t>
            </w:r>
            <w:r w:rsidR="003D1E2D">
              <w:rPr>
                <w:rFonts w:asciiTheme="minorHAnsi" w:hAnsiTheme="minorHAnsi" w:cstheme="minorHAnsi"/>
                <w:sz w:val="20"/>
                <w:szCs w:val="20"/>
              </w:rPr>
              <w:t>Je třeba předejít „</w:t>
            </w:r>
            <w:r w:rsidRPr="009148EA">
              <w:rPr>
                <w:rFonts w:asciiTheme="minorHAnsi" w:hAnsiTheme="minorHAnsi" w:cstheme="minorHAnsi"/>
                <w:sz w:val="20"/>
                <w:szCs w:val="20"/>
              </w:rPr>
              <w:t>ping-pongu</w:t>
            </w:r>
            <w:r w:rsidR="003D1E2D">
              <w:rPr>
                <w:rFonts w:asciiTheme="minorHAnsi" w:hAnsiTheme="minorHAnsi" w:cstheme="minorHAnsi"/>
                <w:sz w:val="20"/>
                <w:szCs w:val="20"/>
              </w:rPr>
              <w:t>“</w:t>
            </w:r>
            <w:r w:rsidRPr="009148EA">
              <w:rPr>
                <w:rFonts w:asciiTheme="minorHAnsi" w:hAnsiTheme="minorHAnsi" w:cstheme="minorHAnsi"/>
                <w:sz w:val="20"/>
                <w:szCs w:val="20"/>
              </w:rPr>
              <w:t xml:space="preserve"> mezi správním orgánem a soudem.</w:t>
            </w:r>
          </w:p>
        </w:tc>
      </w:tr>
      <w:tr w:rsidR="00FC72A1" w:rsidTr="00FC72A1">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B807B3" w:rsidRPr="009148EA" w:rsidRDefault="000865D6" w:rsidP="00432B62">
            <w:pPr>
              <w:pStyle w:val="Normln-tun"/>
              <w:rPr>
                <w:rFonts w:asciiTheme="minorHAnsi" w:hAnsiTheme="minorHAnsi" w:cstheme="minorHAnsi"/>
                <w:sz w:val="20"/>
                <w:szCs w:val="20"/>
              </w:rPr>
            </w:pPr>
            <w:r>
              <w:rPr>
                <w:rFonts w:asciiTheme="minorHAnsi" w:hAnsiTheme="minorHAnsi" w:cstheme="minorHAnsi"/>
                <w:b w:val="0"/>
                <w:bCs w:val="0"/>
                <w:sz w:val="20"/>
                <w:szCs w:val="20"/>
              </w:rPr>
              <w:lastRenderedPageBreak/>
              <w:t>N</w:t>
            </w:r>
            <w:r w:rsidRPr="009148EA">
              <w:rPr>
                <w:rFonts w:asciiTheme="minorHAnsi" w:hAnsiTheme="minorHAnsi" w:cstheme="minorHAnsi"/>
                <w:b w:val="0"/>
                <w:bCs w:val="0"/>
                <w:sz w:val="20"/>
                <w:szCs w:val="20"/>
              </w:rPr>
              <w:t xml:space="preserve">ejvětší šanci </w:t>
            </w:r>
            <w:r>
              <w:rPr>
                <w:rFonts w:asciiTheme="minorHAnsi" w:hAnsiTheme="minorHAnsi" w:cstheme="minorHAnsi"/>
                <w:b w:val="0"/>
                <w:bCs w:val="0"/>
                <w:sz w:val="20"/>
                <w:szCs w:val="20"/>
              </w:rPr>
              <w:t>u</w:t>
            </w:r>
            <w:r w:rsidRPr="009148EA">
              <w:rPr>
                <w:rFonts w:asciiTheme="minorHAnsi" w:hAnsiTheme="minorHAnsi" w:cstheme="minorHAnsi"/>
                <w:b w:val="0"/>
                <w:bCs w:val="0"/>
                <w:sz w:val="20"/>
                <w:szCs w:val="20"/>
              </w:rPr>
              <w:t xml:space="preserve">stát pravděpodobné spory ohledně ústavnosti takového řešení </w:t>
            </w:r>
            <w:r>
              <w:rPr>
                <w:rFonts w:asciiTheme="minorHAnsi" w:hAnsiTheme="minorHAnsi" w:cstheme="minorHAnsi"/>
                <w:b w:val="0"/>
                <w:bCs w:val="0"/>
                <w:sz w:val="20"/>
                <w:szCs w:val="20"/>
              </w:rPr>
              <w:t xml:space="preserve">má </w:t>
            </w:r>
            <w:r w:rsidRPr="009148EA">
              <w:rPr>
                <w:rFonts w:asciiTheme="minorHAnsi" w:hAnsiTheme="minorHAnsi" w:cstheme="minorHAnsi"/>
                <w:b w:val="0"/>
                <w:bCs w:val="0"/>
                <w:sz w:val="20"/>
                <w:szCs w:val="20"/>
              </w:rPr>
              <w:t xml:space="preserve">varianta zachování mezitímního rozhodnutí pouze pro vybrané stavby podle </w:t>
            </w:r>
            <w:r w:rsidR="00DD732B">
              <w:rPr>
                <w:rFonts w:asciiTheme="minorHAnsi" w:hAnsiTheme="minorHAnsi" w:cstheme="minorHAnsi"/>
                <w:b w:val="0"/>
                <w:bCs w:val="0"/>
                <w:sz w:val="20"/>
                <w:szCs w:val="20"/>
              </w:rPr>
              <w:t xml:space="preserve">liniového </w:t>
            </w:r>
            <w:r w:rsidRPr="009148EA">
              <w:rPr>
                <w:rFonts w:asciiTheme="minorHAnsi" w:hAnsiTheme="minorHAnsi" w:cstheme="minorHAnsi"/>
                <w:b w:val="0"/>
                <w:bCs w:val="0"/>
                <w:sz w:val="20"/>
                <w:szCs w:val="20"/>
              </w:rPr>
              <w:t xml:space="preserve">zákona. </w:t>
            </w:r>
          </w:p>
        </w:tc>
        <w:tc>
          <w:tcPr>
            <w:tcW w:w="4530" w:type="dxa"/>
            <w:shd w:val="clear" w:color="auto" w:fill="auto"/>
          </w:tcPr>
          <w:p w:rsidR="00DD732B" w:rsidRDefault="000865D6" w:rsidP="00432B62">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48EA">
              <w:rPr>
                <w:rFonts w:asciiTheme="minorHAnsi" w:hAnsiTheme="minorHAnsi" w:cstheme="minorHAnsi"/>
                <w:sz w:val="20"/>
                <w:szCs w:val="20"/>
              </w:rPr>
              <w:t>Jednoinstanční řízení v</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 xml:space="preserve">tak citlivé otázce, jakou </w:t>
            </w:r>
            <w:r w:rsidRPr="009148EA">
              <w:rPr>
                <w:rFonts w:asciiTheme="minorHAnsi" w:hAnsiTheme="minorHAnsi" w:cstheme="minorHAnsi"/>
                <w:sz w:val="20"/>
                <w:szCs w:val="20"/>
              </w:rPr>
              <w:t>je vyvlastnění, není na místě, navíc by se daly očekávat problémy s</w:t>
            </w:r>
            <w:r w:rsidR="009337CE">
              <w:rPr>
                <w:rFonts w:asciiTheme="minorHAnsi" w:hAnsiTheme="minorHAnsi" w:cstheme="minorHAnsi"/>
                <w:sz w:val="20"/>
                <w:szCs w:val="20"/>
              </w:rPr>
              <w:t xml:space="preserve"> </w:t>
            </w:r>
            <w:r w:rsidRPr="009148EA">
              <w:rPr>
                <w:rFonts w:asciiTheme="minorHAnsi" w:hAnsiTheme="minorHAnsi" w:cstheme="minorHAnsi"/>
                <w:sz w:val="20"/>
                <w:szCs w:val="20"/>
              </w:rPr>
              <w:t xml:space="preserve">ústavností takového řešení. </w:t>
            </w:r>
          </w:p>
          <w:p w:rsidR="00B807B3" w:rsidRPr="009148EA" w:rsidRDefault="000865D6" w:rsidP="00432B62">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148EA">
              <w:rPr>
                <w:rFonts w:asciiTheme="minorHAnsi" w:hAnsiTheme="minorHAnsi" w:cstheme="minorHAnsi"/>
                <w:sz w:val="20"/>
                <w:szCs w:val="20"/>
              </w:rPr>
              <w:t>Problém není v</w:t>
            </w:r>
            <w:r w:rsidR="008C1553">
              <w:rPr>
                <w:rFonts w:asciiTheme="minorHAnsi" w:hAnsiTheme="minorHAnsi" w:cstheme="minorHAnsi"/>
                <w:sz w:val="20"/>
                <w:szCs w:val="20"/>
              </w:rPr>
              <w:t>e</w:t>
            </w:r>
            <w:r w:rsidRPr="009148EA">
              <w:rPr>
                <w:rFonts w:asciiTheme="minorHAnsi" w:hAnsiTheme="minorHAnsi" w:cstheme="minorHAnsi"/>
                <w:sz w:val="20"/>
                <w:szCs w:val="20"/>
              </w:rPr>
              <w:t> druhé instanci správního řízení, ale v</w:t>
            </w:r>
            <w:r>
              <w:rPr>
                <w:rFonts w:asciiTheme="minorHAnsi" w:hAnsiTheme="minorHAnsi" w:cstheme="minorHAnsi"/>
                <w:b/>
                <w:bCs/>
                <w:sz w:val="20"/>
                <w:szCs w:val="20"/>
              </w:rPr>
              <w:t xml:space="preserve"> </w:t>
            </w:r>
            <w:r w:rsidRPr="009148EA">
              <w:rPr>
                <w:rFonts w:asciiTheme="minorHAnsi" w:hAnsiTheme="minorHAnsi" w:cstheme="minorHAnsi"/>
                <w:sz w:val="20"/>
                <w:szCs w:val="20"/>
              </w:rPr>
              <w:t>příliš často formalistickém a úzkostlivém rozhodování soudů. Pro případ vyvlastňovacích řízení nemá úřad</w:t>
            </w:r>
            <w:r w:rsidRPr="009148EA">
              <w:rPr>
                <w:rFonts w:asciiTheme="minorHAnsi" w:hAnsiTheme="minorHAnsi" w:cstheme="minorHAnsi"/>
                <w:sz w:val="20"/>
                <w:szCs w:val="20"/>
              </w:rPr>
              <w:t xml:space="preserve"> dostatečný vzorek, ale </w:t>
            </w:r>
            <w:r w:rsidR="008C1553">
              <w:rPr>
                <w:rFonts w:asciiTheme="minorHAnsi" w:hAnsiTheme="minorHAnsi" w:cstheme="minorHAnsi"/>
                <w:sz w:val="20"/>
                <w:szCs w:val="20"/>
              </w:rPr>
              <w:t>pokud</w:t>
            </w:r>
            <w:r w:rsidRPr="009148EA">
              <w:rPr>
                <w:rFonts w:asciiTheme="minorHAnsi" w:hAnsiTheme="minorHAnsi" w:cstheme="minorHAnsi"/>
                <w:sz w:val="20"/>
                <w:szCs w:val="20"/>
              </w:rPr>
              <w:t xml:space="preserve"> to bude obdobné jako v</w:t>
            </w:r>
            <w:r>
              <w:rPr>
                <w:rFonts w:asciiTheme="minorHAnsi" w:hAnsiTheme="minorHAnsi" w:cstheme="minorHAnsi"/>
                <w:b/>
                <w:bCs/>
                <w:sz w:val="20"/>
                <w:szCs w:val="20"/>
              </w:rPr>
              <w:t xml:space="preserve"> </w:t>
            </w:r>
            <w:r w:rsidRPr="009148EA">
              <w:rPr>
                <w:rFonts w:asciiTheme="minorHAnsi" w:hAnsiTheme="minorHAnsi" w:cstheme="minorHAnsi"/>
                <w:sz w:val="20"/>
                <w:szCs w:val="20"/>
              </w:rPr>
              <w:t xml:space="preserve">případě běžných správních žalob proti rozhodnutím dle stavebního zákona, </w:t>
            </w:r>
            <w:r w:rsidR="008C1553">
              <w:rPr>
                <w:rFonts w:asciiTheme="minorHAnsi" w:hAnsiTheme="minorHAnsi" w:cstheme="minorHAnsi"/>
                <w:sz w:val="20"/>
                <w:szCs w:val="20"/>
              </w:rPr>
              <w:t>skončí</w:t>
            </w:r>
            <w:r w:rsidRPr="009148EA">
              <w:rPr>
                <w:rFonts w:asciiTheme="minorHAnsi" w:hAnsiTheme="minorHAnsi" w:cstheme="minorHAnsi"/>
                <w:sz w:val="20"/>
                <w:szCs w:val="20"/>
              </w:rPr>
              <w:t xml:space="preserve"> téměř každý případ po zrušení soudem nakonec </w:t>
            </w:r>
            <w:r w:rsidR="008C1553">
              <w:rPr>
                <w:rFonts w:asciiTheme="minorHAnsi" w:hAnsiTheme="minorHAnsi" w:cstheme="minorHAnsi"/>
                <w:sz w:val="20"/>
                <w:szCs w:val="20"/>
              </w:rPr>
              <w:t xml:space="preserve">věcně </w:t>
            </w:r>
            <w:r w:rsidRPr="009148EA">
              <w:rPr>
                <w:rFonts w:asciiTheme="minorHAnsi" w:hAnsiTheme="minorHAnsi" w:cstheme="minorHAnsi"/>
                <w:sz w:val="20"/>
                <w:szCs w:val="20"/>
              </w:rPr>
              <w:t>stejn</w:t>
            </w:r>
            <w:r w:rsidR="008C1553">
              <w:rPr>
                <w:rFonts w:asciiTheme="minorHAnsi" w:hAnsiTheme="minorHAnsi" w:cstheme="minorHAnsi"/>
                <w:sz w:val="20"/>
                <w:szCs w:val="20"/>
              </w:rPr>
              <w:t>ým výsledkem,</w:t>
            </w:r>
            <w:r w:rsidRPr="009148EA">
              <w:rPr>
                <w:rFonts w:asciiTheme="minorHAnsi" w:hAnsiTheme="minorHAnsi" w:cstheme="minorHAnsi"/>
                <w:sz w:val="20"/>
                <w:szCs w:val="20"/>
              </w:rPr>
              <w:t xml:space="preserve"> jak</w:t>
            </w:r>
            <w:r w:rsidR="008C1553">
              <w:rPr>
                <w:rFonts w:asciiTheme="minorHAnsi" w:hAnsiTheme="minorHAnsi" w:cstheme="minorHAnsi"/>
                <w:sz w:val="20"/>
                <w:szCs w:val="20"/>
              </w:rPr>
              <w:t>ý byl</w:t>
            </w:r>
            <w:r w:rsidRPr="009148EA">
              <w:rPr>
                <w:rFonts w:asciiTheme="minorHAnsi" w:hAnsiTheme="minorHAnsi" w:cstheme="minorHAnsi"/>
                <w:sz w:val="20"/>
                <w:szCs w:val="20"/>
              </w:rPr>
              <w:t xml:space="preserve"> původně, pouze se rozhodnutí rozroste o dalš</w:t>
            </w:r>
            <w:r w:rsidRPr="009148EA">
              <w:rPr>
                <w:rFonts w:asciiTheme="minorHAnsi" w:hAnsiTheme="minorHAnsi" w:cstheme="minorHAnsi"/>
                <w:sz w:val="20"/>
                <w:szCs w:val="20"/>
              </w:rPr>
              <w:t>í odůvodnění</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4F62D2" w:rsidRDefault="000865D6" w:rsidP="00F942FA">
            <w:pPr>
              <w:pStyle w:val="Normln-tun"/>
              <w:rPr>
                <w:rFonts w:asciiTheme="minorHAnsi" w:hAnsiTheme="minorHAnsi" w:cstheme="minorHAnsi"/>
                <w:sz w:val="20"/>
                <w:szCs w:val="20"/>
              </w:rPr>
            </w:pPr>
            <w:r>
              <w:rPr>
                <w:rFonts w:asciiTheme="minorHAnsi" w:hAnsiTheme="minorHAnsi" w:cstheme="minorHAnsi"/>
                <w:b w:val="0"/>
                <w:bCs w:val="0"/>
                <w:sz w:val="20"/>
                <w:szCs w:val="20"/>
              </w:rPr>
              <w:t>Úřad jej b</w:t>
            </w:r>
            <w:r w:rsidR="00B807B3" w:rsidRPr="009148EA">
              <w:rPr>
                <w:rFonts w:asciiTheme="minorHAnsi" w:hAnsiTheme="minorHAnsi" w:cstheme="minorHAnsi"/>
                <w:b w:val="0"/>
                <w:bCs w:val="0"/>
                <w:sz w:val="20"/>
                <w:szCs w:val="20"/>
              </w:rPr>
              <w:t>ud</w:t>
            </w:r>
            <w:r w:rsidR="00F942FA">
              <w:rPr>
                <w:rFonts w:asciiTheme="minorHAnsi" w:hAnsiTheme="minorHAnsi" w:cstheme="minorHAnsi"/>
                <w:b w:val="0"/>
                <w:bCs w:val="0"/>
                <w:sz w:val="20"/>
                <w:szCs w:val="20"/>
              </w:rPr>
              <w:t>e</w:t>
            </w:r>
            <w:r w:rsidR="00B807B3" w:rsidRPr="009148EA">
              <w:rPr>
                <w:rFonts w:asciiTheme="minorHAnsi" w:hAnsiTheme="minorHAnsi" w:cstheme="minorHAnsi"/>
                <w:b w:val="0"/>
                <w:bCs w:val="0"/>
                <w:sz w:val="20"/>
                <w:szCs w:val="20"/>
              </w:rPr>
              <w:t xml:space="preserve"> vydávat poprvé, takže zatím </w:t>
            </w:r>
            <w:r w:rsidR="004D3AEE">
              <w:rPr>
                <w:rFonts w:asciiTheme="minorHAnsi" w:hAnsiTheme="minorHAnsi" w:cstheme="minorHAnsi"/>
                <w:b w:val="0"/>
                <w:bCs w:val="0"/>
                <w:sz w:val="20"/>
                <w:szCs w:val="20"/>
              </w:rPr>
              <w:t xml:space="preserve">je </w:t>
            </w:r>
            <w:r w:rsidR="00B807B3" w:rsidRPr="009148EA">
              <w:rPr>
                <w:rFonts w:asciiTheme="minorHAnsi" w:hAnsiTheme="minorHAnsi" w:cstheme="minorHAnsi"/>
                <w:b w:val="0"/>
                <w:bCs w:val="0"/>
                <w:sz w:val="20"/>
                <w:szCs w:val="20"/>
              </w:rPr>
              <w:t xml:space="preserve">bez </w:t>
            </w:r>
            <w:r w:rsidRPr="009148EA">
              <w:rPr>
                <w:rFonts w:asciiTheme="minorHAnsi" w:hAnsiTheme="minorHAnsi" w:cstheme="minorHAnsi"/>
                <w:b w:val="0"/>
                <w:bCs w:val="0"/>
                <w:sz w:val="20"/>
                <w:szCs w:val="20"/>
              </w:rPr>
              <w:t>zkušeností</w:t>
            </w:r>
            <w:r>
              <w:rPr>
                <w:rFonts w:asciiTheme="minorHAnsi" w:hAnsiTheme="minorHAnsi" w:cstheme="minorHAnsi"/>
                <w:b w:val="0"/>
                <w:bCs w:val="0"/>
                <w:sz w:val="20"/>
                <w:szCs w:val="20"/>
              </w:rPr>
              <w:t xml:space="preserve"> – v</w:t>
            </w:r>
            <w:r w:rsidR="00BD522B">
              <w:rPr>
                <w:rFonts w:asciiTheme="minorHAnsi" w:hAnsiTheme="minorHAnsi" w:cstheme="minorHAnsi"/>
                <w:b w:val="0"/>
                <w:bCs w:val="0"/>
                <w:sz w:val="20"/>
                <w:szCs w:val="20"/>
              </w:rPr>
              <w:t xml:space="preserve"> </w:t>
            </w:r>
            <w:r w:rsidR="00B807B3" w:rsidRPr="009148EA">
              <w:rPr>
                <w:rFonts w:asciiTheme="minorHAnsi" w:hAnsiTheme="minorHAnsi" w:cstheme="minorHAnsi"/>
                <w:b w:val="0"/>
                <w:bCs w:val="0"/>
                <w:sz w:val="20"/>
                <w:szCs w:val="20"/>
              </w:rPr>
              <w:t xml:space="preserve">roce 2021 </w:t>
            </w:r>
            <w:r>
              <w:rPr>
                <w:rFonts w:asciiTheme="minorHAnsi" w:hAnsiTheme="minorHAnsi" w:cstheme="minorHAnsi"/>
                <w:b w:val="0"/>
                <w:bCs w:val="0"/>
                <w:sz w:val="20"/>
                <w:szCs w:val="20"/>
              </w:rPr>
              <w:t>bylo</w:t>
            </w:r>
            <w:r w:rsidR="00B807B3" w:rsidRPr="009148EA">
              <w:rPr>
                <w:rFonts w:asciiTheme="minorHAnsi" w:hAnsiTheme="minorHAnsi" w:cstheme="minorHAnsi"/>
                <w:b w:val="0"/>
                <w:bCs w:val="0"/>
                <w:sz w:val="20"/>
                <w:szCs w:val="20"/>
              </w:rPr>
              <w:t xml:space="preserve"> </w:t>
            </w:r>
            <w:r>
              <w:rPr>
                <w:rFonts w:asciiTheme="minorHAnsi" w:hAnsiTheme="minorHAnsi" w:cstheme="minorHAnsi"/>
                <w:b w:val="0"/>
                <w:bCs w:val="0"/>
                <w:sz w:val="20"/>
                <w:szCs w:val="20"/>
              </w:rPr>
              <w:t xml:space="preserve">prvně </w:t>
            </w:r>
            <w:r w:rsidR="00B807B3" w:rsidRPr="009148EA">
              <w:rPr>
                <w:rFonts w:asciiTheme="minorHAnsi" w:hAnsiTheme="minorHAnsi" w:cstheme="minorHAnsi"/>
                <w:b w:val="0"/>
                <w:bCs w:val="0"/>
                <w:sz w:val="20"/>
                <w:szCs w:val="20"/>
              </w:rPr>
              <w:t xml:space="preserve">požádáno o </w:t>
            </w:r>
            <w:r>
              <w:rPr>
                <w:rFonts w:asciiTheme="minorHAnsi" w:hAnsiTheme="minorHAnsi" w:cstheme="minorHAnsi"/>
                <w:b w:val="0"/>
                <w:bCs w:val="0"/>
                <w:sz w:val="20"/>
                <w:szCs w:val="20"/>
              </w:rPr>
              <w:t>vydání</w:t>
            </w:r>
            <w:r w:rsidR="00B807B3" w:rsidRPr="009148EA">
              <w:rPr>
                <w:rFonts w:asciiTheme="minorHAnsi" w:hAnsiTheme="minorHAnsi" w:cstheme="minorHAnsi"/>
                <w:b w:val="0"/>
                <w:bCs w:val="0"/>
                <w:sz w:val="20"/>
                <w:szCs w:val="20"/>
              </w:rPr>
              <w:t xml:space="preserve"> mezitímního rozhodnutí</w:t>
            </w:r>
            <w:r>
              <w:rPr>
                <w:rFonts w:asciiTheme="minorHAnsi" w:hAnsiTheme="minorHAnsi" w:cstheme="minorHAnsi"/>
                <w:b w:val="0"/>
                <w:bCs w:val="0"/>
                <w:sz w:val="20"/>
                <w:szCs w:val="20"/>
              </w:rPr>
              <w:t>.</w:t>
            </w:r>
          </w:p>
          <w:p w:rsidR="00B807B3" w:rsidRPr="009148EA" w:rsidRDefault="000865D6" w:rsidP="00F942FA">
            <w:pPr>
              <w:pStyle w:val="Normln-tun"/>
              <w:rPr>
                <w:rFonts w:asciiTheme="minorHAnsi" w:hAnsiTheme="minorHAnsi" w:cstheme="minorHAnsi"/>
                <w:sz w:val="20"/>
                <w:szCs w:val="20"/>
              </w:rPr>
            </w:pPr>
            <w:r>
              <w:rPr>
                <w:rFonts w:asciiTheme="minorHAnsi" w:hAnsiTheme="minorHAnsi" w:cstheme="minorHAnsi"/>
                <w:b w:val="0"/>
                <w:bCs w:val="0"/>
                <w:sz w:val="20"/>
                <w:szCs w:val="20"/>
              </w:rPr>
              <w:t>P</w:t>
            </w:r>
            <w:r w:rsidRPr="009148EA">
              <w:rPr>
                <w:rFonts w:asciiTheme="minorHAnsi" w:hAnsiTheme="minorHAnsi" w:cstheme="minorHAnsi"/>
                <w:b w:val="0"/>
                <w:bCs w:val="0"/>
                <w:sz w:val="20"/>
                <w:szCs w:val="20"/>
              </w:rPr>
              <w:t>ro běžné vlastníky je nově konstruovaná obrana v</w:t>
            </w:r>
            <w:r>
              <w:rPr>
                <w:rFonts w:asciiTheme="minorHAnsi" w:hAnsiTheme="minorHAnsi" w:cstheme="minorHAnsi"/>
                <w:b w:val="0"/>
                <w:bCs w:val="0"/>
                <w:sz w:val="20"/>
                <w:szCs w:val="20"/>
              </w:rPr>
              <w:t>ůči</w:t>
            </w:r>
            <w:r w:rsidR="009337CE">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mezitímním</w:t>
            </w:r>
            <w:r>
              <w:rPr>
                <w:rFonts w:asciiTheme="minorHAnsi" w:hAnsiTheme="minorHAnsi" w:cstheme="minorHAnsi"/>
                <w:b w:val="0"/>
                <w:bCs w:val="0"/>
                <w:sz w:val="20"/>
                <w:szCs w:val="20"/>
              </w:rPr>
              <w:t>u</w:t>
            </w:r>
            <w:r w:rsidRPr="009148EA">
              <w:rPr>
                <w:rFonts w:asciiTheme="minorHAnsi" w:hAnsiTheme="minorHAnsi" w:cstheme="minorHAnsi"/>
                <w:b w:val="0"/>
                <w:bCs w:val="0"/>
                <w:sz w:val="20"/>
                <w:szCs w:val="20"/>
              </w:rPr>
              <w:t xml:space="preserve"> rozhodnutí (</w:t>
            </w:r>
            <w:r>
              <w:rPr>
                <w:rFonts w:asciiTheme="minorHAnsi" w:hAnsiTheme="minorHAnsi" w:cstheme="minorHAnsi"/>
                <w:b w:val="0"/>
                <w:bCs w:val="0"/>
                <w:sz w:val="20"/>
                <w:szCs w:val="20"/>
              </w:rPr>
              <w:t>pouze</w:t>
            </w:r>
            <w:r w:rsidRPr="009148EA">
              <w:rPr>
                <w:rFonts w:asciiTheme="minorHAnsi" w:hAnsiTheme="minorHAnsi" w:cstheme="minorHAnsi"/>
                <w:b w:val="0"/>
                <w:bCs w:val="0"/>
                <w:sz w:val="20"/>
                <w:szCs w:val="20"/>
              </w:rPr>
              <w:t xml:space="preserve"> soud</w:t>
            </w:r>
            <w:r>
              <w:rPr>
                <w:rFonts w:asciiTheme="minorHAnsi" w:hAnsiTheme="minorHAnsi" w:cstheme="minorHAnsi"/>
                <w:b w:val="0"/>
                <w:bCs w:val="0"/>
                <w:sz w:val="20"/>
                <w:szCs w:val="20"/>
              </w:rPr>
              <w:t>ní</w:t>
            </w:r>
            <w:r w:rsidRPr="009148EA">
              <w:rPr>
                <w:rFonts w:asciiTheme="minorHAnsi" w:hAnsiTheme="minorHAnsi" w:cstheme="minorHAnsi"/>
                <w:b w:val="0"/>
                <w:bCs w:val="0"/>
                <w:sz w:val="20"/>
                <w:szCs w:val="20"/>
              </w:rPr>
              <w:t xml:space="preserve">) matoucí, </w:t>
            </w:r>
            <w:r>
              <w:rPr>
                <w:rFonts w:asciiTheme="minorHAnsi" w:hAnsiTheme="minorHAnsi" w:cstheme="minorHAnsi"/>
                <w:b w:val="0"/>
                <w:bCs w:val="0"/>
                <w:sz w:val="20"/>
                <w:szCs w:val="20"/>
              </w:rPr>
              <w:t>neboť</w:t>
            </w:r>
            <w:r w:rsidRPr="009148EA">
              <w:rPr>
                <w:rFonts w:asciiTheme="minorHAnsi" w:hAnsiTheme="minorHAnsi" w:cstheme="minorHAnsi"/>
                <w:b w:val="0"/>
                <w:bCs w:val="0"/>
                <w:sz w:val="20"/>
                <w:szCs w:val="20"/>
              </w:rPr>
              <w:t xml:space="preserve"> zde není řádný opravný prostřede</w:t>
            </w:r>
            <w:r>
              <w:rPr>
                <w:rFonts w:asciiTheme="minorHAnsi" w:hAnsiTheme="minorHAnsi" w:cstheme="minorHAnsi"/>
                <w:b w:val="0"/>
                <w:bCs w:val="0"/>
                <w:sz w:val="20"/>
                <w:szCs w:val="20"/>
              </w:rPr>
              <w:t>k.</w:t>
            </w:r>
          </w:p>
          <w:p w:rsidR="00B807B3" w:rsidRPr="009148EA" w:rsidRDefault="000865D6" w:rsidP="002E2E01">
            <w:pPr>
              <w:pStyle w:val="Normln-tun"/>
              <w:rPr>
                <w:rFonts w:asciiTheme="minorHAnsi" w:hAnsiTheme="minorHAnsi" w:cstheme="minorHAnsi"/>
                <w:sz w:val="20"/>
                <w:szCs w:val="20"/>
              </w:rPr>
            </w:pPr>
            <w:r>
              <w:rPr>
                <w:rFonts w:asciiTheme="minorHAnsi" w:hAnsiTheme="minorHAnsi" w:cstheme="minorHAnsi"/>
                <w:b w:val="0"/>
                <w:bCs w:val="0"/>
                <w:sz w:val="20"/>
                <w:szCs w:val="20"/>
              </w:rPr>
              <w:t xml:space="preserve">Na druhou stranu </w:t>
            </w:r>
            <w:r w:rsidRPr="009148EA">
              <w:rPr>
                <w:rFonts w:asciiTheme="minorHAnsi" w:hAnsiTheme="minorHAnsi" w:cstheme="minorHAnsi"/>
                <w:b w:val="0"/>
                <w:bCs w:val="0"/>
                <w:sz w:val="20"/>
                <w:szCs w:val="20"/>
              </w:rPr>
              <w:t>je pravda, že námitky a požadav</w:t>
            </w:r>
            <w:r>
              <w:rPr>
                <w:rFonts w:asciiTheme="minorHAnsi" w:hAnsiTheme="minorHAnsi" w:cstheme="minorHAnsi"/>
                <w:b w:val="0"/>
                <w:bCs w:val="0"/>
                <w:sz w:val="20"/>
                <w:szCs w:val="20"/>
              </w:rPr>
              <w:t>ky</w:t>
            </w:r>
            <w:r w:rsidRPr="009148EA">
              <w:rPr>
                <w:rFonts w:asciiTheme="minorHAnsi" w:hAnsiTheme="minorHAnsi" w:cstheme="minorHAnsi"/>
                <w:b w:val="0"/>
                <w:bCs w:val="0"/>
                <w:sz w:val="20"/>
                <w:szCs w:val="20"/>
              </w:rPr>
              <w:t xml:space="preserve"> vlastníků jsou ve vyvlastňovacích řízeních </w:t>
            </w:r>
            <w:r w:rsidR="002E2E01">
              <w:rPr>
                <w:rFonts w:asciiTheme="minorHAnsi" w:hAnsiTheme="minorHAnsi" w:cstheme="minorHAnsi"/>
                <w:b w:val="0"/>
                <w:bCs w:val="0"/>
                <w:sz w:val="20"/>
                <w:szCs w:val="20"/>
              </w:rPr>
              <w:t>k </w:t>
            </w:r>
            <w:r w:rsidRPr="009148EA">
              <w:rPr>
                <w:rFonts w:asciiTheme="minorHAnsi" w:hAnsiTheme="minorHAnsi" w:cstheme="minorHAnsi"/>
                <w:b w:val="0"/>
                <w:bCs w:val="0"/>
                <w:sz w:val="20"/>
                <w:szCs w:val="20"/>
              </w:rPr>
              <w:t>liniový</w:t>
            </w:r>
            <w:r w:rsidR="002E2E01">
              <w:rPr>
                <w:rFonts w:asciiTheme="minorHAnsi" w:hAnsiTheme="minorHAnsi" w:cstheme="minorHAnsi"/>
                <w:b w:val="0"/>
                <w:bCs w:val="0"/>
                <w:sz w:val="20"/>
                <w:szCs w:val="20"/>
              </w:rPr>
              <w:t xml:space="preserve">m </w:t>
            </w:r>
            <w:r w:rsidRPr="009148EA">
              <w:rPr>
                <w:rFonts w:asciiTheme="minorHAnsi" w:hAnsiTheme="minorHAnsi" w:cstheme="minorHAnsi"/>
                <w:b w:val="0"/>
                <w:bCs w:val="0"/>
                <w:sz w:val="20"/>
                <w:szCs w:val="20"/>
              </w:rPr>
              <w:t>stavb</w:t>
            </w:r>
            <w:r w:rsidR="002E2E01">
              <w:rPr>
                <w:rFonts w:asciiTheme="minorHAnsi" w:hAnsiTheme="minorHAnsi" w:cstheme="minorHAnsi"/>
                <w:b w:val="0"/>
                <w:bCs w:val="0"/>
                <w:sz w:val="20"/>
                <w:szCs w:val="20"/>
              </w:rPr>
              <w:t>ám</w:t>
            </w:r>
            <w:r w:rsidRPr="009148EA">
              <w:rPr>
                <w:rFonts w:asciiTheme="minorHAnsi" w:hAnsiTheme="minorHAnsi" w:cstheme="minorHAnsi"/>
                <w:b w:val="0"/>
                <w:bCs w:val="0"/>
                <w:sz w:val="20"/>
                <w:szCs w:val="20"/>
              </w:rPr>
              <w:t xml:space="preserve"> často nesmyslné.</w:t>
            </w:r>
          </w:p>
        </w:tc>
        <w:tc>
          <w:tcPr>
            <w:tcW w:w="4530" w:type="dxa"/>
            <w:shd w:val="clear" w:color="auto" w:fill="auto"/>
          </w:tcPr>
          <w:p w:rsidR="00B807B3" w:rsidRPr="009148EA" w:rsidRDefault="000865D6" w:rsidP="00982FFF">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9148EA">
              <w:rPr>
                <w:rFonts w:asciiTheme="minorHAnsi" w:hAnsiTheme="minorHAnsi" w:cstheme="minorHAnsi"/>
                <w:sz w:val="20"/>
                <w:szCs w:val="20"/>
              </w:rPr>
              <w:t>eumím</w:t>
            </w:r>
            <w:r>
              <w:rPr>
                <w:rFonts w:asciiTheme="minorHAnsi" w:hAnsiTheme="minorHAnsi" w:cstheme="minorHAnsi"/>
                <w:sz w:val="20"/>
                <w:szCs w:val="20"/>
              </w:rPr>
              <w:t>e</w:t>
            </w:r>
            <w:r w:rsidRPr="009148EA">
              <w:rPr>
                <w:rFonts w:asciiTheme="minorHAnsi" w:hAnsiTheme="minorHAnsi" w:cstheme="minorHAnsi"/>
                <w:sz w:val="20"/>
                <w:szCs w:val="20"/>
              </w:rPr>
              <w:t xml:space="preserve"> posoudit v</w:t>
            </w:r>
            <w:r w:rsidR="006B537F">
              <w:rPr>
                <w:rFonts w:asciiTheme="minorHAnsi" w:hAnsiTheme="minorHAnsi" w:cstheme="minorHAnsi"/>
                <w:sz w:val="20"/>
                <w:szCs w:val="20"/>
              </w:rPr>
              <w:t xml:space="preserve"> </w:t>
            </w:r>
            <w:r w:rsidRPr="009148EA">
              <w:rPr>
                <w:rFonts w:asciiTheme="minorHAnsi" w:hAnsiTheme="minorHAnsi" w:cstheme="minorHAnsi"/>
                <w:sz w:val="20"/>
                <w:szCs w:val="20"/>
              </w:rPr>
              <w:t>širších souvislostech</w:t>
            </w:r>
            <w:r>
              <w:rPr>
                <w:rFonts w:asciiTheme="minorHAnsi" w:hAnsiTheme="minorHAnsi" w:cstheme="minorHAnsi"/>
                <w:sz w:val="20"/>
                <w:szCs w:val="20"/>
              </w:rPr>
              <w:t>, zda</w:t>
            </w:r>
            <w:r w:rsidRPr="009148EA">
              <w:rPr>
                <w:rFonts w:asciiTheme="minorHAnsi" w:hAnsiTheme="minorHAnsi" w:cstheme="minorHAnsi"/>
                <w:sz w:val="20"/>
                <w:szCs w:val="20"/>
              </w:rPr>
              <w:t xml:space="preserve"> stanovit jednoinstanční řízení u liniových staveb</w:t>
            </w:r>
            <w:r>
              <w:rPr>
                <w:rFonts w:asciiTheme="minorHAnsi" w:hAnsiTheme="minorHAnsi" w:cstheme="minorHAnsi"/>
                <w:sz w:val="20"/>
                <w:szCs w:val="20"/>
              </w:rPr>
              <w:t>.</w:t>
            </w:r>
          </w:p>
          <w:p w:rsidR="00B807B3" w:rsidRPr="009148EA" w:rsidRDefault="00B807B3" w:rsidP="00432B62">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C72A1" w:rsidTr="00FC72A1">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B807B3" w:rsidRPr="009148EA" w:rsidRDefault="000865D6" w:rsidP="00B807B3">
            <w:pPr>
              <w:pStyle w:val="Normln-tun"/>
              <w:rPr>
                <w:rFonts w:asciiTheme="minorHAnsi" w:hAnsiTheme="minorHAnsi" w:cstheme="minorHAnsi"/>
                <w:sz w:val="20"/>
                <w:szCs w:val="20"/>
              </w:rPr>
            </w:pPr>
            <w:r w:rsidRPr="009148EA">
              <w:rPr>
                <w:rFonts w:asciiTheme="minorHAnsi" w:hAnsiTheme="minorHAnsi" w:cstheme="minorHAnsi"/>
                <w:b w:val="0"/>
                <w:bCs w:val="0"/>
                <w:sz w:val="20"/>
                <w:szCs w:val="20"/>
              </w:rPr>
              <w:t>Institut mezitímního rozhodnutí navrhujeme ponechat pouze v liniovém zákoně, tedy pouze pro skutečně výjimečné případy, u nichž je zákonem definována jejich maximální naléhavost.</w:t>
            </w:r>
          </w:p>
          <w:p w:rsidR="00B807B3" w:rsidRPr="009148EA" w:rsidRDefault="00B807B3" w:rsidP="00B807B3">
            <w:pPr>
              <w:pStyle w:val="Normln-tun"/>
              <w:rPr>
                <w:rFonts w:asciiTheme="minorHAnsi" w:hAnsiTheme="minorHAnsi" w:cstheme="minorHAnsi"/>
                <w:sz w:val="20"/>
                <w:szCs w:val="20"/>
              </w:rPr>
            </w:pPr>
          </w:p>
        </w:tc>
        <w:tc>
          <w:tcPr>
            <w:tcW w:w="4530" w:type="dxa"/>
            <w:shd w:val="clear" w:color="auto" w:fill="auto"/>
          </w:tcPr>
          <w:p w:rsidR="00B807B3" w:rsidRPr="009148EA" w:rsidRDefault="000865D6" w:rsidP="00B807B3">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N</w:t>
            </w:r>
            <w:r w:rsidRPr="009148EA">
              <w:rPr>
                <w:rFonts w:asciiTheme="minorHAnsi" w:hAnsiTheme="minorHAnsi" w:cstheme="minorHAnsi"/>
                <w:sz w:val="20"/>
                <w:szCs w:val="20"/>
              </w:rPr>
              <w:t xml:space="preserve">emyslíme si, že by </w:t>
            </w:r>
            <w:r>
              <w:rPr>
                <w:rFonts w:asciiTheme="minorHAnsi" w:hAnsiTheme="minorHAnsi" w:cstheme="minorHAnsi"/>
                <w:sz w:val="20"/>
                <w:szCs w:val="20"/>
              </w:rPr>
              <w:t>je</w:t>
            </w:r>
            <w:r>
              <w:rPr>
                <w:rFonts w:asciiTheme="minorHAnsi" w:hAnsiTheme="minorHAnsi" w:cstheme="minorHAnsi"/>
                <w:sz w:val="20"/>
                <w:szCs w:val="20"/>
              </w:rPr>
              <w:t xml:space="preserve">dnoinstančnost </w:t>
            </w:r>
            <w:r w:rsidRPr="009148EA">
              <w:rPr>
                <w:rFonts w:asciiTheme="minorHAnsi" w:hAnsiTheme="minorHAnsi" w:cstheme="minorHAnsi"/>
                <w:sz w:val="20"/>
                <w:szCs w:val="20"/>
              </w:rPr>
              <w:t xml:space="preserve">byla správná cesta. Oproti jiným řízením vedených stavebními úřady (u všech ORP v našem kraji vykonává činnost vyvlastňovacího úřadu odbor stavebního úřadu) zůstává vyvlastňovací řízení výjimečným a ojedinělým postupem. Více jak třetina ORP </w:t>
            </w:r>
            <w:r w:rsidRPr="009148EA">
              <w:rPr>
                <w:rFonts w:asciiTheme="minorHAnsi" w:hAnsiTheme="minorHAnsi" w:cstheme="minorHAnsi"/>
                <w:sz w:val="20"/>
                <w:szCs w:val="20"/>
              </w:rPr>
              <w:t xml:space="preserve">v našem kraji za poslední tři roky nevedla dokonce žádné vyvlastňovací řízení a nepovažujeme tak za důvodné, aby se zrovna tento typ správního řízení, u </w:t>
            </w:r>
            <w:r w:rsidR="00FB4EF7">
              <w:rPr>
                <w:rFonts w:asciiTheme="minorHAnsi" w:hAnsiTheme="minorHAnsi" w:cstheme="minorHAnsi"/>
                <w:sz w:val="20"/>
                <w:szCs w:val="20"/>
              </w:rPr>
              <w:t>kterého</w:t>
            </w:r>
            <w:r w:rsidRPr="009148EA">
              <w:rPr>
                <w:rFonts w:asciiTheme="minorHAnsi" w:hAnsiTheme="minorHAnsi" w:cstheme="minorHAnsi"/>
                <w:sz w:val="20"/>
                <w:szCs w:val="20"/>
              </w:rPr>
              <w:t xml:space="preserve"> často chybí prvoinstančním úřadům předchozí zkušenosti, vyjímal z obecné zásady dvojinstančnost</w:t>
            </w:r>
            <w:r w:rsidRPr="009148EA">
              <w:rPr>
                <w:rFonts w:asciiTheme="minorHAnsi" w:hAnsiTheme="minorHAnsi" w:cstheme="minorHAnsi"/>
                <w:sz w:val="20"/>
                <w:szCs w:val="20"/>
              </w:rPr>
              <w:t>i. Dopady rozhodnutí o vyvlastnění do práv účastníků řízení jsou nadto zcela zásadní povahy, a i z tohoto důvodu tak nepovažujeme za správné, aby zrovna u tohoto typu správního řízení byla účastníkům odňata možnost odvolání.</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432B62" w:rsidRPr="009148EA" w:rsidRDefault="000865D6" w:rsidP="00432B62">
            <w:pPr>
              <w:pStyle w:val="Normln-tun"/>
              <w:rPr>
                <w:rFonts w:asciiTheme="minorHAnsi" w:hAnsiTheme="minorHAnsi" w:cstheme="minorHAnsi"/>
                <w:sz w:val="20"/>
                <w:szCs w:val="20"/>
              </w:rPr>
            </w:pPr>
            <w:r w:rsidRPr="009148EA">
              <w:rPr>
                <w:rFonts w:asciiTheme="minorHAnsi" w:hAnsiTheme="minorHAnsi" w:cstheme="minorHAnsi"/>
                <w:b w:val="0"/>
                <w:bCs w:val="0"/>
                <w:sz w:val="20"/>
                <w:szCs w:val="20"/>
              </w:rPr>
              <w:t>S</w:t>
            </w:r>
            <w:r>
              <w:rPr>
                <w:rFonts w:asciiTheme="minorHAnsi" w:hAnsiTheme="minorHAnsi" w:cstheme="minorHAnsi"/>
                <w:b w:val="0"/>
                <w:bCs w:val="0"/>
                <w:sz w:val="20"/>
                <w:szCs w:val="20"/>
              </w:rPr>
              <w:t xml:space="preserve"> </w:t>
            </w:r>
            <w:r w:rsidRPr="009148EA">
              <w:rPr>
                <w:rFonts w:asciiTheme="minorHAnsi" w:hAnsiTheme="minorHAnsi" w:cstheme="minorHAnsi"/>
                <w:b w:val="0"/>
                <w:bCs w:val="0"/>
                <w:sz w:val="20"/>
                <w:szCs w:val="20"/>
              </w:rPr>
              <w:t>mezitímním rozhodnutím nemám</w:t>
            </w:r>
            <w:r w:rsidRPr="009148EA">
              <w:rPr>
                <w:rFonts w:asciiTheme="minorHAnsi" w:hAnsiTheme="minorHAnsi" w:cstheme="minorHAnsi"/>
                <w:b w:val="0"/>
                <w:bCs w:val="0"/>
                <w:sz w:val="20"/>
                <w:szCs w:val="20"/>
              </w:rPr>
              <w:t>e zatím žádnou praktickou zkušenost, abychom mohli tento proces objektivně posoudit</w:t>
            </w:r>
          </w:p>
        </w:tc>
        <w:tc>
          <w:tcPr>
            <w:tcW w:w="4530" w:type="dxa"/>
            <w:shd w:val="clear" w:color="auto" w:fill="auto"/>
          </w:tcPr>
          <w:p w:rsidR="00432B62" w:rsidRPr="009148EA" w:rsidRDefault="00432B62" w:rsidP="00432B62">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r>
      <w:tr w:rsidR="00FC72A1" w:rsidTr="00FC72A1">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9148EA" w:rsidRPr="009148EA" w:rsidRDefault="009148EA" w:rsidP="00432B62">
            <w:pPr>
              <w:pStyle w:val="Normln-tun"/>
              <w:rPr>
                <w:rFonts w:asciiTheme="minorHAnsi" w:hAnsiTheme="minorHAnsi" w:cstheme="minorHAnsi"/>
                <w:sz w:val="20"/>
                <w:szCs w:val="20"/>
              </w:rPr>
            </w:pPr>
          </w:p>
        </w:tc>
        <w:tc>
          <w:tcPr>
            <w:tcW w:w="4530" w:type="dxa"/>
            <w:shd w:val="clear" w:color="auto" w:fill="auto"/>
          </w:tcPr>
          <w:p w:rsidR="009148EA" w:rsidRPr="009148EA" w:rsidRDefault="000865D6" w:rsidP="00432B62">
            <w:pPr>
              <w:pStyle w:val="Normln-tun"/>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9148EA">
              <w:rPr>
                <w:rFonts w:asciiTheme="minorHAnsi" w:hAnsiTheme="minorHAnsi" w:cstheme="minorHAnsi"/>
                <w:sz w:val="20"/>
                <w:szCs w:val="20"/>
              </w:rPr>
              <w:t>Dle našeho názoru by mohla být jednoinstančnost vyvlastňovacího řízení stanovena jako obecný princip vyvlastňovacího zákona, což by do jisté míry mohlo zefektivnit a ury</w:t>
            </w:r>
            <w:r w:rsidRPr="009148EA">
              <w:rPr>
                <w:rFonts w:asciiTheme="minorHAnsi" w:hAnsiTheme="minorHAnsi" w:cstheme="minorHAnsi"/>
                <w:sz w:val="20"/>
                <w:szCs w:val="20"/>
              </w:rPr>
              <w:t>chlit celý proces vyvlastnění, to vše za předpokladu, že v</w:t>
            </w:r>
            <w:r w:rsidR="006B537F">
              <w:rPr>
                <w:rFonts w:asciiTheme="minorHAnsi" w:hAnsiTheme="minorHAnsi" w:cstheme="minorHAnsi"/>
                <w:sz w:val="20"/>
                <w:szCs w:val="20"/>
              </w:rPr>
              <w:t xml:space="preserve"> </w:t>
            </w:r>
            <w:r w:rsidRPr="009148EA">
              <w:rPr>
                <w:rFonts w:asciiTheme="minorHAnsi" w:hAnsiTheme="minorHAnsi" w:cstheme="minorHAnsi"/>
                <w:sz w:val="20"/>
                <w:szCs w:val="20"/>
              </w:rPr>
              <w:t>soudním přezkumu bude uplatněn plný apelační princip.</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shd w:val="clear" w:color="auto" w:fill="auto"/>
          </w:tcPr>
          <w:p w:rsidR="009148EA" w:rsidRPr="009148EA" w:rsidRDefault="009148EA" w:rsidP="00432B62">
            <w:pPr>
              <w:pStyle w:val="Normln-tun"/>
              <w:rPr>
                <w:rFonts w:asciiTheme="minorHAnsi" w:hAnsiTheme="minorHAnsi" w:cstheme="minorHAnsi"/>
                <w:sz w:val="20"/>
                <w:szCs w:val="20"/>
              </w:rPr>
            </w:pPr>
          </w:p>
        </w:tc>
        <w:tc>
          <w:tcPr>
            <w:tcW w:w="4530" w:type="dxa"/>
            <w:shd w:val="clear" w:color="auto" w:fill="auto"/>
          </w:tcPr>
          <w:p w:rsidR="009148EA" w:rsidRPr="009148EA" w:rsidRDefault="000865D6" w:rsidP="00432B62">
            <w:pPr>
              <w:pStyle w:val="Normln-tun"/>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highlight w:val="yellow"/>
              </w:rPr>
            </w:pPr>
            <w:r w:rsidRPr="009148EA">
              <w:rPr>
                <w:rFonts w:asciiTheme="minorHAnsi" w:hAnsiTheme="minorHAnsi" w:cstheme="minorHAnsi"/>
                <w:sz w:val="20"/>
                <w:szCs w:val="20"/>
              </w:rPr>
              <w:t xml:space="preserve">Na našem odboru jsme se shodli na názoru, že upravení vyvlastňovacího řízení jako </w:t>
            </w:r>
            <w:r w:rsidRPr="009148EA">
              <w:rPr>
                <w:rFonts w:asciiTheme="minorHAnsi" w:hAnsiTheme="minorHAnsi" w:cstheme="minorHAnsi"/>
                <w:sz w:val="20"/>
                <w:szCs w:val="20"/>
              </w:rPr>
              <w:lastRenderedPageBreak/>
              <w:t>jednoinstančního procesu s</w:t>
            </w:r>
            <w:r w:rsidR="006B537F">
              <w:rPr>
                <w:rFonts w:asciiTheme="minorHAnsi" w:hAnsiTheme="minorHAnsi" w:cstheme="minorHAnsi"/>
                <w:sz w:val="20"/>
                <w:szCs w:val="20"/>
              </w:rPr>
              <w:t xml:space="preserve"> </w:t>
            </w:r>
            <w:r w:rsidRPr="009148EA">
              <w:rPr>
                <w:rFonts w:asciiTheme="minorHAnsi" w:hAnsiTheme="minorHAnsi" w:cstheme="minorHAnsi"/>
                <w:sz w:val="20"/>
                <w:szCs w:val="20"/>
              </w:rPr>
              <w:t xml:space="preserve">následným soudním přezkumem </w:t>
            </w:r>
            <w:r w:rsidRPr="009148EA">
              <w:rPr>
                <w:rFonts w:asciiTheme="minorHAnsi" w:hAnsiTheme="minorHAnsi" w:cstheme="minorHAnsi"/>
                <w:sz w:val="20"/>
                <w:szCs w:val="20"/>
              </w:rPr>
              <w:t>bychom preferovali spíše jen u těch vyhrazených staveb, nikoli jako obecný princip.</w:t>
            </w:r>
          </w:p>
        </w:tc>
      </w:tr>
    </w:tbl>
    <w:p w:rsidR="00432B62" w:rsidRDefault="00432B62" w:rsidP="00432B62">
      <w:pPr>
        <w:pStyle w:val="Normln-tun"/>
      </w:pPr>
    </w:p>
    <w:p w:rsidR="00284218" w:rsidRPr="00CA0CD6" w:rsidRDefault="000865D6" w:rsidP="00284218">
      <w:pPr>
        <w:pStyle w:val="Bullet1"/>
        <w:widowControl w:val="0"/>
        <w:numPr>
          <w:ilvl w:val="0"/>
          <w:numId w:val="0"/>
        </w:numPr>
        <w:spacing w:before="0"/>
        <w:jc w:val="both"/>
        <w:rPr>
          <w:rFonts w:ascii="Cambria" w:eastAsia="Calibri" w:hAnsi="Cambria"/>
          <w:b/>
          <w:bCs/>
          <w:sz w:val="24"/>
          <w:szCs w:val="22"/>
          <w:lang w:eastAsia="en-US"/>
        </w:rPr>
      </w:pPr>
      <w:r w:rsidRPr="00CA0CD6">
        <w:rPr>
          <w:rFonts w:ascii="Cambria" w:eastAsia="Calibri" w:hAnsi="Cambria"/>
          <w:b/>
          <w:bCs/>
          <w:sz w:val="24"/>
          <w:szCs w:val="22"/>
          <w:lang w:eastAsia="en-US"/>
        </w:rPr>
        <w:t>Vyvlastnitelé</w:t>
      </w:r>
      <w:r w:rsidR="008523C4" w:rsidRPr="00CA0CD6">
        <w:rPr>
          <w:rFonts w:ascii="Cambria" w:eastAsia="Calibri" w:hAnsi="Cambria"/>
          <w:b/>
          <w:bCs/>
          <w:sz w:val="24"/>
          <w:szCs w:val="22"/>
          <w:lang w:eastAsia="en-US"/>
        </w:rPr>
        <w:t xml:space="preserve"> obecně</w:t>
      </w:r>
    </w:p>
    <w:p w:rsidR="00665155" w:rsidRPr="001824A8" w:rsidRDefault="000865D6">
      <w:pPr>
        <w:pStyle w:val="Normln-tun"/>
        <w:numPr>
          <w:ilvl w:val="0"/>
          <w:numId w:val="90"/>
        </w:numPr>
      </w:pPr>
      <w:r w:rsidRPr="001824A8">
        <w:t xml:space="preserve">Doba průběhu vyvlastňovacího řízení se započítává do lhůt platnosti rozhodnutí k povolení stavby – dochází k situacím, kdy v důsledku obtížného </w:t>
      </w:r>
      <w:r w:rsidRPr="001824A8">
        <w:t>získávání vlastnických práv k dotčeným pozemkům vyprší platnost rozhodnutí a žadatel musí absolvovat celý proces znovu;</w:t>
      </w:r>
    </w:p>
    <w:p w:rsidR="00665155" w:rsidRPr="001824A8" w:rsidRDefault="000865D6">
      <w:pPr>
        <w:pStyle w:val="Normln-tun"/>
        <w:numPr>
          <w:ilvl w:val="0"/>
          <w:numId w:val="90"/>
        </w:numPr>
      </w:pPr>
      <w:r w:rsidRPr="001824A8">
        <w:t xml:space="preserve">U nemovitostí s více vlastníky </w:t>
      </w:r>
      <w:r w:rsidR="00D909DE" w:rsidRPr="001824A8">
        <w:t xml:space="preserve">(často </w:t>
      </w:r>
      <w:r w:rsidRPr="001824A8">
        <w:t>zemědělská půda</w:t>
      </w:r>
      <w:r w:rsidR="00D909DE" w:rsidRPr="001824A8">
        <w:t>)</w:t>
      </w:r>
      <w:r w:rsidRPr="001824A8">
        <w:t xml:space="preserve"> </w:t>
      </w:r>
      <w:r w:rsidR="008523C4" w:rsidRPr="001824A8">
        <w:t>je</w:t>
      </w:r>
      <w:r w:rsidRPr="001824A8">
        <w:t xml:space="preserve"> problém se dohodnout</w:t>
      </w:r>
      <w:r w:rsidR="00D909DE" w:rsidRPr="001824A8">
        <w:t xml:space="preserve"> se všemi</w:t>
      </w:r>
      <w:r w:rsidRPr="001824A8">
        <w:t>;</w:t>
      </w:r>
    </w:p>
    <w:p w:rsidR="00665155" w:rsidRPr="001824A8" w:rsidRDefault="000865D6">
      <w:pPr>
        <w:pStyle w:val="Normln-tun"/>
        <w:numPr>
          <w:ilvl w:val="0"/>
          <w:numId w:val="90"/>
        </w:numPr>
      </w:pPr>
      <w:r w:rsidRPr="001824A8">
        <w:t xml:space="preserve">U řady nemovitostí </w:t>
      </w:r>
      <w:r w:rsidR="008523C4" w:rsidRPr="001824A8">
        <w:t xml:space="preserve">činí problém </w:t>
      </w:r>
      <w:r w:rsidRPr="001824A8">
        <w:t>neprojednaná dě</w:t>
      </w:r>
      <w:r w:rsidRPr="001824A8">
        <w:t>dictví a také obtížná dostupnost některých vlastníků, kteří jsou v</w:t>
      </w:r>
      <w:r w:rsidR="00D909DE" w:rsidRPr="001824A8">
        <w:t> </w:t>
      </w:r>
      <w:r w:rsidRPr="001824A8">
        <w:t>zahraničí</w:t>
      </w:r>
      <w:r w:rsidR="00D909DE" w:rsidRPr="001824A8">
        <w:t>;</w:t>
      </w:r>
    </w:p>
    <w:p w:rsidR="00665155" w:rsidRPr="001824A8" w:rsidRDefault="000865D6">
      <w:pPr>
        <w:pStyle w:val="Normln-tun"/>
        <w:numPr>
          <w:ilvl w:val="0"/>
          <w:numId w:val="90"/>
        </w:numPr>
      </w:pPr>
      <w:r w:rsidRPr="001824A8">
        <w:t xml:space="preserve">U nemovitostí, které podléhají vyjádření </w:t>
      </w:r>
      <w:r w:rsidR="004F0C7C" w:rsidRPr="001824A8">
        <w:t>vlastníků – státních</w:t>
      </w:r>
      <w:r w:rsidRPr="001824A8">
        <w:t xml:space="preserve"> podniků</w:t>
      </w:r>
      <w:r w:rsidR="00D909DE" w:rsidRPr="001824A8">
        <w:t>,</w:t>
      </w:r>
      <w:r w:rsidRPr="001824A8">
        <w:t xml:space="preserve"> eventuálně státních organizací (vlastnické právo ČR) –</w:t>
      </w:r>
      <w:r w:rsidR="008523C4" w:rsidRPr="001824A8">
        <w:t xml:space="preserve"> </w:t>
      </w:r>
      <w:r w:rsidR="00D909DE" w:rsidRPr="001824A8">
        <w:t xml:space="preserve">jde o </w:t>
      </w:r>
      <w:r w:rsidRPr="001824A8">
        <w:t>složitý a zdlouhavý proces;</w:t>
      </w:r>
    </w:p>
    <w:p w:rsidR="00665155" w:rsidRPr="001824A8" w:rsidRDefault="000865D6">
      <w:pPr>
        <w:pStyle w:val="Normln-tun"/>
        <w:numPr>
          <w:ilvl w:val="0"/>
          <w:numId w:val="90"/>
        </w:numPr>
      </w:pPr>
      <w:r w:rsidRPr="001824A8">
        <w:t>V případě nemožnos</w:t>
      </w:r>
      <w:r w:rsidRPr="001824A8">
        <w:t xml:space="preserve">ti zabřemenění stavby </w:t>
      </w:r>
      <w:r w:rsidR="008523C4" w:rsidRPr="001824A8">
        <w:t xml:space="preserve">je </w:t>
      </w:r>
      <w:r w:rsidRPr="001824A8">
        <w:t xml:space="preserve">nutnost výkupu pozemků – potom bývá problémem cena, </w:t>
      </w:r>
      <w:r w:rsidR="008523C4" w:rsidRPr="001824A8">
        <w:t>ne</w:t>
      </w:r>
      <w:r w:rsidRPr="001824A8">
        <w:t xml:space="preserve">ochota prodat, někdy </w:t>
      </w:r>
      <w:r w:rsidR="008523C4" w:rsidRPr="001824A8">
        <w:t>je</w:t>
      </w:r>
      <w:r w:rsidRPr="001824A8">
        <w:t xml:space="preserve"> řešení</w:t>
      </w:r>
      <w:r w:rsidR="008523C4" w:rsidRPr="001824A8">
        <w:t>m</w:t>
      </w:r>
      <w:r w:rsidRPr="001824A8">
        <w:t xml:space="preserve"> volb</w:t>
      </w:r>
      <w:r w:rsidR="008523C4" w:rsidRPr="001824A8">
        <w:t>a</w:t>
      </w:r>
      <w:r w:rsidRPr="001824A8">
        <w:t xml:space="preserve"> jiné trasy, což znamená dopad na termíny a financování; </w:t>
      </w:r>
    </w:p>
    <w:p w:rsidR="00665155" w:rsidRPr="001824A8" w:rsidRDefault="000865D6">
      <w:pPr>
        <w:pStyle w:val="Normln-tun"/>
        <w:numPr>
          <w:ilvl w:val="0"/>
          <w:numId w:val="90"/>
        </w:numPr>
      </w:pPr>
      <w:r w:rsidRPr="001824A8">
        <w:t>Nejasnosti v oblasti metod oceňování věcných břemen (neexistence jednotné metodiky</w:t>
      </w:r>
      <w:r w:rsidRPr="001824A8">
        <w:t xml:space="preserve"> oceňování věcného břemene </w:t>
      </w:r>
      <w:r w:rsidR="00D909DE" w:rsidRPr="001824A8">
        <w:t xml:space="preserve">– relevantní především </w:t>
      </w:r>
      <w:r w:rsidRPr="001824A8">
        <w:t xml:space="preserve">pro liniové energetické stavby </w:t>
      </w:r>
      <w:r w:rsidR="00D909DE" w:rsidRPr="001824A8">
        <w:t>–</w:t>
      </w:r>
      <w:r w:rsidRPr="001824A8">
        <w:t xml:space="preserve"> </w:t>
      </w:r>
      <w:r w:rsidR="00D909DE" w:rsidRPr="001824A8">
        <w:t xml:space="preserve">obsahující návod pro odpovídající </w:t>
      </w:r>
      <w:r w:rsidRPr="001824A8">
        <w:t>rozsah</w:t>
      </w:r>
      <w:r w:rsidR="00D909DE" w:rsidRPr="001824A8">
        <w:t xml:space="preserve"> omezení vlastnického práva</w:t>
      </w:r>
      <w:r w:rsidRPr="001824A8">
        <w:t>, metod</w:t>
      </w:r>
      <w:r w:rsidR="00D909DE" w:rsidRPr="001824A8">
        <w:t>y ocenění</w:t>
      </w:r>
      <w:r w:rsidRPr="001824A8">
        <w:t xml:space="preserve">, </w:t>
      </w:r>
      <w:r w:rsidR="00D909DE" w:rsidRPr="001824A8">
        <w:t>z</w:t>
      </w:r>
      <w:r w:rsidRPr="001824A8">
        <w:t>důvodnění metod</w:t>
      </w:r>
      <w:r w:rsidR="00D909DE" w:rsidRPr="001824A8">
        <w:t xml:space="preserve"> atp.</w:t>
      </w:r>
      <w:r w:rsidRPr="001824A8">
        <w:t>);</w:t>
      </w:r>
      <w:r w:rsidR="000278EC" w:rsidRPr="001824A8">
        <w:t xml:space="preserve"> </w:t>
      </w:r>
    </w:p>
    <w:p w:rsidR="00D909DE" w:rsidRPr="001824A8" w:rsidRDefault="000865D6">
      <w:pPr>
        <w:pStyle w:val="Normln-tun"/>
        <w:numPr>
          <w:ilvl w:val="0"/>
          <w:numId w:val="90"/>
        </w:numPr>
      </w:pPr>
      <w:r w:rsidRPr="001824A8">
        <w:t>Historická nestabilita procesu způsobující, že relevantní osoby</w:t>
      </w:r>
      <w:r w:rsidRPr="001824A8">
        <w:t xml:space="preserve"> odmítají zřízení věcného břemene (příp. prodej dotčených pozemků) s případným očekáváním změny ceny;</w:t>
      </w:r>
    </w:p>
    <w:p w:rsidR="00665155" w:rsidRPr="001824A8" w:rsidRDefault="000865D6">
      <w:pPr>
        <w:pStyle w:val="Normln-tun"/>
        <w:numPr>
          <w:ilvl w:val="0"/>
          <w:numId w:val="90"/>
        </w:numPr>
      </w:pPr>
      <w:r w:rsidRPr="001824A8">
        <w:t>Nereálné požadavky na kupní cen</w:t>
      </w:r>
      <w:r w:rsidR="00D909DE" w:rsidRPr="001824A8">
        <w:t>u ze strany vyvlastňovaných;</w:t>
      </w:r>
    </w:p>
    <w:p w:rsidR="00665155" w:rsidRPr="00CA0CD6" w:rsidRDefault="000865D6">
      <w:pPr>
        <w:pStyle w:val="Normln-tun"/>
        <w:numPr>
          <w:ilvl w:val="1"/>
          <w:numId w:val="90"/>
        </w:numPr>
      </w:pPr>
      <w:r w:rsidRPr="00CA0CD6">
        <w:t xml:space="preserve">V případech, kdy je výkup pozemků nutný </w:t>
      </w:r>
      <w:r w:rsidR="00D909DE" w:rsidRPr="00CA0CD6">
        <w:t xml:space="preserve">např. </w:t>
      </w:r>
      <w:r w:rsidRPr="00CA0CD6">
        <w:t>pro investiční výstavbu a rekonstrukce silnic fi</w:t>
      </w:r>
      <w:r w:rsidRPr="00CA0CD6">
        <w:t>nancovaných především z dotací, dochází k situaci, která jde řešit pouze dvěma způsoby.</w:t>
      </w:r>
      <w:r w:rsidR="00D909DE" w:rsidRPr="00CA0CD6">
        <w:t xml:space="preserve"> </w:t>
      </w:r>
      <w:r w:rsidRPr="00CA0CD6">
        <w:t xml:space="preserve">Pokud není </w:t>
      </w:r>
      <w:r w:rsidR="00D909DE" w:rsidRPr="00CA0CD6">
        <w:t>požadavek zcela</w:t>
      </w:r>
      <w:r w:rsidRPr="00CA0CD6">
        <w:t xml:space="preserve"> přehnan</w:t>
      </w:r>
      <w:r w:rsidR="00D909DE" w:rsidRPr="00CA0CD6">
        <w:t>ý</w:t>
      </w:r>
      <w:r w:rsidRPr="00CA0CD6">
        <w:t>, kraj</w:t>
      </w:r>
      <w:r w:rsidR="00D909DE" w:rsidRPr="00CA0CD6">
        <w:t xml:space="preserve"> (investor)</w:t>
      </w:r>
      <w:r w:rsidRPr="00CA0CD6">
        <w:t xml:space="preserve"> na n</w:t>
      </w:r>
      <w:r w:rsidR="00D909DE" w:rsidRPr="00CA0CD6">
        <w:t>ěj</w:t>
      </w:r>
      <w:r w:rsidRPr="00CA0CD6">
        <w:t xml:space="preserve"> přistoupí.</w:t>
      </w:r>
      <w:r w:rsidR="00D909DE" w:rsidRPr="00CA0CD6">
        <w:t xml:space="preserve"> </w:t>
      </w:r>
      <w:r w:rsidRPr="00CA0CD6">
        <w:t>Čím dál častě</w:t>
      </w:r>
      <w:r w:rsidR="00D909DE" w:rsidRPr="00CA0CD6">
        <w:t>jší</w:t>
      </w:r>
      <w:r w:rsidRPr="00CA0CD6">
        <w:t xml:space="preserve"> je však druh</w:t>
      </w:r>
      <w:r w:rsidR="00D909DE" w:rsidRPr="00CA0CD6">
        <w:t>á</w:t>
      </w:r>
      <w:r w:rsidRPr="00CA0CD6">
        <w:t xml:space="preserve"> variant</w:t>
      </w:r>
      <w:r w:rsidR="00D909DE" w:rsidRPr="00CA0CD6">
        <w:t>a</w:t>
      </w:r>
      <w:r w:rsidRPr="00CA0CD6">
        <w:t xml:space="preserve">, což je vyvlastnění za cenu dle znaleckého posudku. Tato </w:t>
      </w:r>
      <w:r w:rsidRPr="00CA0CD6">
        <w:t>možnost sice ve výsledku vede k získání pozemku, ale jde o proces časově velmi náročný, trvající i jeden až dva roky;</w:t>
      </w:r>
    </w:p>
    <w:p w:rsidR="00665155" w:rsidRPr="00CA0CD6" w:rsidRDefault="000865D6">
      <w:pPr>
        <w:pStyle w:val="Normln-tun"/>
        <w:numPr>
          <w:ilvl w:val="1"/>
          <w:numId w:val="90"/>
        </w:numPr>
      </w:pPr>
      <w:r w:rsidRPr="00CA0CD6">
        <w:t xml:space="preserve">Od 1. 8. 2019 jsou vyvlastňovací řízení v případě </w:t>
      </w:r>
      <w:r w:rsidR="00AD1B36" w:rsidRPr="00CA0CD6">
        <w:t>staveb dopravní infrastruktury</w:t>
      </w:r>
      <w:r w:rsidRPr="00CA0CD6">
        <w:t xml:space="preserve"> v kompetenci krajských úřadů. </w:t>
      </w:r>
      <w:r w:rsidR="00AD1B36" w:rsidRPr="00CA0CD6">
        <w:t>V </w:t>
      </w:r>
      <w:r w:rsidRPr="00CA0CD6">
        <w:t>případě</w:t>
      </w:r>
      <w:r w:rsidR="00AD1B36" w:rsidRPr="00CA0CD6">
        <w:t>, že</w:t>
      </w:r>
      <w:r w:rsidRPr="00CA0CD6">
        <w:t xml:space="preserve"> vyvlastnitele</w:t>
      </w:r>
      <w:r w:rsidRPr="00CA0CD6">
        <w:t xml:space="preserve">m </w:t>
      </w:r>
      <w:r w:rsidR="00AD1B36" w:rsidRPr="00CA0CD6">
        <w:t xml:space="preserve">je </w:t>
      </w:r>
      <w:r w:rsidRPr="00CA0CD6">
        <w:t>kraj</w:t>
      </w:r>
      <w:r w:rsidR="00AD1B36" w:rsidRPr="00CA0CD6">
        <w:t xml:space="preserve"> a vyvlastňovací řízení by měl vést stejný krajský úřad</w:t>
      </w:r>
      <w:r w:rsidRPr="00CA0CD6">
        <w:t>, musí ministerstvo případem pověřit jiný krajský úřad. Z toho plyne, že zde bude delší časová lhůta na vyřízení případu.</w:t>
      </w:r>
    </w:p>
    <w:p w:rsidR="003212B3" w:rsidRPr="00CA0CD6" w:rsidRDefault="000865D6">
      <w:pPr>
        <w:pStyle w:val="Normln-tun"/>
        <w:numPr>
          <w:ilvl w:val="0"/>
          <w:numId w:val="91"/>
        </w:numPr>
      </w:pPr>
      <w:r w:rsidRPr="00CA0CD6">
        <w:t>Výkup pozemků je vždy první volbou. Je však časově, finančně a adminis</w:t>
      </w:r>
      <w:r w:rsidRPr="00CA0CD6">
        <w:t>trativně náročný. Často se nepodaří vykoupit všechny pozemky. Jako příklad lze uvést snahu konkrétní obce postavit protipovodňové opatření. Z 500 vlastníků potřebných pozemků byla uzavřena dohoda se všemi vyjma 2. Následovalo vyvlastnění, čímž však došlo k</w:t>
      </w:r>
      <w:r w:rsidRPr="00CA0CD6">
        <w:t xml:space="preserve"> prodražení stavby.</w:t>
      </w:r>
    </w:p>
    <w:p w:rsidR="003212B3" w:rsidRPr="00CA0CD6" w:rsidRDefault="000865D6">
      <w:pPr>
        <w:pStyle w:val="Normln-tun"/>
        <w:numPr>
          <w:ilvl w:val="0"/>
          <w:numId w:val="91"/>
        </w:numPr>
      </w:pPr>
      <w:r w:rsidRPr="00CA0CD6">
        <w:lastRenderedPageBreak/>
        <w:t xml:space="preserve">Jako příklad problémů lze uvést i např. nevypořádané vlastnické vztahy v kauze budoucího nového terminálu v Chlumci nad Cidlinou. Projekt </w:t>
      </w:r>
      <w:r w:rsidR="00CE7E60" w:rsidRPr="00CA0CD6">
        <w:t>zde</w:t>
      </w:r>
      <w:r w:rsidRPr="00CA0CD6">
        <w:t xml:space="preserve"> dlouhodobě brzdí nevyřešené vlastnické vztahy na části pozemku o rozloze 300 m2, které město s</w:t>
      </w:r>
      <w:r w:rsidRPr="00CA0CD6">
        <w:t>poluvlastní s podílem ideální jedné poloviny. Druhá polovina pozemku patří dávno zemřelému vlastníkovi, který v minulosti odešel do Francie</w:t>
      </w:r>
      <w:r>
        <w:footnoteReference w:id="7"/>
      </w:r>
      <w:r w:rsidRPr="00CA0CD6">
        <w:t>.</w:t>
      </w:r>
    </w:p>
    <w:p w:rsidR="00665155" w:rsidRPr="00CA0CD6" w:rsidRDefault="000865D6">
      <w:pPr>
        <w:pStyle w:val="Normln-tun"/>
        <w:numPr>
          <w:ilvl w:val="0"/>
          <w:numId w:val="91"/>
        </w:numPr>
      </w:pPr>
      <w:r w:rsidRPr="00CA0CD6">
        <w:t xml:space="preserve">Řada pozemků je zatížena exekucemi. Velmi často se </w:t>
      </w:r>
      <w:r w:rsidR="00986266" w:rsidRPr="00CA0CD6">
        <w:t>investor</w:t>
      </w:r>
      <w:r w:rsidRPr="00CA0CD6">
        <w:t xml:space="preserve"> potýká s tím, že na vlastníka pozemku je uvalena celá </w:t>
      </w:r>
      <w:r w:rsidRPr="00CA0CD6">
        <w:t>řada exekucí, což velmi komplikuje jejich vymazávání na listech vlastnictví. Dohledávání exekucí, komunikace s exekutory, častá neochota vlastníků, to vše významně prodlužuje výkup pozemků.</w:t>
      </w:r>
    </w:p>
    <w:p w:rsidR="00665155" w:rsidRPr="00CA0CD6" w:rsidRDefault="000865D6">
      <w:pPr>
        <w:pStyle w:val="Normln-tun"/>
        <w:numPr>
          <w:ilvl w:val="0"/>
          <w:numId w:val="91"/>
        </w:numPr>
      </w:pPr>
      <w:r w:rsidRPr="00CA0CD6">
        <w:t>„Byla by potřeba revize počtu, případně zpřesnění definic titulů p</w:t>
      </w:r>
      <w:r w:rsidRPr="00CA0CD6">
        <w:t>ro vyvlastnění. V současnosti je totiž stanovuje víc než deset zvláštních zákonů“.</w:t>
      </w:r>
    </w:p>
    <w:p w:rsidR="003141E5" w:rsidRPr="00CA0CD6" w:rsidRDefault="000865D6">
      <w:pPr>
        <w:pStyle w:val="Normln-tun"/>
        <w:numPr>
          <w:ilvl w:val="0"/>
          <w:numId w:val="91"/>
        </w:numPr>
      </w:pPr>
      <w:r w:rsidRPr="00CA0CD6">
        <w:t xml:space="preserve">Nevyhovující praxe zadávání znaleckých posudků k určení náhrady za </w:t>
      </w:r>
      <w:r w:rsidR="000915CB" w:rsidRPr="00CA0CD6">
        <w:t>vyvlastnění – vyvlastnitel</w:t>
      </w:r>
      <w:r w:rsidR="002C3386" w:rsidRPr="00CA0CD6">
        <w:t xml:space="preserve"> </w:t>
      </w:r>
      <w:r w:rsidRPr="00CA0CD6">
        <w:t xml:space="preserve">je povinen předložit k návrhu smlouvy na zřízení věcného břemene znalecký </w:t>
      </w:r>
      <w:r w:rsidRPr="00CA0CD6">
        <w:t xml:space="preserve">posudek, a následně ve vyvlastňovacím řízení musí splnění této povinnosti prokázat, zpravidla založením znaleckého posudku spolu s návrhem smlouvy o věcném břemeni do spisu vyvlastňovacího řízení. Tento znalecký posudek je pro účely vyvlastňovacího řízení </w:t>
      </w:r>
      <w:r w:rsidRPr="00CA0CD6">
        <w:t>prakticky vždy nevyužitelný, protože k jeho zpracování vyvlastňovaný nedal souhlas (§ 20 odst. 1</w:t>
      </w:r>
      <w:r w:rsidR="002C3386" w:rsidRPr="00CA0CD6">
        <w:t xml:space="preserve"> VyvlZ)</w:t>
      </w:r>
      <w:r w:rsidRPr="00CA0CD6">
        <w:t xml:space="preserve">. Pro účely vyvlastňovacího řízení tak zpravidla vyvlastňovací úřad musí opatřit další znalecký posudek od znalce ustanoveného ve vyvlastňovacím řízení. </w:t>
      </w:r>
      <w:r w:rsidRPr="00CA0CD6">
        <w:t xml:space="preserve">Tento další znalecký posudek musí opět hradit vyvlastnitel. </w:t>
      </w:r>
    </w:p>
    <w:p w:rsidR="00665155" w:rsidRPr="001824A8" w:rsidRDefault="000865D6" w:rsidP="001824A8">
      <w:pPr>
        <w:pStyle w:val="Normln-tun"/>
        <w:rPr>
          <w:u w:val="single"/>
        </w:rPr>
      </w:pPr>
      <w:r w:rsidRPr="001824A8">
        <w:rPr>
          <w:u w:val="single"/>
        </w:rPr>
        <w:t xml:space="preserve">ŘSD </w:t>
      </w:r>
      <w:r w:rsidR="003030B7" w:rsidRPr="001824A8">
        <w:rPr>
          <w:u w:val="single"/>
        </w:rPr>
        <w:t xml:space="preserve">ČR </w:t>
      </w:r>
      <w:r w:rsidRPr="001824A8">
        <w:rPr>
          <w:u w:val="single"/>
        </w:rPr>
        <w:t>jako jeden z nejčastějších vyvlastnitelů</w:t>
      </w:r>
    </w:p>
    <w:p w:rsidR="00665155" w:rsidRPr="001824A8" w:rsidRDefault="000865D6" w:rsidP="001824A8">
      <w:pPr>
        <w:pStyle w:val="Normln-tun"/>
        <w:rPr>
          <w:i/>
          <w:iCs/>
        </w:rPr>
      </w:pPr>
      <w:r w:rsidRPr="001824A8">
        <w:rPr>
          <w:i/>
          <w:iCs/>
        </w:rPr>
        <w:t>„Výše kupní ceny:</w:t>
      </w:r>
    </w:p>
    <w:p w:rsidR="00665155" w:rsidRPr="001824A8" w:rsidRDefault="000865D6">
      <w:pPr>
        <w:pStyle w:val="Normln-tun"/>
        <w:numPr>
          <w:ilvl w:val="0"/>
          <w:numId w:val="92"/>
        </w:numPr>
        <w:rPr>
          <w:i/>
          <w:iCs/>
        </w:rPr>
      </w:pPr>
      <w:r w:rsidRPr="001824A8">
        <w:rPr>
          <w:i/>
          <w:iCs/>
        </w:rPr>
        <w:t>ŘSD ČR, jako státní příspěvková organizace, je při sjednávání kupních cen limitována jak co do způsobu jejich stanovení, tak co d</w:t>
      </w:r>
      <w:r w:rsidRPr="001824A8">
        <w:rPr>
          <w:i/>
          <w:iCs/>
        </w:rPr>
        <w:t>o výše</w:t>
      </w:r>
      <w:r w:rsidR="00971BE4" w:rsidRPr="001824A8">
        <w:rPr>
          <w:i/>
          <w:iCs/>
        </w:rPr>
        <w:t>,</w:t>
      </w:r>
      <w:r w:rsidRPr="001824A8">
        <w:rPr>
          <w:i/>
          <w:iCs/>
        </w:rPr>
        <w:t xml:space="preserve"> tj</w:t>
      </w:r>
      <w:r w:rsidR="00971BE4" w:rsidRPr="001824A8">
        <w:rPr>
          <w:i/>
          <w:iCs/>
        </w:rPr>
        <w:t>.</w:t>
      </w:r>
      <w:r w:rsidRPr="001824A8">
        <w:rPr>
          <w:i/>
          <w:iCs/>
        </w:rPr>
        <w:t xml:space="preserve"> v této pro vlastníka nejdůležitější otázce existuje limit, který nelze překročit</w:t>
      </w:r>
      <w:r w:rsidR="003030B7" w:rsidRPr="001824A8">
        <w:rPr>
          <w:i/>
          <w:iCs/>
        </w:rPr>
        <w:t>;</w:t>
      </w:r>
    </w:p>
    <w:p w:rsidR="00665155" w:rsidRPr="001824A8" w:rsidRDefault="000865D6">
      <w:pPr>
        <w:pStyle w:val="Normln-tun"/>
        <w:numPr>
          <w:ilvl w:val="0"/>
          <w:numId w:val="92"/>
        </w:numPr>
        <w:rPr>
          <w:i/>
          <w:iCs/>
        </w:rPr>
      </w:pPr>
      <w:r w:rsidRPr="001824A8">
        <w:rPr>
          <w:i/>
          <w:iCs/>
        </w:rPr>
        <w:t xml:space="preserve">Důsledkem častých změn způsobu oceňování je situace, kdy se v průběhu přípravy jedné konkrétní stavby nabízí vlastníkům rozdílné ceny za srovnatelné nemovitosti, </w:t>
      </w:r>
      <w:r w:rsidRPr="001824A8">
        <w:rPr>
          <w:i/>
          <w:iCs/>
        </w:rPr>
        <w:t>což ochotu vlastníků uzavřít kupní smlouvu příliš nezvyšuje;</w:t>
      </w:r>
    </w:p>
    <w:p w:rsidR="00665155" w:rsidRPr="001824A8" w:rsidRDefault="000865D6">
      <w:pPr>
        <w:pStyle w:val="Normln-tun"/>
        <w:numPr>
          <w:ilvl w:val="0"/>
          <w:numId w:val="92"/>
        </w:numPr>
        <w:rPr>
          <w:i/>
          <w:iCs/>
        </w:rPr>
      </w:pPr>
      <w:r w:rsidRPr="001824A8">
        <w:rPr>
          <w:i/>
          <w:iCs/>
        </w:rPr>
        <w:lastRenderedPageBreak/>
        <w:t>Od 1. 5. 2016 dle zákona o urychlení výstavby se obvyklá cena pozemku stanovuje podle jeho skutečného stavu a účelu využití bez přihlédnutí k tomu, že je určen k uskutečnění stavby dopravní infra</w:t>
      </w:r>
      <w:r w:rsidRPr="001824A8">
        <w:rPr>
          <w:i/>
          <w:iCs/>
        </w:rPr>
        <w:t>struktury, navýšená v případě skutečných stavebních pozemků 1,15x a v případě všech ostatních 8x;</w:t>
      </w:r>
    </w:p>
    <w:p w:rsidR="003054A4" w:rsidRPr="001824A8" w:rsidRDefault="000865D6">
      <w:pPr>
        <w:pStyle w:val="Normln-tun"/>
        <w:numPr>
          <w:ilvl w:val="0"/>
          <w:numId w:val="92"/>
        </w:numPr>
        <w:rPr>
          <w:i/>
          <w:iCs/>
        </w:rPr>
      </w:pPr>
      <w:r w:rsidRPr="001824A8">
        <w:rPr>
          <w:i/>
          <w:iCs/>
        </w:rPr>
        <w:t>Rozdílné ceny ve znaleckých posudcích – v posudcích investora je cena obvyklá, cena zjištěná podle cenový předpisů, a v posudcích vyvlastňovacího úřadu se uvá</w:t>
      </w:r>
      <w:r w:rsidRPr="001824A8">
        <w:rPr>
          <w:i/>
          <w:iCs/>
        </w:rPr>
        <w:t>dí i cena tržní, která je obvykle vyšší, a proto nakonec vyvlastňovací úřad stanoví náhradu za tuto cenu. K vyvlastňovacímu řízení často dochází právě kvůli neshodě v metodě stanovení kupní ceny, i když nakonec vyvlastněný dostane náhradu ve výši tržní cen</w:t>
      </w:r>
      <w:r w:rsidRPr="001824A8">
        <w:rPr>
          <w:i/>
          <w:iCs/>
        </w:rPr>
        <w:t>y.</w:t>
      </w:r>
    </w:p>
    <w:p w:rsidR="003054A4" w:rsidRPr="001824A8" w:rsidRDefault="000865D6">
      <w:pPr>
        <w:pStyle w:val="Normln-tun"/>
        <w:numPr>
          <w:ilvl w:val="0"/>
          <w:numId w:val="92"/>
        </w:numPr>
        <w:rPr>
          <w:i/>
          <w:iCs/>
        </w:rPr>
      </w:pPr>
      <w:r w:rsidRPr="001824A8">
        <w:rPr>
          <w:i/>
          <w:iCs/>
        </w:rPr>
        <w:t>Dle názoru vlastníků jsou nabízené ceny za nemovité věci nízké a nekopírují současný vývoj cen v oblasti realitního trhu. Vlastníci rozporují ceny nemovitostí stanovené znaleckými posudky; někdy předloží svůj, účelově vyhotovený posudek, s několikanásob</w:t>
      </w:r>
      <w:r w:rsidRPr="001824A8">
        <w:rPr>
          <w:i/>
          <w:iCs/>
        </w:rPr>
        <w:t>ně vyšší cenou.</w:t>
      </w:r>
    </w:p>
    <w:p w:rsidR="003054A4" w:rsidRPr="001824A8" w:rsidRDefault="000865D6">
      <w:pPr>
        <w:pStyle w:val="Normln-tun"/>
        <w:numPr>
          <w:ilvl w:val="0"/>
          <w:numId w:val="92"/>
        </w:numPr>
        <w:rPr>
          <w:i/>
          <w:iCs/>
        </w:rPr>
      </w:pPr>
      <w:r w:rsidRPr="001824A8">
        <w:rPr>
          <w:i/>
          <w:iCs/>
        </w:rPr>
        <w:t xml:space="preserve">Postup při úhradě náhrady za vyvlastnění vyvlastňovanému: Rozhodnutím o vyvlastnění vzniká povinnost uhradit náhradu za vyvlastnění nemovitosti – většinou poštovní poukázkou (vyvlastňovaný nespolupracuje nebo není ochoten poskytnout </w:t>
      </w:r>
      <w:r w:rsidRPr="001824A8">
        <w:rPr>
          <w:i/>
          <w:iCs/>
        </w:rPr>
        <w:t>bankovní spojení). V případě, že se jedná o nižší finanční částku, vždy po druhém vrácení nevyplacené poukázky jsme nuceni požádat příslušný soud o soudní úschovu. V mnoha případech finanční náhrada ze soudní úschovy propadne po uplynutí zákonné lhůty stát</w:t>
      </w:r>
      <w:r w:rsidRPr="001824A8">
        <w:rPr>
          <w:i/>
          <w:iCs/>
        </w:rPr>
        <w:t>u. Všechny tyto úkony, správní a soudní poplatky, poštovné a jiné jsou ve výsledku několikanásobně nákladnější než výše samotné náhrady.</w:t>
      </w:r>
    </w:p>
    <w:p w:rsidR="003054A4" w:rsidRPr="001824A8" w:rsidRDefault="000865D6">
      <w:pPr>
        <w:pStyle w:val="Normln-tun"/>
        <w:numPr>
          <w:ilvl w:val="0"/>
          <w:numId w:val="92"/>
        </w:numPr>
        <w:rPr>
          <w:i/>
          <w:iCs/>
        </w:rPr>
      </w:pPr>
      <w:r w:rsidRPr="001824A8">
        <w:rPr>
          <w:i/>
          <w:iCs/>
        </w:rPr>
        <w:t>Velké časové prodlevy při oznámení o nabytí právní moci vyvlastnění (14 dní - 1 měsíc) z důvodu nepřebírání pošty vyvla</w:t>
      </w:r>
      <w:r w:rsidRPr="001824A8">
        <w:rPr>
          <w:i/>
          <w:iCs/>
        </w:rPr>
        <w:t>stňovaným – závisí na vracení doručenek – investorovi běží lhůta pro platbu 60 dní od nabytí právní moci (vyznačuje se zpětně) - v případě zasílání platby složenkou a při jejím nepřevzetí, čeká složenka na poště 4 týdny; pak je problém zajistit včasné zapl</w:t>
      </w:r>
      <w:r w:rsidRPr="001824A8">
        <w:rPr>
          <w:i/>
          <w:iCs/>
        </w:rPr>
        <w:t>acení při nepřevzetí složenky;</w:t>
      </w:r>
      <w:r w:rsidRPr="001824A8">
        <w:rPr>
          <w:i/>
          <w:iCs/>
        </w:rPr>
        <w:tab/>
        <w:t xml:space="preserve"> bylo by vhodné zavést úpravu zaplacení náhrady "do 60 dnů od vyznačení právní moci". </w:t>
      </w:r>
    </w:p>
    <w:p w:rsidR="003054A4" w:rsidRPr="001824A8" w:rsidRDefault="000865D6">
      <w:pPr>
        <w:pStyle w:val="Normln-tun"/>
        <w:numPr>
          <w:ilvl w:val="0"/>
          <w:numId w:val="92"/>
        </w:numPr>
        <w:rPr>
          <w:i/>
          <w:iCs/>
        </w:rPr>
      </w:pPr>
      <w:r w:rsidRPr="001824A8">
        <w:rPr>
          <w:i/>
          <w:iCs/>
        </w:rPr>
        <w:t xml:space="preserve">Vyvlastňovací úřad nezjišťuje čísla bankovních účtů pro zaplacení náhrady, investor pak musí platby posílat složenkami (problém u vyšších </w:t>
      </w:r>
      <w:r w:rsidRPr="001824A8">
        <w:rPr>
          <w:i/>
          <w:iCs/>
        </w:rPr>
        <w:t>částek nad 270 tis.)</w:t>
      </w:r>
      <w:r w:rsidRPr="001824A8">
        <w:rPr>
          <w:i/>
          <w:iCs/>
        </w:rPr>
        <w:tab/>
        <w:t xml:space="preserve"> - byl by vhodný požadavek na vyvlastňovací úřad, aby uváděl čísla bankovních účtů do rozhodnutí. Pro případ, že vyvlastňovaný odmítá přebírat poštu, nekomunikuje, by bylo vhodné uvádět bankovní účet do rozhodnutí.</w:t>
      </w:r>
    </w:p>
    <w:p w:rsidR="00E0061D" w:rsidRPr="001824A8" w:rsidRDefault="000865D6">
      <w:pPr>
        <w:pStyle w:val="Normln-tun"/>
        <w:numPr>
          <w:ilvl w:val="0"/>
          <w:numId w:val="92"/>
        </w:numPr>
        <w:rPr>
          <w:i/>
          <w:iCs/>
        </w:rPr>
      </w:pPr>
      <w:r w:rsidRPr="001824A8">
        <w:rPr>
          <w:i/>
          <w:iCs/>
        </w:rPr>
        <w:t>Stanovení náhrady za</w:t>
      </w:r>
      <w:r w:rsidRPr="001824A8">
        <w:rPr>
          <w:i/>
          <w:iCs/>
        </w:rPr>
        <w:t xml:space="preserve"> vyvlastnění: § 5/2 a) zákona o vyvlastnění a § 3b liniového zákona – k návrhu smlouvy přikládá vyvlastnitel posudek, dle kterého nabídl cenu - tj. cenu obvyklou stanovenou ke dni nabytí právní moci povolení či odeslání návrhu kupní smlouvy. Tento znalecký</w:t>
      </w:r>
      <w:r w:rsidRPr="001824A8">
        <w:rPr>
          <w:i/>
          <w:iCs/>
        </w:rPr>
        <w:t xml:space="preserve"> posudek pak vyvlastnitel přikládá k žádosti na zahájení vyvlastňovacího řízení (§ 18/3 d) zákona o vyvlastnění – zde zůstalo navíc původní znění před novelou § 20/1), zákon vyžaduje již i cenu zjištěnou. Náhrada za vyvlastnění se pak stanoví dle oceňovací</w:t>
      </w:r>
      <w:r w:rsidRPr="001824A8">
        <w:rPr>
          <w:i/>
          <w:iCs/>
        </w:rPr>
        <w:t>ho předpisu účinného ke dni rozhodování. Vyvlastňovací úřad tak vyžaduje aktualizaci posudku (z důvodu časové prodlevy mezi vyhotovením znaleckého posudku pro účely zaslání návrhu kupní smlouvy a rozhodováním o vyvlastnění a z důvodu potřeby zjistit cenu z</w:t>
      </w:r>
      <w:r w:rsidRPr="001824A8">
        <w:rPr>
          <w:i/>
          <w:iCs/>
        </w:rPr>
        <w:t>jištěnou). U nově vyhotovených znaleckých posudků je v těchto dle § 1c/1 oceňovací vyhlášky již zapracována i cena zjištěná. Do budoucna zůstává tedy problematika "časové platnosti" stanovené ceny obvyklé v případě ocenění dle posudku vyvlastnitele. § 3b/4</w:t>
      </w:r>
      <w:r w:rsidRPr="001824A8">
        <w:rPr>
          <w:i/>
          <w:iCs/>
        </w:rPr>
        <w:t xml:space="preserve"> liniového zákona – lhůta 3 let se vztahuje pouze k nabídce kupní ceny, nikoli k určení </w:t>
      </w:r>
      <w:r w:rsidRPr="001824A8">
        <w:rPr>
          <w:i/>
          <w:iCs/>
        </w:rPr>
        <w:lastRenderedPageBreak/>
        <w:t>náhrady za vyvlastnění – bylo by vhodné stanovit časovou platnost znaleckého posudku i pro účel vyvlastnění.</w:t>
      </w:r>
    </w:p>
    <w:p w:rsidR="00665155" w:rsidRPr="001824A8" w:rsidRDefault="000865D6" w:rsidP="001824A8">
      <w:pPr>
        <w:pStyle w:val="Normln-tun"/>
        <w:rPr>
          <w:i/>
          <w:iCs/>
        </w:rPr>
      </w:pPr>
      <w:r w:rsidRPr="001824A8">
        <w:rPr>
          <w:i/>
          <w:iCs/>
        </w:rPr>
        <w:t>Požadavky na směnu:</w:t>
      </w:r>
    </w:p>
    <w:p w:rsidR="003030B7" w:rsidRPr="001824A8" w:rsidRDefault="000865D6">
      <w:pPr>
        <w:pStyle w:val="Normln-tun"/>
        <w:numPr>
          <w:ilvl w:val="0"/>
          <w:numId w:val="93"/>
        </w:numPr>
        <w:rPr>
          <w:i/>
          <w:iCs/>
        </w:rPr>
      </w:pPr>
      <w:r w:rsidRPr="001824A8">
        <w:rPr>
          <w:i/>
          <w:iCs/>
        </w:rPr>
        <w:t>S</w:t>
      </w:r>
      <w:r w:rsidR="00665155" w:rsidRPr="001824A8">
        <w:rPr>
          <w:i/>
          <w:iCs/>
        </w:rPr>
        <w:t xml:space="preserve">měna obecně dle § 3 d zákona o urychlení </w:t>
      </w:r>
      <w:r w:rsidRPr="001824A8">
        <w:rPr>
          <w:i/>
          <w:iCs/>
        </w:rPr>
        <w:t xml:space="preserve">výstavby </w:t>
      </w:r>
      <w:r w:rsidR="00665155" w:rsidRPr="001824A8">
        <w:rPr>
          <w:i/>
          <w:iCs/>
        </w:rPr>
        <w:t>dovolena je a může se týkat pozemků ve vlastnictví ČR nebo právnické osoby zřízené zákonem nebo zřízené nebo založené státem, vůči níž je stát ovládající osobou</w:t>
      </w:r>
      <w:r w:rsidRPr="001824A8">
        <w:rPr>
          <w:i/>
          <w:iCs/>
        </w:rPr>
        <w:t xml:space="preserve">; </w:t>
      </w:r>
      <w:r w:rsidR="00665155" w:rsidRPr="001824A8">
        <w:rPr>
          <w:i/>
          <w:iCs/>
        </w:rPr>
        <w:t xml:space="preserve">směnu požadují obvykle </w:t>
      </w:r>
    </w:p>
    <w:p w:rsidR="003030B7" w:rsidRPr="001824A8" w:rsidRDefault="000865D6">
      <w:pPr>
        <w:pStyle w:val="Normln-tun"/>
        <w:numPr>
          <w:ilvl w:val="0"/>
          <w:numId w:val="93"/>
        </w:numPr>
        <w:rPr>
          <w:i/>
          <w:iCs/>
        </w:rPr>
      </w:pPr>
      <w:r w:rsidRPr="001824A8">
        <w:rPr>
          <w:i/>
          <w:iCs/>
        </w:rPr>
        <w:t>V</w:t>
      </w:r>
      <w:r w:rsidR="00665155" w:rsidRPr="001824A8">
        <w:rPr>
          <w:i/>
          <w:iCs/>
        </w:rPr>
        <w:t>lastníci zemědělské nebo lesní půdy, aby nedošlo ke snížení plochy</w:t>
      </w:r>
      <w:r w:rsidRPr="001824A8">
        <w:rPr>
          <w:i/>
          <w:iCs/>
        </w:rPr>
        <w:t xml:space="preserve">, na níž mohou </w:t>
      </w:r>
      <w:r w:rsidR="000915CB" w:rsidRPr="001824A8">
        <w:rPr>
          <w:i/>
          <w:iCs/>
        </w:rPr>
        <w:t>podnikat – problémem</w:t>
      </w:r>
      <w:r w:rsidRPr="001824A8">
        <w:rPr>
          <w:i/>
          <w:iCs/>
        </w:rPr>
        <w:t xml:space="preserve"> je, že ŘSD ČR není příslušné hospodařit s příliš mnoha pozemky přijatelnými pro první skupinu vlastníků a poskytnutí pozemků od ostatních státních subjektů závisí na právních předpisech, kterými jsou povinny se řídit, na potřebnosti pro jejich činnost, na</w:t>
      </w:r>
      <w:r w:rsidRPr="001824A8">
        <w:rPr>
          <w:i/>
          <w:iCs/>
        </w:rPr>
        <w:t xml:space="preserve"> vnitroorganizačních předpisech;</w:t>
      </w:r>
    </w:p>
    <w:p w:rsidR="00665155" w:rsidRPr="001824A8" w:rsidRDefault="000865D6">
      <w:pPr>
        <w:pStyle w:val="Normln-tun"/>
        <w:numPr>
          <w:ilvl w:val="0"/>
          <w:numId w:val="93"/>
        </w:numPr>
        <w:rPr>
          <w:i/>
          <w:iCs/>
        </w:rPr>
      </w:pPr>
      <w:r w:rsidRPr="001824A8">
        <w:rPr>
          <w:i/>
          <w:iCs/>
        </w:rPr>
        <w:t>Vlastníci ze spekulačních důvodů, kteří mají obvykle požadavek na směnu za pozemky např. pod stávajícími odpočívkami; tyto požadované pozemky jsou ovšem pro činnost ŘSD ČR potřebné, tj. směna nepřipadá v úvahu;</w:t>
      </w:r>
    </w:p>
    <w:p w:rsidR="00665155" w:rsidRPr="001824A8" w:rsidRDefault="000865D6" w:rsidP="001824A8">
      <w:pPr>
        <w:pStyle w:val="Normln-tun"/>
        <w:rPr>
          <w:i/>
          <w:iCs/>
        </w:rPr>
      </w:pPr>
      <w:r w:rsidRPr="001824A8">
        <w:rPr>
          <w:i/>
          <w:iCs/>
        </w:rPr>
        <w:t>Požadavky na</w:t>
      </w:r>
      <w:r w:rsidRPr="001824A8">
        <w:rPr>
          <w:i/>
          <w:iCs/>
        </w:rPr>
        <w:t xml:space="preserve"> odkup tzv. zbytkových pozemků:</w:t>
      </w:r>
    </w:p>
    <w:p w:rsidR="00665155" w:rsidRPr="001824A8" w:rsidRDefault="000865D6">
      <w:pPr>
        <w:pStyle w:val="Normln-tun"/>
        <w:numPr>
          <w:ilvl w:val="0"/>
          <w:numId w:val="94"/>
        </w:numPr>
        <w:rPr>
          <w:i/>
          <w:iCs/>
        </w:rPr>
      </w:pPr>
      <w:r w:rsidRPr="001824A8">
        <w:rPr>
          <w:i/>
          <w:iCs/>
        </w:rPr>
        <w:t>Teprve od 31. 8. 2018 je dle § 3 b odst. 6 zákona o urychlení výstavby možno rozšířit předmět smlouvy o pozemky, které by v důsledku převodu práv k pozemkům pro stavbu potřebným nebylo možno užívat vůbec nebo jen s nepřiměře</w:t>
      </w:r>
      <w:r w:rsidRPr="001824A8">
        <w:rPr>
          <w:i/>
          <w:iCs/>
        </w:rPr>
        <w:t>nými obtížemi, problém zde tak byl částečně vyřešen;</w:t>
      </w:r>
    </w:p>
    <w:p w:rsidR="00665155" w:rsidRPr="001824A8" w:rsidRDefault="000865D6" w:rsidP="001824A8">
      <w:pPr>
        <w:pStyle w:val="Normln-tun"/>
        <w:rPr>
          <w:i/>
          <w:iCs/>
        </w:rPr>
      </w:pPr>
      <w:r w:rsidRPr="001824A8">
        <w:rPr>
          <w:i/>
          <w:iCs/>
        </w:rPr>
        <w:t>Pozemky ve spoluvlastnictví:</w:t>
      </w:r>
    </w:p>
    <w:p w:rsidR="00665155" w:rsidRPr="001824A8" w:rsidRDefault="000865D6">
      <w:pPr>
        <w:pStyle w:val="Normln-tun"/>
        <w:numPr>
          <w:ilvl w:val="0"/>
          <w:numId w:val="94"/>
        </w:numPr>
        <w:rPr>
          <w:i/>
          <w:iCs/>
        </w:rPr>
      </w:pPr>
      <w:r w:rsidRPr="001824A8">
        <w:rPr>
          <w:i/>
          <w:iCs/>
        </w:rPr>
        <w:t>Od 1. 1. 2018 zavedl občanský zákoník opět obecné předkupní právo spoluvlastníků. V případech většího množství spoluvlastníků je téměř nemožné zajistit podpisy všech na jedné</w:t>
      </w:r>
      <w:r w:rsidRPr="001824A8">
        <w:rPr>
          <w:i/>
          <w:iCs/>
        </w:rPr>
        <w:t xml:space="preserve"> kupní smlouvě (některý spoluvlastník prodat nechce, proti některému je vedena exekuce, originál smlouvy s ověřenými podpisy se ztrácí atd.). Pokud byla potřeba uzavírat kupní smlouvy na jednotlivé podíly a nevystavovat se možnosti jejich napadení, bylo tř</w:t>
      </w:r>
      <w:r w:rsidRPr="001824A8">
        <w:rPr>
          <w:i/>
          <w:iCs/>
        </w:rPr>
        <w:t>eba zajistit splnění podmínek v rámci předkupního práva, což značně komplik</w:t>
      </w:r>
      <w:r w:rsidR="00C31845" w:rsidRPr="001824A8">
        <w:rPr>
          <w:i/>
          <w:iCs/>
        </w:rPr>
        <w:t>ovalo</w:t>
      </w:r>
      <w:r w:rsidRPr="001824A8">
        <w:rPr>
          <w:i/>
          <w:iCs/>
        </w:rPr>
        <w:t xml:space="preserve"> majetkoprávní přípravu. </w:t>
      </w:r>
      <w:r w:rsidR="00C31845" w:rsidRPr="001824A8">
        <w:rPr>
          <w:i/>
          <w:iCs/>
        </w:rPr>
        <w:t>P</w:t>
      </w:r>
      <w:r w:rsidRPr="001824A8">
        <w:rPr>
          <w:i/>
          <w:iCs/>
        </w:rPr>
        <w:t>roto od 31</w:t>
      </w:r>
      <w:r w:rsidR="00C31845" w:rsidRPr="001824A8">
        <w:rPr>
          <w:i/>
          <w:iCs/>
        </w:rPr>
        <w:t>.</w:t>
      </w:r>
      <w:r w:rsidRPr="001824A8">
        <w:rPr>
          <w:i/>
          <w:iCs/>
        </w:rPr>
        <w:t xml:space="preserve"> 8</w:t>
      </w:r>
      <w:r w:rsidR="00C31845" w:rsidRPr="001824A8">
        <w:rPr>
          <w:i/>
          <w:iCs/>
        </w:rPr>
        <w:t>. 2018 obsahuje zákon o urychlení výstavby nové znění § 3</w:t>
      </w:r>
      <w:r w:rsidRPr="001824A8">
        <w:rPr>
          <w:i/>
          <w:iCs/>
        </w:rPr>
        <w:t>a, které při převodu práv potřebných pro uskutečnění našich staveb zákonné předk</w:t>
      </w:r>
      <w:r w:rsidRPr="001824A8">
        <w:rPr>
          <w:i/>
          <w:iCs/>
        </w:rPr>
        <w:t>upní právo spoluvlastníka vylučuje</w:t>
      </w:r>
      <w:r w:rsidR="00C31845" w:rsidRPr="001824A8">
        <w:rPr>
          <w:i/>
          <w:iCs/>
        </w:rPr>
        <w:t>;</w:t>
      </w:r>
    </w:p>
    <w:p w:rsidR="00665155" w:rsidRPr="001824A8" w:rsidRDefault="000865D6" w:rsidP="001824A8">
      <w:pPr>
        <w:pStyle w:val="Normln-tun"/>
        <w:rPr>
          <w:i/>
          <w:iCs/>
        </w:rPr>
      </w:pPr>
      <w:r w:rsidRPr="001824A8">
        <w:rPr>
          <w:i/>
          <w:iCs/>
        </w:rPr>
        <w:t xml:space="preserve">Zatížení pozemků typicky </w:t>
      </w:r>
      <w:r w:rsidR="000915CB" w:rsidRPr="001824A8">
        <w:rPr>
          <w:i/>
          <w:iCs/>
        </w:rPr>
        <w:t>exekuce – zkušeností</w:t>
      </w:r>
      <w:r w:rsidRPr="001824A8">
        <w:rPr>
          <w:i/>
          <w:iCs/>
        </w:rPr>
        <w:t xml:space="preserve"> je, že s exekutory se dohodnout téměř nedá</w:t>
      </w:r>
      <w:r w:rsidR="00C31845" w:rsidRPr="001824A8">
        <w:rPr>
          <w:i/>
          <w:iCs/>
        </w:rPr>
        <w:t>.</w:t>
      </w:r>
      <w:r w:rsidRPr="001824A8">
        <w:rPr>
          <w:i/>
          <w:iCs/>
        </w:rPr>
        <w:t xml:space="preserve"> </w:t>
      </w:r>
      <w:r w:rsidR="00C31845" w:rsidRPr="001824A8">
        <w:rPr>
          <w:i/>
          <w:iCs/>
        </w:rPr>
        <w:t>V</w:t>
      </w:r>
      <w:r w:rsidRPr="001824A8">
        <w:rPr>
          <w:i/>
          <w:iCs/>
        </w:rPr>
        <w:t xml:space="preserve"> těchto případech je podáván návrh na vyvlastnění</w:t>
      </w:r>
      <w:r w:rsidR="00C31845" w:rsidRPr="001824A8">
        <w:rPr>
          <w:i/>
          <w:iCs/>
        </w:rPr>
        <w:t>;</w:t>
      </w:r>
    </w:p>
    <w:p w:rsidR="00665155" w:rsidRPr="001824A8" w:rsidRDefault="000865D6" w:rsidP="001824A8">
      <w:pPr>
        <w:pStyle w:val="Normln-tun"/>
        <w:rPr>
          <w:i/>
          <w:iCs/>
        </w:rPr>
      </w:pPr>
      <w:r w:rsidRPr="001824A8">
        <w:rPr>
          <w:i/>
          <w:iCs/>
        </w:rPr>
        <w:t>Přechod stávajících nájemních či pachtovních vztahů</w:t>
      </w:r>
      <w:r w:rsidR="00C31845" w:rsidRPr="001824A8">
        <w:rPr>
          <w:i/>
          <w:iCs/>
        </w:rPr>
        <w:t xml:space="preserve"> </w:t>
      </w:r>
      <w:r w:rsidRPr="001824A8">
        <w:rPr>
          <w:i/>
          <w:iCs/>
        </w:rPr>
        <w:t>spojený s nabytím vlastnic</w:t>
      </w:r>
      <w:r w:rsidRPr="001824A8">
        <w:rPr>
          <w:i/>
          <w:iCs/>
        </w:rPr>
        <w:t xml:space="preserve">kého </w:t>
      </w:r>
      <w:r w:rsidR="000915CB" w:rsidRPr="001824A8">
        <w:rPr>
          <w:i/>
          <w:iCs/>
        </w:rPr>
        <w:t>práva – pokud</w:t>
      </w:r>
      <w:r w:rsidRPr="001824A8">
        <w:rPr>
          <w:i/>
          <w:iCs/>
        </w:rPr>
        <w:t xml:space="preserve"> se nepodařilo ukončit nájemní nebo pachtovní vztah dohodou, výpovědi k</w:t>
      </w:r>
      <w:r w:rsidR="00C31845" w:rsidRPr="001824A8">
        <w:rPr>
          <w:i/>
          <w:iCs/>
        </w:rPr>
        <w:t> </w:t>
      </w:r>
      <w:r w:rsidRPr="001824A8">
        <w:rPr>
          <w:i/>
          <w:iCs/>
        </w:rPr>
        <w:t>1</w:t>
      </w:r>
      <w:r w:rsidR="00C31845" w:rsidRPr="001824A8">
        <w:rPr>
          <w:i/>
          <w:iCs/>
        </w:rPr>
        <w:t>.</w:t>
      </w:r>
      <w:r w:rsidRPr="001824A8">
        <w:rPr>
          <w:i/>
          <w:iCs/>
        </w:rPr>
        <w:t xml:space="preserve"> 10</w:t>
      </w:r>
      <w:r w:rsidR="00C31845" w:rsidRPr="001824A8">
        <w:rPr>
          <w:i/>
          <w:iCs/>
        </w:rPr>
        <w:t>.</w:t>
      </w:r>
      <w:r w:rsidRPr="001824A8">
        <w:rPr>
          <w:i/>
          <w:iCs/>
        </w:rPr>
        <w:t xml:space="preserve"> v lepším případě již následujícího</w:t>
      </w:r>
      <w:r w:rsidR="00C31845" w:rsidRPr="001824A8">
        <w:rPr>
          <w:i/>
          <w:iCs/>
        </w:rPr>
        <w:t xml:space="preserve"> </w:t>
      </w:r>
      <w:r w:rsidRPr="001824A8">
        <w:rPr>
          <w:i/>
          <w:iCs/>
        </w:rPr>
        <w:t>zemědělského roku zbytečně oddalovaly realizaci stavby</w:t>
      </w:r>
      <w:r w:rsidR="00C31845" w:rsidRPr="001824A8">
        <w:rPr>
          <w:i/>
          <w:iCs/>
        </w:rPr>
        <w:t>.</w:t>
      </w:r>
      <w:r w:rsidRPr="001824A8">
        <w:rPr>
          <w:i/>
          <w:iCs/>
        </w:rPr>
        <w:t xml:space="preserve"> </w:t>
      </w:r>
      <w:r w:rsidR="00C31845" w:rsidRPr="001824A8">
        <w:rPr>
          <w:i/>
          <w:iCs/>
        </w:rPr>
        <w:t>O</w:t>
      </w:r>
      <w:r w:rsidRPr="001824A8">
        <w:rPr>
          <w:i/>
          <w:iCs/>
        </w:rPr>
        <w:t>d 31</w:t>
      </w:r>
      <w:r w:rsidR="00C31845" w:rsidRPr="001824A8">
        <w:rPr>
          <w:i/>
          <w:iCs/>
        </w:rPr>
        <w:t>.</w:t>
      </w:r>
      <w:r w:rsidRPr="001824A8">
        <w:rPr>
          <w:i/>
          <w:iCs/>
        </w:rPr>
        <w:t xml:space="preserve"> 8</w:t>
      </w:r>
      <w:r w:rsidR="00C31845" w:rsidRPr="001824A8">
        <w:rPr>
          <w:i/>
          <w:iCs/>
        </w:rPr>
        <w:t>.</w:t>
      </w:r>
      <w:r w:rsidRPr="001824A8">
        <w:rPr>
          <w:i/>
          <w:iCs/>
        </w:rPr>
        <w:t xml:space="preserve"> 2018 lze dle § 5 zákona o urychlení nájem či pacht vypověd</w:t>
      </w:r>
      <w:r w:rsidRPr="001824A8">
        <w:rPr>
          <w:i/>
          <w:iCs/>
        </w:rPr>
        <w:t xml:space="preserve">ět v </w:t>
      </w:r>
      <w:r w:rsidR="000915CB" w:rsidRPr="001824A8">
        <w:rPr>
          <w:i/>
          <w:iCs/>
        </w:rPr>
        <w:t>tří</w:t>
      </w:r>
      <w:r w:rsidRPr="001824A8">
        <w:rPr>
          <w:i/>
          <w:iCs/>
        </w:rPr>
        <w:t>měsíční lhůtě</w:t>
      </w:r>
      <w:r w:rsidR="00971BE4" w:rsidRPr="001824A8">
        <w:rPr>
          <w:i/>
          <w:iCs/>
        </w:rPr>
        <w:t>.</w:t>
      </w:r>
      <w:r w:rsidR="00C31845" w:rsidRPr="001824A8">
        <w:rPr>
          <w:i/>
          <w:iCs/>
        </w:rPr>
        <w:t xml:space="preserve"> Problém tak zde byl též částečně vyřešen</w:t>
      </w:r>
      <w:r w:rsidR="003054A4" w:rsidRPr="001824A8">
        <w:rPr>
          <w:i/>
          <w:iCs/>
        </w:rPr>
        <w:t>.</w:t>
      </w:r>
      <w:r w:rsidR="00971BE4" w:rsidRPr="001824A8">
        <w:rPr>
          <w:i/>
          <w:iCs/>
        </w:rPr>
        <w:t xml:space="preserve">“ </w:t>
      </w:r>
    </w:p>
    <w:p w:rsidR="003054A4" w:rsidRPr="001824A8" w:rsidRDefault="000865D6" w:rsidP="001824A8">
      <w:pPr>
        <w:pStyle w:val="Normln-tun"/>
        <w:rPr>
          <w:i/>
          <w:iCs/>
        </w:rPr>
      </w:pPr>
      <w:r w:rsidRPr="001824A8">
        <w:rPr>
          <w:i/>
          <w:iCs/>
        </w:rPr>
        <w:t>Postup před započetím správního řízení:</w:t>
      </w:r>
    </w:p>
    <w:p w:rsidR="003054A4" w:rsidRPr="001824A8" w:rsidRDefault="000865D6">
      <w:pPr>
        <w:pStyle w:val="Normln-tun"/>
        <w:numPr>
          <w:ilvl w:val="0"/>
          <w:numId w:val="94"/>
        </w:numPr>
        <w:rPr>
          <w:i/>
          <w:iCs/>
        </w:rPr>
      </w:pPr>
      <w:r w:rsidRPr="001824A8">
        <w:rPr>
          <w:i/>
          <w:iCs/>
        </w:rPr>
        <w:t>V některých případech se vlastníci nechtějí dohodnout bez bližšího udání důvodu, procesně pak prodlužují i vyvlastňovací řízení.</w:t>
      </w:r>
    </w:p>
    <w:p w:rsidR="003054A4" w:rsidRPr="001824A8" w:rsidRDefault="000865D6" w:rsidP="001824A8">
      <w:pPr>
        <w:pStyle w:val="Normln-tun"/>
        <w:rPr>
          <w:i/>
          <w:iCs/>
        </w:rPr>
      </w:pPr>
      <w:r w:rsidRPr="001824A8">
        <w:rPr>
          <w:i/>
          <w:iCs/>
        </w:rPr>
        <w:t>Proces:</w:t>
      </w:r>
    </w:p>
    <w:p w:rsidR="003054A4" w:rsidRPr="003054A4" w:rsidRDefault="000865D6">
      <w:pPr>
        <w:pStyle w:val="Normln-tun"/>
        <w:numPr>
          <w:ilvl w:val="0"/>
          <w:numId w:val="79"/>
        </w:numPr>
        <w:ind w:left="426" w:hanging="426"/>
        <w:rPr>
          <w:i/>
          <w:iCs/>
        </w:rPr>
      </w:pPr>
      <w:r w:rsidRPr="003054A4">
        <w:rPr>
          <w:i/>
          <w:iCs/>
        </w:rPr>
        <w:t>V rámci vyvl</w:t>
      </w:r>
      <w:r w:rsidRPr="003054A4">
        <w:rPr>
          <w:i/>
          <w:iCs/>
        </w:rPr>
        <w:t>astňovacích řízení dohledávají vyvlastňovací úřady dědice, což vyvlastňovací řízení prodlužuje (až řádově na roky)- návrh</w:t>
      </w:r>
      <w:r w:rsidRPr="003054A4">
        <w:rPr>
          <w:i/>
          <w:iCs/>
        </w:rPr>
        <w:tab/>
        <w:t xml:space="preserve"> postupu v souladu s § 2 odst. 6, liniového zákona, ustanovili opatrovníka a následně vydali rozhodnutí (Zemřela-li osoba, která byla </w:t>
      </w:r>
      <w:r w:rsidRPr="003054A4">
        <w:rPr>
          <w:i/>
          <w:iCs/>
        </w:rPr>
        <w:t xml:space="preserve">nebo by měla být účastníkem řízení podle stavebního zákona, jemuž </w:t>
      </w:r>
      <w:r w:rsidRPr="003054A4">
        <w:rPr>
          <w:i/>
          <w:iCs/>
        </w:rPr>
        <w:lastRenderedPageBreak/>
        <w:t>má být doručena písemnost jednotlivě, nebo účastníkem vyvlastňovacího řízení, a úřadu příslušnému k vedení tohoto řízení se do 30 dnů ode dne, kdy zjistil, že zemřela, nepodaří zjistit osoby</w:t>
      </w:r>
      <w:r w:rsidRPr="003054A4">
        <w:rPr>
          <w:i/>
          <w:iCs/>
        </w:rPr>
        <w:t>, které by se v důsledku její smrti staly účastníky řízení, ustanoví jim opatrovníka; to neplatí, má-li být namísto ustanovení opatrovníka písemnost doručena veřejnou vyhláškou.).</w:t>
      </w:r>
    </w:p>
    <w:p w:rsidR="003054A4" w:rsidRPr="003054A4" w:rsidRDefault="000865D6">
      <w:pPr>
        <w:pStyle w:val="Normln-tun"/>
        <w:numPr>
          <w:ilvl w:val="0"/>
          <w:numId w:val="79"/>
        </w:numPr>
        <w:ind w:left="426" w:hanging="426"/>
        <w:rPr>
          <w:i/>
          <w:iCs/>
        </w:rPr>
      </w:pPr>
      <w:r w:rsidRPr="003054A4">
        <w:rPr>
          <w:i/>
          <w:iCs/>
        </w:rPr>
        <w:t>Odvolací řízení, které je postoupeno na kraj – dlouhé doby vyřízení.</w:t>
      </w:r>
    </w:p>
    <w:p w:rsidR="003054A4" w:rsidRPr="003054A4" w:rsidRDefault="000865D6">
      <w:pPr>
        <w:pStyle w:val="Normln-tun"/>
        <w:numPr>
          <w:ilvl w:val="0"/>
          <w:numId w:val="79"/>
        </w:numPr>
        <w:ind w:left="426" w:hanging="426"/>
        <w:rPr>
          <w:i/>
          <w:iCs/>
        </w:rPr>
      </w:pPr>
      <w:r w:rsidRPr="003054A4">
        <w:rPr>
          <w:i/>
          <w:iCs/>
        </w:rPr>
        <w:t>Nečinnost, neznalost vyvlastňovacích úřadů.</w:t>
      </w:r>
    </w:p>
    <w:p w:rsidR="00E0061D" w:rsidRPr="00E0061D" w:rsidRDefault="000865D6" w:rsidP="00E0061D">
      <w:pPr>
        <w:pStyle w:val="Normln-tun"/>
        <w:rPr>
          <w:i/>
          <w:iCs/>
        </w:rPr>
      </w:pPr>
      <w:r w:rsidRPr="00E0061D">
        <w:rPr>
          <w:i/>
          <w:iCs/>
        </w:rPr>
        <w:t>Další problémy</w:t>
      </w:r>
    </w:p>
    <w:p w:rsidR="003054A4" w:rsidRPr="00E0061D" w:rsidRDefault="000865D6">
      <w:pPr>
        <w:pStyle w:val="Normln-tun"/>
        <w:numPr>
          <w:ilvl w:val="0"/>
          <w:numId w:val="79"/>
        </w:numPr>
        <w:ind w:left="426" w:hanging="426"/>
        <w:rPr>
          <w:i/>
          <w:iCs/>
        </w:rPr>
      </w:pPr>
      <w:r w:rsidRPr="00E0061D">
        <w:rPr>
          <w:i/>
          <w:iCs/>
        </w:rPr>
        <w:t>Zákon o vyvlastnění, § 13/3, nereflektuje novelu zákona o zvláštních řízeních soudních – nelze již tedy v případě zemřelé osoby složit peníze do úschovy soudu příslušnému k projednání dědictví. Mus</w:t>
      </w:r>
      <w:r w:rsidRPr="00E0061D">
        <w:rPr>
          <w:i/>
          <w:iCs/>
        </w:rPr>
        <w:t>í se vyvolat dodatečné projednání dědictví (náklady mnohdy větší než samotná náhrada za vyvlastnění), příp. vyplatit "majetkovou fikcí" vypraviteli pohřbu apod. = obsoletní ustanovení – uvést zákony do souladu.</w:t>
      </w:r>
    </w:p>
    <w:p w:rsidR="003054A4" w:rsidRPr="00E0061D" w:rsidRDefault="000865D6">
      <w:pPr>
        <w:pStyle w:val="Normln-tun"/>
        <w:numPr>
          <w:ilvl w:val="0"/>
          <w:numId w:val="79"/>
        </w:numPr>
        <w:ind w:left="426" w:hanging="426"/>
        <w:rPr>
          <w:i/>
          <w:iCs/>
        </w:rPr>
      </w:pPr>
      <w:r w:rsidRPr="00E0061D">
        <w:rPr>
          <w:i/>
          <w:iCs/>
        </w:rPr>
        <w:t>§ 6 zákona o vyvlastnění – zánik účinků exeku</w:t>
      </w:r>
      <w:r w:rsidRPr="00E0061D">
        <w:rPr>
          <w:i/>
          <w:iCs/>
        </w:rPr>
        <w:t>čních příkazů – katastrální úřad odmítá sám jen na základě rozhodnutí o vyvlastnění poznámky o exekucích k vyvlastněnému pozemku vymazat, požaduje sdělení exekutora, exekutoři jsou nečinní, investor je musí obesílat a urgovat</w:t>
      </w:r>
      <w:r w:rsidRPr="00E0061D">
        <w:rPr>
          <w:i/>
          <w:iCs/>
        </w:rPr>
        <w:tab/>
        <w:t xml:space="preserve"> = zavést povinnost pro katast</w:t>
      </w:r>
      <w:r w:rsidRPr="00E0061D">
        <w:rPr>
          <w:i/>
          <w:iCs/>
        </w:rPr>
        <w:t>rální úřad reflektovat účinky vyvlastnění a provést zápis do katastru nemovitostí</w:t>
      </w:r>
      <w:r w:rsidRPr="00E0061D">
        <w:rPr>
          <w:b/>
          <w:bCs/>
          <w:i/>
          <w:iCs/>
        </w:rPr>
        <w:t>.</w:t>
      </w:r>
    </w:p>
    <w:p w:rsidR="003054A4" w:rsidRPr="00E0061D" w:rsidRDefault="000865D6">
      <w:pPr>
        <w:pStyle w:val="Normln-tun"/>
        <w:numPr>
          <w:ilvl w:val="0"/>
          <w:numId w:val="79"/>
        </w:numPr>
        <w:ind w:left="426" w:hanging="426"/>
        <w:rPr>
          <w:i/>
          <w:iCs/>
        </w:rPr>
      </w:pPr>
      <w:r w:rsidRPr="00E0061D">
        <w:rPr>
          <w:i/>
          <w:iCs/>
        </w:rPr>
        <w:t>Dle § 25/6 povinnost zaslání pravomocného rozhodnutí vyvlastňovacím úřadem k zápisu na katastrální úřad – katastrální úřad již rozhodnutí nepřijímá a právo takto nezapíše, v</w:t>
      </w:r>
      <w:r w:rsidRPr="00E0061D">
        <w:rPr>
          <w:i/>
          <w:iCs/>
        </w:rPr>
        <w:t xml:space="preserve">yžaduje podání návrhu na vklad práva vyvlastnitelem - </w:t>
      </w:r>
      <w:r w:rsidRPr="00E0061D">
        <w:rPr>
          <w:b/>
          <w:bCs/>
          <w:i/>
          <w:iCs/>
        </w:rPr>
        <w:tab/>
      </w:r>
      <w:r w:rsidRPr="00E0061D">
        <w:rPr>
          <w:i/>
          <w:iCs/>
        </w:rPr>
        <w:t>obsoletní ustanovení – uvést zákony do souladu, zavést povinnost pro katastrální úřad reflektovat účinky vyvlastnění a provést zápis do katastru nemovitostí.</w:t>
      </w:r>
    </w:p>
    <w:p w:rsidR="003054A4" w:rsidRPr="00E0061D" w:rsidRDefault="000865D6">
      <w:pPr>
        <w:pStyle w:val="Normln-tun"/>
        <w:numPr>
          <w:ilvl w:val="0"/>
          <w:numId w:val="79"/>
        </w:numPr>
        <w:ind w:left="426" w:hanging="426"/>
        <w:rPr>
          <w:i/>
          <w:iCs/>
        </w:rPr>
      </w:pPr>
      <w:r w:rsidRPr="00E0061D">
        <w:rPr>
          <w:i/>
          <w:iCs/>
        </w:rPr>
        <w:t>Liniový zákon při oceňování stanoví, že "př</w:t>
      </w:r>
      <w:r w:rsidRPr="00E0061D">
        <w:rPr>
          <w:i/>
          <w:iCs/>
        </w:rPr>
        <w:t>i ocenění se rovněž nepřihlédne k navýšení obvyklé ceny jiného pozemku nebo stavby koeficienty podle odstavce 1". Toto se ale týká jen oceňování pro určení smluvní ceny, nikoli při vyvlastnění, v zákoně o vyvlastnění v § 10/5, příp. ve speciálním ustanoven</w:t>
      </w:r>
      <w:r w:rsidRPr="00E0061D">
        <w:rPr>
          <w:i/>
          <w:iCs/>
        </w:rPr>
        <w:t>í liniového zákona toto chybí. Musí se dovozovat výkladem, znalci toto nezohledňují, mnohdy o daném nejsou ani od zadavatele posudku (úřad, vyvlastňovaný) při zadání znaleckého úkolu uvědomění -</w:t>
      </w:r>
      <w:r w:rsidRPr="00E0061D">
        <w:rPr>
          <w:i/>
          <w:iCs/>
        </w:rPr>
        <w:tab/>
        <w:t xml:space="preserve"> ujasnit, že se týká i oceňování pro účely vyvlastnění.</w:t>
      </w:r>
    </w:p>
    <w:p w:rsidR="003054A4" w:rsidRPr="00E0061D" w:rsidRDefault="000865D6">
      <w:pPr>
        <w:pStyle w:val="Normln-tun"/>
        <w:numPr>
          <w:ilvl w:val="0"/>
          <w:numId w:val="79"/>
        </w:numPr>
        <w:ind w:left="426" w:hanging="426"/>
        <w:rPr>
          <w:i/>
          <w:iCs/>
        </w:rPr>
      </w:pPr>
      <w:r w:rsidRPr="00E0061D">
        <w:rPr>
          <w:i/>
          <w:iCs/>
        </w:rPr>
        <w:t xml:space="preserve">§ 18/3 b) - Dokládání územního rozhodnutí (byť jen elektronicky) ke každému případu vyvlastnění – na témže úřadě jsou podávány desítky žádostí týkající se téže stavby </w:t>
      </w:r>
      <w:r w:rsidRPr="00E0061D">
        <w:rPr>
          <w:i/>
          <w:iCs/>
        </w:rPr>
        <w:tab/>
        <w:t>- možnost odkázat na již na úřad doložené územní rozhodnutí – obdoba správního deníku so</w:t>
      </w:r>
      <w:r w:rsidRPr="00E0061D">
        <w:rPr>
          <w:i/>
          <w:iCs/>
        </w:rPr>
        <w:t>udu.</w:t>
      </w:r>
    </w:p>
    <w:p w:rsidR="003054A4" w:rsidRPr="00E0061D" w:rsidRDefault="000865D6">
      <w:pPr>
        <w:pStyle w:val="Normln-tun"/>
        <w:numPr>
          <w:ilvl w:val="0"/>
          <w:numId w:val="79"/>
        </w:numPr>
        <w:ind w:left="426" w:hanging="426"/>
        <w:rPr>
          <w:i/>
          <w:iCs/>
        </w:rPr>
      </w:pPr>
      <w:r w:rsidRPr="00E0061D">
        <w:rPr>
          <w:i/>
          <w:iCs/>
        </w:rPr>
        <w:t>Nedohledatelné podklady dokazující vlastnictví (územní, stavební rozhodnutí) jsou problémem při vyvlastnění pozemků pod stávajícími silnicemi. Lze vyvlastnit bez příslušných dokumentů, investor doložil pasport vyvlastňovaného úseku silnice ověřený pří</w:t>
      </w:r>
      <w:r w:rsidRPr="00E0061D">
        <w:rPr>
          <w:i/>
          <w:iCs/>
        </w:rPr>
        <w:t>slušným silničně správním úřadem – rozšířit tuto praxi.</w:t>
      </w:r>
    </w:p>
    <w:p w:rsidR="00665155" w:rsidRPr="005C2216" w:rsidRDefault="000865D6" w:rsidP="00665155">
      <w:pPr>
        <w:pStyle w:val="Text-Normaln"/>
        <w:rPr>
          <w:rFonts w:asciiTheme="majorHAnsi" w:hAnsiTheme="majorHAnsi"/>
          <w:i/>
        </w:rPr>
      </w:pPr>
      <w:r w:rsidRPr="005C2216">
        <w:rPr>
          <w:rFonts w:asciiTheme="majorHAnsi" w:hAnsiTheme="majorHAnsi"/>
          <w:i/>
        </w:rPr>
        <w:t>Obecně lze říci, že zákon o urychlení v mnoha směrech nabývání pozemků pro výstavbu staveb ŘSD ČR usnadňuje a urychluje. Nicméně problematická místa stále ještě existují a realita není vždy taková, ja</w:t>
      </w:r>
      <w:r w:rsidRPr="005C2216">
        <w:rPr>
          <w:rFonts w:asciiTheme="majorHAnsi" w:hAnsiTheme="majorHAnsi"/>
          <w:i/>
        </w:rPr>
        <w:t>k</w:t>
      </w:r>
      <w:r w:rsidR="00E0061D">
        <w:rPr>
          <w:rFonts w:asciiTheme="majorHAnsi" w:hAnsiTheme="majorHAnsi"/>
          <w:i/>
        </w:rPr>
        <w:t>á se</w:t>
      </w:r>
      <w:r w:rsidRPr="005C2216">
        <w:rPr>
          <w:rFonts w:asciiTheme="majorHAnsi" w:hAnsiTheme="majorHAnsi"/>
          <w:i/>
        </w:rPr>
        <w:t xml:space="preserve"> očekával</w:t>
      </w:r>
      <w:r w:rsidR="00E0061D">
        <w:rPr>
          <w:rFonts w:asciiTheme="majorHAnsi" w:hAnsiTheme="majorHAnsi"/>
          <w:i/>
        </w:rPr>
        <w:t xml:space="preserve">a </w:t>
      </w:r>
      <w:r w:rsidR="003212B3" w:rsidRPr="005C2216">
        <w:rPr>
          <w:rFonts w:asciiTheme="majorHAnsi" w:hAnsiTheme="majorHAnsi"/>
          <w:i/>
        </w:rPr>
        <w:t>…</w:t>
      </w:r>
      <w:r w:rsidR="00E0061D">
        <w:rPr>
          <w:rFonts w:asciiTheme="majorHAnsi" w:hAnsiTheme="majorHAnsi"/>
          <w:i/>
        </w:rPr>
        <w:t xml:space="preserve"> </w:t>
      </w:r>
      <w:r w:rsidRPr="005C2216">
        <w:rPr>
          <w:rFonts w:asciiTheme="majorHAnsi" w:hAnsiTheme="majorHAnsi"/>
          <w:i/>
        </w:rPr>
        <w:t>(např</w:t>
      </w:r>
      <w:r w:rsidR="003212B3" w:rsidRPr="005C2216">
        <w:rPr>
          <w:rFonts w:asciiTheme="majorHAnsi" w:hAnsiTheme="majorHAnsi"/>
          <w:i/>
        </w:rPr>
        <w:t>.</w:t>
      </w:r>
      <w:r w:rsidRPr="005C2216">
        <w:rPr>
          <w:rFonts w:asciiTheme="majorHAnsi" w:hAnsiTheme="majorHAnsi"/>
          <w:i/>
        </w:rPr>
        <w:t xml:space="preserve"> námitky systémové podjatosti, prokazování nezbytného rozsahu vyvlastnění, malé personální kapacity stavebních úřadů ve spojení s jejich vysokou pracovní vytížeností, vedoucí k nedodržování lhůt stanovených správním řádem, ne vždy d</w:t>
      </w:r>
      <w:r w:rsidRPr="005C2216">
        <w:rPr>
          <w:rFonts w:asciiTheme="majorHAnsi" w:hAnsiTheme="majorHAnsi"/>
          <w:i/>
        </w:rPr>
        <w:t>obrá orientace v oblasti vyvlastnění atd</w:t>
      </w:r>
      <w:r w:rsidR="00DC5B9C" w:rsidRPr="005C2216">
        <w:rPr>
          <w:rFonts w:asciiTheme="majorHAnsi" w:hAnsiTheme="majorHAnsi"/>
          <w:i/>
        </w:rPr>
        <w:t>.</w:t>
      </w:r>
      <w:r w:rsidR="003212B3" w:rsidRPr="005C2216">
        <w:rPr>
          <w:rFonts w:asciiTheme="majorHAnsi" w:hAnsiTheme="majorHAnsi"/>
          <w:i/>
        </w:rPr>
        <w:t>) (Zdroj: Materiály ŘSD)</w:t>
      </w:r>
    </w:p>
    <w:p w:rsidR="00D22D54" w:rsidRDefault="00D22D54" w:rsidP="00665155">
      <w:pPr>
        <w:pStyle w:val="Text-Normaln"/>
        <w:rPr>
          <w:iCs/>
        </w:rPr>
      </w:pPr>
    </w:p>
    <w:p w:rsidR="00D22D54" w:rsidRDefault="000865D6" w:rsidP="00D22D54">
      <w:pPr>
        <w:pStyle w:val="Titulek"/>
        <w:keepNext/>
      </w:pPr>
      <w:r>
        <w:lastRenderedPageBreak/>
        <w:t xml:space="preserve">Tabulka </w:t>
      </w:r>
      <w:r>
        <w:fldChar w:fldCharType="begin"/>
      </w:r>
      <w:r>
        <w:instrText xml:space="preserve"> SEQ Tabulka \* ARABIC </w:instrText>
      </w:r>
      <w:r>
        <w:fldChar w:fldCharType="separate"/>
      </w:r>
      <w:r>
        <w:t>9</w:t>
      </w:r>
      <w:r>
        <w:rPr>
          <w:noProof/>
        </w:rPr>
        <w:fldChar w:fldCharType="end"/>
      </w:r>
      <w:r>
        <w:t xml:space="preserve">: Souhrnná data ŘSD za vyvlastňovací řízení </w:t>
      </w: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3544"/>
      </w:tblGrid>
      <w:tr w:rsidR="00FC72A1" w:rsidTr="00F31EBB">
        <w:tc>
          <w:tcPr>
            <w:tcW w:w="5240" w:type="dxa"/>
            <w:shd w:val="clear" w:color="000000" w:fill="FFE699"/>
            <w:vAlign w:val="center"/>
            <w:hideMark/>
          </w:tcPr>
          <w:p w:rsidR="00D22D54" w:rsidRPr="005C1EB6" w:rsidRDefault="000865D6" w:rsidP="00F31EBB">
            <w:pPr>
              <w:spacing w:before="0" w:after="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Počet nově zahájených vyvlastňovacích řízení v</w:t>
            </w:r>
            <w:r>
              <w:rPr>
                <w:rFonts w:ascii="Calibri" w:eastAsia="Times New Roman" w:hAnsi="Calibri" w:cs="Calibri"/>
                <w:b/>
                <w:bCs/>
                <w:sz w:val="18"/>
                <w:szCs w:val="18"/>
                <w:lang w:eastAsia="cs-CZ"/>
              </w:rPr>
              <w:t> </w:t>
            </w:r>
            <w:r w:rsidRPr="005C1EB6">
              <w:rPr>
                <w:rFonts w:ascii="Calibri" w:eastAsia="Times New Roman" w:hAnsi="Calibri" w:cs="Calibri"/>
                <w:b/>
                <w:bCs/>
                <w:sz w:val="18"/>
                <w:szCs w:val="18"/>
                <w:lang w:eastAsia="cs-CZ"/>
              </w:rPr>
              <w:t>roce</w:t>
            </w:r>
            <w:r>
              <w:rPr>
                <w:rFonts w:ascii="Calibri" w:eastAsia="Times New Roman" w:hAnsi="Calibri" w:cs="Calibri"/>
                <w:b/>
                <w:bCs/>
                <w:sz w:val="18"/>
                <w:szCs w:val="18"/>
                <w:lang w:eastAsia="cs-CZ"/>
              </w:rPr>
              <w:t>/z</w:t>
            </w:r>
            <w:r w:rsidRPr="005C1EB6">
              <w:rPr>
                <w:rFonts w:ascii="Calibri" w:eastAsia="Times New Roman" w:hAnsi="Calibri" w:cs="Calibri"/>
                <w:b/>
                <w:bCs/>
                <w:sz w:val="18"/>
                <w:szCs w:val="18"/>
                <w:lang w:eastAsia="cs-CZ"/>
              </w:rPr>
              <w:t xml:space="preserve"> těchto počet problematických vyvlastňovacích řízení (tj. jiný než optimální scénář – přijetí žádosti, vydání rozhodnutí v zákonné lhůtě a následné nabytí právní moci, řízení nebylo přerušeno, nebylo podáno odvolání)</w:t>
            </w:r>
          </w:p>
        </w:tc>
        <w:tc>
          <w:tcPr>
            <w:tcW w:w="3544" w:type="dxa"/>
            <w:shd w:val="clear" w:color="000000" w:fill="FFE699"/>
            <w:vAlign w:val="center"/>
            <w:hideMark/>
          </w:tcPr>
          <w:p w:rsidR="00D22D54" w:rsidRPr="005C1EB6" w:rsidRDefault="000865D6" w:rsidP="00F31EBB">
            <w:pPr>
              <w:spacing w:before="0" w:after="0"/>
              <w:jc w:val="center"/>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 </w:t>
            </w:r>
          </w:p>
        </w:tc>
      </w:tr>
      <w:tr w:rsidR="00FC72A1" w:rsidTr="00F31EBB">
        <w:tc>
          <w:tcPr>
            <w:tcW w:w="5240" w:type="dxa"/>
            <w:shd w:val="clear" w:color="000000" w:fill="FFE699"/>
            <w:vAlign w:val="center"/>
            <w:hideMark/>
          </w:tcPr>
          <w:p w:rsidR="00D22D54" w:rsidRPr="005C1EB6" w:rsidRDefault="000865D6" w:rsidP="00F31EBB">
            <w:pPr>
              <w:spacing w:before="0" w:after="0"/>
              <w:ind w:firstLineChars="100" w:firstLine="18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2015</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25</w:t>
            </w:r>
            <w:r>
              <w:rPr>
                <w:rFonts w:ascii="Calibri" w:eastAsia="Times New Roman" w:hAnsi="Calibri" w:cs="Calibri"/>
                <w:sz w:val="18"/>
                <w:szCs w:val="18"/>
                <w:lang w:eastAsia="cs-CZ"/>
              </w:rPr>
              <w:t>/9 (36 %)</w:t>
            </w:r>
          </w:p>
        </w:tc>
      </w:tr>
      <w:tr w:rsidR="00FC72A1" w:rsidTr="00F31EBB">
        <w:tc>
          <w:tcPr>
            <w:tcW w:w="5240" w:type="dxa"/>
            <w:shd w:val="clear" w:color="000000" w:fill="FFE699"/>
            <w:vAlign w:val="center"/>
            <w:hideMark/>
          </w:tcPr>
          <w:p w:rsidR="00D22D54" w:rsidRPr="005C1EB6" w:rsidRDefault="000865D6" w:rsidP="00F31EBB">
            <w:pPr>
              <w:spacing w:before="0" w:after="0"/>
              <w:ind w:firstLineChars="100" w:firstLine="18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2016</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95</w:t>
            </w:r>
            <w:r>
              <w:rPr>
                <w:rFonts w:ascii="Calibri" w:eastAsia="Times New Roman" w:hAnsi="Calibri" w:cs="Calibri"/>
                <w:sz w:val="18"/>
                <w:szCs w:val="18"/>
                <w:lang w:eastAsia="cs-CZ"/>
              </w:rPr>
              <w:t>/33 (35 %)</w:t>
            </w:r>
          </w:p>
        </w:tc>
      </w:tr>
      <w:tr w:rsidR="00FC72A1" w:rsidTr="00F31EBB">
        <w:tc>
          <w:tcPr>
            <w:tcW w:w="5240" w:type="dxa"/>
            <w:shd w:val="clear" w:color="000000" w:fill="FFE699"/>
            <w:vAlign w:val="center"/>
            <w:hideMark/>
          </w:tcPr>
          <w:p w:rsidR="00D22D54" w:rsidRPr="005C1EB6" w:rsidRDefault="000865D6" w:rsidP="00F31EBB">
            <w:pPr>
              <w:spacing w:before="0" w:after="0"/>
              <w:ind w:firstLineChars="100" w:firstLine="18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2017</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111</w:t>
            </w:r>
            <w:r>
              <w:rPr>
                <w:rFonts w:ascii="Calibri" w:eastAsia="Times New Roman" w:hAnsi="Calibri" w:cs="Calibri"/>
                <w:sz w:val="18"/>
                <w:szCs w:val="18"/>
                <w:lang w:eastAsia="cs-CZ"/>
              </w:rPr>
              <w:t>/33 (30 %)</w:t>
            </w:r>
          </w:p>
        </w:tc>
      </w:tr>
      <w:tr w:rsidR="00FC72A1" w:rsidTr="00F31EBB">
        <w:tc>
          <w:tcPr>
            <w:tcW w:w="5240" w:type="dxa"/>
            <w:shd w:val="clear" w:color="000000" w:fill="FFE699"/>
            <w:vAlign w:val="center"/>
            <w:hideMark/>
          </w:tcPr>
          <w:p w:rsidR="00D22D54" w:rsidRPr="005C1EB6" w:rsidRDefault="000865D6" w:rsidP="00F31EBB">
            <w:pPr>
              <w:spacing w:before="0" w:after="0"/>
              <w:ind w:firstLineChars="100" w:firstLine="18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2018</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215</w:t>
            </w:r>
            <w:r>
              <w:rPr>
                <w:rFonts w:ascii="Calibri" w:eastAsia="Times New Roman" w:hAnsi="Calibri" w:cs="Calibri"/>
                <w:sz w:val="18"/>
                <w:szCs w:val="18"/>
                <w:lang w:eastAsia="cs-CZ"/>
              </w:rPr>
              <w:t>/164 (76 %)</w:t>
            </w:r>
          </w:p>
        </w:tc>
      </w:tr>
      <w:tr w:rsidR="00FC72A1" w:rsidTr="00F31EBB">
        <w:tc>
          <w:tcPr>
            <w:tcW w:w="5240" w:type="dxa"/>
            <w:shd w:val="clear" w:color="000000" w:fill="FFE699"/>
            <w:vAlign w:val="center"/>
            <w:hideMark/>
          </w:tcPr>
          <w:p w:rsidR="00D22D54" w:rsidRPr="005C1EB6" w:rsidRDefault="000865D6" w:rsidP="00F31EBB">
            <w:pPr>
              <w:spacing w:before="0" w:after="0"/>
              <w:ind w:firstLineChars="100" w:firstLine="18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2019</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273</w:t>
            </w:r>
            <w:r>
              <w:rPr>
                <w:rFonts w:ascii="Calibri" w:eastAsia="Times New Roman" w:hAnsi="Calibri" w:cs="Calibri"/>
                <w:sz w:val="18"/>
                <w:szCs w:val="18"/>
                <w:lang w:eastAsia="cs-CZ"/>
              </w:rPr>
              <w:t>/192 (70 %)</w:t>
            </w:r>
          </w:p>
        </w:tc>
      </w:tr>
      <w:tr w:rsidR="00FC72A1" w:rsidTr="00F31EBB">
        <w:tc>
          <w:tcPr>
            <w:tcW w:w="5240" w:type="dxa"/>
            <w:shd w:val="clear" w:color="000000" w:fill="FFE699"/>
            <w:vAlign w:val="center"/>
            <w:hideMark/>
          </w:tcPr>
          <w:p w:rsidR="00D22D54" w:rsidRPr="005C1EB6" w:rsidRDefault="000865D6" w:rsidP="00F31EBB">
            <w:pPr>
              <w:spacing w:before="0" w:after="0"/>
              <w:ind w:firstLineChars="100" w:firstLine="18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2020</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10</w:t>
            </w:r>
            <w:r>
              <w:rPr>
                <w:rFonts w:ascii="Calibri" w:eastAsia="Times New Roman" w:hAnsi="Calibri" w:cs="Calibri"/>
                <w:sz w:val="18"/>
                <w:szCs w:val="18"/>
                <w:lang w:eastAsia="cs-CZ"/>
              </w:rPr>
              <w:t>/1 (10 %)</w:t>
            </w:r>
          </w:p>
        </w:tc>
      </w:tr>
      <w:tr w:rsidR="00FC72A1" w:rsidTr="00F31EBB">
        <w:tc>
          <w:tcPr>
            <w:tcW w:w="5240" w:type="dxa"/>
            <w:shd w:val="clear" w:color="000000" w:fill="FFE699"/>
            <w:vAlign w:val="center"/>
            <w:hideMark/>
          </w:tcPr>
          <w:p w:rsidR="00D22D54" w:rsidRPr="005C1EB6" w:rsidRDefault="000865D6" w:rsidP="00F31EBB">
            <w:pPr>
              <w:spacing w:before="0" w:after="0"/>
              <w:ind w:firstLineChars="100" w:firstLine="18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2021</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14</w:t>
            </w:r>
            <w:r>
              <w:rPr>
                <w:rFonts w:ascii="Calibri" w:eastAsia="Times New Roman" w:hAnsi="Calibri" w:cs="Calibri"/>
                <w:sz w:val="18"/>
                <w:szCs w:val="18"/>
                <w:lang w:eastAsia="cs-CZ"/>
              </w:rPr>
              <w:t>/0 (0 %)</w:t>
            </w:r>
          </w:p>
        </w:tc>
      </w:tr>
      <w:tr w:rsidR="00FC72A1" w:rsidTr="00F31EBB">
        <w:tc>
          <w:tcPr>
            <w:tcW w:w="5240" w:type="dxa"/>
            <w:shd w:val="clear" w:color="000000" w:fill="FFE699"/>
            <w:vAlign w:val="center"/>
            <w:hideMark/>
          </w:tcPr>
          <w:p w:rsidR="00D22D54" w:rsidRPr="005C1EB6" w:rsidRDefault="000865D6" w:rsidP="00F31EBB">
            <w:pPr>
              <w:spacing w:before="0" w:after="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Odhad průměrného ročního navýšení nákladů na výstavbu z důvodů průtahů při vyvlastňovacím řízení (CZK)</w:t>
            </w:r>
          </w:p>
        </w:tc>
        <w:tc>
          <w:tcPr>
            <w:tcW w:w="3544" w:type="dxa"/>
            <w:shd w:val="clear" w:color="000000" w:fill="FFFFFF"/>
            <w:vAlign w:val="center"/>
            <w:hideMark/>
          </w:tcPr>
          <w:p w:rsidR="00D22D54" w:rsidRPr="00F01111" w:rsidRDefault="000865D6" w:rsidP="00F31EBB">
            <w:pPr>
              <w:jc w:val="left"/>
              <w:rPr>
                <w:rFonts w:ascii="Calibri" w:eastAsia="Times New Roman" w:hAnsi="Calibri" w:cs="Calibri"/>
                <w:sz w:val="18"/>
                <w:szCs w:val="18"/>
                <w:lang w:eastAsia="cs-CZ"/>
              </w:rPr>
            </w:pPr>
            <w:r w:rsidRPr="00F01111">
              <w:rPr>
                <w:rFonts w:ascii="Calibri" w:eastAsia="Times New Roman" w:hAnsi="Calibri" w:cs="Calibri"/>
                <w:sz w:val="18"/>
                <w:szCs w:val="18"/>
                <w:lang w:eastAsia="cs-CZ"/>
              </w:rPr>
              <w:t xml:space="preserve">V desítkách až stovkách tisíc korun (za externí právní </w:t>
            </w:r>
            <w:r w:rsidRPr="00F01111">
              <w:rPr>
                <w:rFonts w:ascii="Calibri" w:eastAsia="Times New Roman" w:hAnsi="Calibri" w:cs="Calibri"/>
                <w:sz w:val="18"/>
                <w:szCs w:val="18"/>
                <w:lang w:eastAsia="cs-CZ"/>
              </w:rPr>
              <w:t>služby)</w:t>
            </w:r>
          </w:p>
          <w:p w:rsidR="00D22D54" w:rsidRPr="00F01111" w:rsidRDefault="000865D6" w:rsidP="00F31EBB">
            <w:pPr>
              <w:jc w:val="left"/>
              <w:rPr>
                <w:rFonts w:ascii="Calibri" w:eastAsia="Times New Roman" w:hAnsi="Calibri" w:cs="Calibri"/>
                <w:sz w:val="18"/>
                <w:szCs w:val="18"/>
                <w:lang w:eastAsia="cs-CZ"/>
              </w:rPr>
            </w:pPr>
            <w:r w:rsidRPr="00F01111">
              <w:rPr>
                <w:rFonts w:ascii="Calibri" w:eastAsia="Times New Roman" w:hAnsi="Calibri" w:cs="Calibri"/>
                <w:sz w:val="18"/>
                <w:szCs w:val="18"/>
                <w:lang w:eastAsia="cs-CZ"/>
              </w:rPr>
              <w:t>Úprava v důsledku změn nákladů (valorizace) - cca o 2</w:t>
            </w:r>
            <w:r>
              <w:rPr>
                <w:rFonts w:ascii="Calibri" w:eastAsia="Times New Roman" w:hAnsi="Calibri" w:cs="Calibri"/>
                <w:sz w:val="18"/>
                <w:szCs w:val="18"/>
                <w:lang w:eastAsia="cs-CZ"/>
              </w:rPr>
              <w:t xml:space="preserve"> </w:t>
            </w:r>
            <w:r w:rsidRPr="00F01111">
              <w:rPr>
                <w:rFonts w:ascii="Calibri" w:eastAsia="Times New Roman" w:hAnsi="Calibri" w:cs="Calibri"/>
                <w:sz w:val="18"/>
                <w:szCs w:val="18"/>
                <w:lang w:eastAsia="cs-CZ"/>
              </w:rPr>
              <w:t>%; za předpokladu ročního prodlení s roční fakturací 500 mil. Kč v průběhu realizace se jedná o 10 mil. Kč/rok.</w:t>
            </w:r>
          </w:p>
        </w:tc>
      </w:tr>
      <w:tr w:rsidR="00FC72A1" w:rsidTr="00F31EBB">
        <w:tc>
          <w:tcPr>
            <w:tcW w:w="5240" w:type="dxa"/>
            <w:shd w:val="clear" w:color="000000" w:fill="FFE699"/>
            <w:vAlign w:val="center"/>
            <w:hideMark/>
          </w:tcPr>
          <w:p w:rsidR="00D22D54" w:rsidRPr="005C1EB6" w:rsidRDefault="000865D6" w:rsidP="00F31EBB">
            <w:pPr>
              <w:spacing w:before="0" w:after="0"/>
              <w:jc w:val="left"/>
              <w:rPr>
                <w:rFonts w:ascii="Calibri" w:eastAsia="Times New Roman" w:hAnsi="Calibri" w:cs="Calibri"/>
                <w:b/>
                <w:bCs/>
                <w:sz w:val="18"/>
                <w:szCs w:val="18"/>
                <w:lang w:eastAsia="cs-CZ"/>
              </w:rPr>
            </w:pPr>
            <w:r w:rsidRPr="005C1EB6">
              <w:rPr>
                <w:rFonts w:ascii="Calibri" w:eastAsia="Times New Roman" w:hAnsi="Calibri" w:cs="Calibri"/>
                <w:b/>
                <w:bCs/>
                <w:sz w:val="18"/>
                <w:szCs w:val="18"/>
                <w:lang w:eastAsia="cs-CZ"/>
              </w:rPr>
              <w:t xml:space="preserve">Odhad průměrné roční ztráty z pozdějšího uvedení stavby do provozu z důvodů </w:t>
            </w:r>
            <w:r w:rsidRPr="005C1EB6">
              <w:rPr>
                <w:rFonts w:ascii="Calibri" w:eastAsia="Times New Roman" w:hAnsi="Calibri" w:cs="Calibri"/>
                <w:b/>
                <w:bCs/>
                <w:sz w:val="18"/>
                <w:szCs w:val="18"/>
                <w:lang w:eastAsia="cs-CZ"/>
              </w:rPr>
              <w:t>průtahů při vyvlastňovacím řízení (na základě průměrné IRR projektů) (CZK)</w:t>
            </w:r>
          </w:p>
        </w:tc>
        <w:tc>
          <w:tcPr>
            <w:tcW w:w="3544" w:type="dxa"/>
            <w:shd w:val="clear" w:color="000000" w:fill="FFFFFF"/>
            <w:vAlign w:val="center"/>
            <w:hideMark/>
          </w:tcPr>
          <w:p w:rsidR="00D22D54" w:rsidRPr="005C1EB6" w:rsidRDefault="000865D6" w:rsidP="00F31EBB">
            <w:pPr>
              <w:spacing w:before="0" w:after="0"/>
              <w:jc w:val="left"/>
              <w:rPr>
                <w:rFonts w:ascii="Calibri" w:eastAsia="Times New Roman" w:hAnsi="Calibri" w:cs="Calibri"/>
                <w:sz w:val="18"/>
                <w:szCs w:val="18"/>
                <w:lang w:eastAsia="cs-CZ"/>
              </w:rPr>
            </w:pPr>
            <w:r w:rsidRPr="005C1EB6">
              <w:rPr>
                <w:rFonts w:ascii="Calibri" w:eastAsia="Times New Roman" w:hAnsi="Calibri" w:cs="Calibri"/>
                <w:sz w:val="18"/>
                <w:szCs w:val="18"/>
                <w:lang w:eastAsia="cs-CZ"/>
              </w:rPr>
              <w:t xml:space="preserve">Průměrná finanční hodnota ztráty </w:t>
            </w:r>
            <w:r>
              <w:rPr>
                <w:rFonts w:ascii="Calibri" w:eastAsia="Times New Roman" w:hAnsi="Calibri" w:cs="Calibri"/>
                <w:sz w:val="18"/>
                <w:szCs w:val="18"/>
                <w:lang w:eastAsia="cs-CZ"/>
              </w:rPr>
              <w:t xml:space="preserve">může </w:t>
            </w:r>
            <w:r w:rsidRPr="005C1EB6">
              <w:rPr>
                <w:rFonts w:ascii="Calibri" w:eastAsia="Times New Roman" w:hAnsi="Calibri" w:cs="Calibri"/>
                <w:sz w:val="18"/>
                <w:szCs w:val="18"/>
                <w:lang w:eastAsia="cs-CZ"/>
              </w:rPr>
              <w:t>čin</w:t>
            </w:r>
            <w:r>
              <w:rPr>
                <w:rFonts w:ascii="Calibri" w:eastAsia="Times New Roman" w:hAnsi="Calibri" w:cs="Calibri"/>
                <w:sz w:val="18"/>
                <w:szCs w:val="18"/>
                <w:lang w:eastAsia="cs-CZ"/>
              </w:rPr>
              <w:t>it</w:t>
            </w:r>
            <w:r w:rsidRPr="005C1EB6">
              <w:rPr>
                <w:rFonts w:ascii="Calibri" w:eastAsia="Times New Roman" w:hAnsi="Calibri" w:cs="Calibri"/>
                <w:sz w:val="18"/>
                <w:szCs w:val="18"/>
                <w:lang w:eastAsia="cs-CZ"/>
              </w:rPr>
              <w:t xml:space="preserve"> 100</w:t>
            </w:r>
            <w:r>
              <w:rPr>
                <w:rFonts w:ascii="Calibri" w:eastAsia="Times New Roman" w:hAnsi="Calibri" w:cs="Calibri"/>
                <w:sz w:val="18"/>
                <w:szCs w:val="18"/>
                <w:lang w:eastAsia="cs-CZ"/>
              </w:rPr>
              <w:t> </w:t>
            </w:r>
            <w:r w:rsidRPr="005C1EB6">
              <w:rPr>
                <w:rFonts w:ascii="Calibri" w:eastAsia="Times New Roman" w:hAnsi="Calibri" w:cs="Calibri"/>
                <w:sz w:val="18"/>
                <w:szCs w:val="18"/>
                <w:lang w:eastAsia="cs-CZ"/>
              </w:rPr>
              <w:t>000</w:t>
            </w:r>
            <w:r>
              <w:rPr>
                <w:rFonts w:ascii="Calibri" w:eastAsia="Times New Roman" w:hAnsi="Calibri" w:cs="Calibri"/>
                <w:sz w:val="18"/>
                <w:szCs w:val="18"/>
                <w:lang w:eastAsia="cs-CZ"/>
              </w:rPr>
              <w:t> </w:t>
            </w:r>
            <w:r w:rsidRPr="005C1EB6">
              <w:rPr>
                <w:rFonts w:ascii="Calibri" w:eastAsia="Times New Roman" w:hAnsi="Calibri" w:cs="Calibri"/>
                <w:sz w:val="18"/>
                <w:szCs w:val="18"/>
                <w:lang w:eastAsia="cs-CZ"/>
              </w:rPr>
              <w:t>Kč bez DPH/den. Roční ztráta by byla vypočítána z celkového počtu dní zdržení.</w:t>
            </w:r>
          </w:p>
        </w:tc>
      </w:tr>
    </w:tbl>
    <w:p w:rsidR="00D22D54" w:rsidRDefault="00D22D54" w:rsidP="00D22D54">
      <w:pPr>
        <w:spacing w:before="0" w:after="0"/>
        <w:jc w:val="center"/>
        <w:rPr>
          <w:rFonts w:ascii="Calibri" w:eastAsia="Times New Roman" w:hAnsi="Calibri" w:cs="Calibri"/>
          <w:b/>
          <w:bCs/>
          <w:sz w:val="20"/>
          <w:szCs w:val="20"/>
          <w:lang w:eastAsia="cs-CZ"/>
        </w:rPr>
        <w:sectPr w:rsidR="00D22D54" w:rsidSect="00D22D54">
          <w:footerReference w:type="default" r:id="rId10"/>
          <w:pgSz w:w="11906" w:h="16838" w:code="9"/>
          <w:pgMar w:top="1276" w:right="1418" w:bottom="993" w:left="1418" w:header="709" w:footer="709" w:gutter="0"/>
          <w:pgNumType w:start="1"/>
          <w:cols w:space="708"/>
          <w:docGrid w:linePitch="360"/>
        </w:sectPr>
      </w:pPr>
    </w:p>
    <w:p w:rsidR="00D22D54" w:rsidRDefault="000865D6" w:rsidP="00D22D54">
      <w:pPr>
        <w:pStyle w:val="Titulek"/>
        <w:keepNext/>
      </w:pPr>
      <w:r>
        <w:lastRenderedPageBreak/>
        <w:t xml:space="preserve">Tabulka </w:t>
      </w:r>
      <w:r>
        <w:fldChar w:fldCharType="begin"/>
      </w:r>
      <w:r>
        <w:instrText xml:space="preserve"> SEQ Tabulka \* ARABIC </w:instrText>
      </w:r>
      <w:r>
        <w:fldChar w:fldCharType="separate"/>
      </w:r>
      <w:r>
        <w:t>10</w:t>
      </w:r>
      <w:r>
        <w:rPr>
          <w:noProof/>
        </w:rPr>
        <w:fldChar w:fldCharType="end"/>
      </w:r>
      <w:r>
        <w:t>: Údaje za vybraná vyvlastňovací řízení ŘSD</w:t>
      </w:r>
    </w:p>
    <w:tbl>
      <w:tblPr>
        <w:tblStyle w:val="Barevntabulkaseznamu6zvraznn52"/>
        <w:tblW w:w="15026" w:type="dxa"/>
        <w:tblBorders>
          <w:top w:val="dotted" w:sz="4" w:space="0" w:color="262626" w:themeColor="accent5"/>
          <w:left w:val="dotted" w:sz="4" w:space="0" w:color="262626" w:themeColor="accent5"/>
          <w:bottom w:val="dotted" w:sz="4" w:space="0" w:color="262626" w:themeColor="accent5"/>
          <w:right w:val="dotted" w:sz="4" w:space="0" w:color="262626" w:themeColor="accent5"/>
          <w:insideH w:val="dotted" w:sz="4" w:space="0" w:color="262626" w:themeColor="accent5"/>
          <w:insideV w:val="dotted" w:sz="4" w:space="0" w:color="262626" w:themeColor="accent5"/>
        </w:tblBorders>
        <w:tblLayout w:type="fixed"/>
        <w:tblLook w:val="04A0" w:firstRow="1" w:lastRow="0" w:firstColumn="1" w:lastColumn="0" w:noHBand="0" w:noVBand="1"/>
      </w:tblPr>
      <w:tblGrid>
        <w:gridCol w:w="851"/>
        <w:gridCol w:w="709"/>
        <w:gridCol w:w="992"/>
        <w:gridCol w:w="709"/>
        <w:gridCol w:w="567"/>
        <w:gridCol w:w="708"/>
        <w:gridCol w:w="851"/>
        <w:gridCol w:w="709"/>
        <w:gridCol w:w="708"/>
        <w:gridCol w:w="709"/>
        <w:gridCol w:w="709"/>
        <w:gridCol w:w="709"/>
        <w:gridCol w:w="708"/>
        <w:gridCol w:w="709"/>
        <w:gridCol w:w="709"/>
        <w:gridCol w:w="567"/>
        <w:gridCol w:w="666"/>
        <w:gridCol w:w="723"/>
        <w:gridCol w:w="723"/>
        <w:gridCol w:w="1290"/>
      </w:tblGrid>
      <w:tr w:rsidR="000865D6" w:rsidTr="00FC72A1">
        <w:trPr>
          <w:cnfStyle w:val="100000000000" w:firstRow="1" w:lastRow="0" w:firstColumn="0" w:lastColumn="0" w:oddVBand="0" w:evenVBand="0" w:oddHBand="0" w:evenHBand="0" w:firstRowFirstColumn="0" w:firstRowLastColumn="0" w:lastRowFirstColumn="0" w:lastRowLastColumn="0"/>
          <w:trHeight w:val="1889"/>
        </w:trPr>
        <w:tc>
          <w:tcPr>
            <w:cnfStyle w:val="001000000000" w:firstRow="0" w:lastRow="0" w:firstColumn="1" w:lastColumn="0" w:oddVBand="0" w:evenVBand="0" w:oddHBand="0" w:evenHBand="0" w:firstRowFirstColumn="0" w:firstRowLastColumn="0" w:lastRowFirstColumn="0" w:lastRowLastColumn="0"/>
            <w:tcW w:w="851"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rPr>
                <w:rFonts w:asciiTheme="minorHAnsi" w:eastAsia="Times New Roman" w:hAnsiTheme="minorHAnsi" w:cstheme="minorHAnsi"/>
                <w:color w:val="auto"/>
                <w:sz w:val="14"/>
                <w:szCs w:val="14"/>
                <w:lang w:eastAsia="cs-CZ"/>
              </w:rPr>
            </w:pPr>
            <w:r w:rsidRPr="00800C58">
              <w:rPr>
                <w:rFonts w:asciiTheme="minorHAnsi" w:eastAsia="Times New Roman" w:hAnsiTheme="minorHAnsi" w:cstheme="minorHAnsi"/>
                <w:color w:val="auto"/>
                <w:sz w:val="14"/>
                <w:szCs w:val="14"/>
                <w:lang w:eastAsia="cs-CZ"/>
              </w:rPr>
              <w:t>P</w:t>
            </w:r>
            <w:r w:rsidRPr="00A66BEA">
              <w:rPr>
                <w:rFonts w:asciiTheme="minorHAnsi" w:eastAsia="Times New Roman" w:hAnsiTheme="minorHAnsi" w:cstheme="minorHAnsi"/>
                <w:color w:val="auto"/>
                <w:sz w:val="14"/>
                <w:szCs w:val="14"/>
                <w:lang w:eastAsia="cs-CZ"/>
              </w:rPr>
              <w:t>opis</w:t>
            </w:r>
            <w:r w:rsidRPr="00800C58">
              <w:rPr>
                <w:rFonts w:asciiTheme="minorHAnsi" w:eastAsia="Times New Roman" w:hAnsiTheme="minorHAnsi" w:cstheme="minorHAnsi"/>
                <w:color w:val="auto"/>
                <w:sz w:val="14"/>
                <w:szCs w:val="14"/>
                <w:lang w:eastAsia="cs-CZ"/>
              </w:rPr>
              <w:t xml:space="preserve"> </w:t>
            </w:r>
            <w:r w:rsidRPr="00A66BEA">
              <w:rPr>
                <w:rFonts w:asciiTheme="minorHAnsi" w:eastAsia="Times New Roman" w:hAnsiTheme="minorHAnsi" w:cstheme="minorHAnsi"/>
                <w:color w:val="auto"/>
                <w:sz w:val="14"/>
                <w:szCs w:val="14"/>
                <w:lang w:eastAsia="cs-CZ"/>
              </w:rPr>
              <w:t>záměru</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800C58">
              <w:rPr>
                <w:rFonts w:asciiTheme="minorHAnsi" w:eastAsia="Times New Roman" w:hAnsiTheme="minorHAnsi" w:cstheme="minorHAnsi"/>
                <w:color w:val="auto"/>
                <w:sz w:val="14"/>
                <w:szCs w:val="14"/>
                <w:lang w:eastAsia="cs-CZ"/>
              </w:rPr>
              <w:t>P</w:t>
            </w:r>
            <w:r w:rsidRPr="00A66BEA">
              <w:rPr>
                <w:rFonts w:asciiTheme="minorHAnsi" w:eastAsia="Times New Roman" w:hAnsiTheme="minorHAnsi" w:cstheme="minorHAnsi"/>
                <w:color w:val="auto"/>
                <w:sz w:val="14"/>
                <w:szCs w:val="14"/>
                <w:lang w:eastAsia="cs-CZ"/>
              </w:rPr>
              <w:t xml:space="preserve">opis předmětu </w:t>
            </w:r>
            <w:r w:rsidRPr="00800C58">
              <w:rPr>
                <w:rFonts w:asciiTheme="minorHAnsi" w:eastAsia="Times New Roman" w:hAnsiTheme="minorHAnsi" w:cstheme="minorHAnsi"/>
                <w:color w:val="auto"/>
                <w:sz w:val="14"/>
                <w:szCs w:val="14"/>
                <w:lang w:eastAsia="cs-CZ"/>
              </w:rPr>
              <w:t>VV</w:t>
            </w:r>
          </w:p>
        </w:tc>
        <w:tc>
          <w:tcPr>
            <w:tcW w:w="992"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 xml:space="preserve">Forma </w:t>
            </w:r>
            <w:r w:rsidRPr="00800C58">
              <w:rPr>
                <w:rFonts w:asciiTheme="minorHAnsi" w:eastAsia="Times New Roman" w:hAnsiTheme="minorHAnsi" w:cstheme="minorHAnsi"/>
                <w:color w:val="auto"/>
                <w:sz w:val="14"/>
                <w:szCs w:val="14"/>
                <w:lang w:eastAsia="cs-CZ"/>
              </w:rPr>
              <w:t>VV</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 xml:space="preserve">Účel </w:t>
            </w:r>
            <w:r w:rsidRPr="00800C58">
              <w:rPr>
                <w:rFonts w:asciiTheme="minorHAnsi" w:eastAsia="Times New Roman" w:hAnsiTheme="minorHAnsi" w:cstheme="minorHAnsi"/>
                <w:color w:val="auto"/>
                <w:sz w:val="14"/>
                <w:szCs w:val="14"/>
                <w:lang w:eastAsia="cs-CZ"/>
              </w:rPr>
              <w:t>VV dle zákona</w:t>
            </w:r>
          </w:p>
        </w:tc>
        <w:tc>
          <w:tcPr>
            <w:tcW w:w="567"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800C58">
              <w:rPr>
                <w:rFonts w:asciiTheme="minorHAnsi" w:eastAsia="Times New Roman" w:hAnsiTheme="minorHAnsi" w:cstheme="minorHAnsi"/>
                <w:color w:val="auto"/>
                <w:sz w:val="14"/>
                <w:szCs w:val="14"/>
                <w:lang w:eastAsia="cs-CZ"/>
              </w:rPr>
              <w:t>Vlastníci</w:t>
            </w:r>
            <w:r w:rsidRPr="00A66BEA">
              <w:rPr>
                <w:rFonts w:asciiTheme="minorHAnsi" w:eastAsia="Times New Roman" w:hAnsiTheme="minorHAnsi" w:cstheme="minorHAnsi"/>
                <w:color w:val="auto"/>
                <w:sz w:val="14"/>
                <w:szCs w:val="14"/>
                <w:lang w:eastAsia="cs-CZ"/>
              </w:rPr>
              <w:t xml:space="preserve"> </w:t>
            </w:r>
            <w:r w:rsidRPr="00800C58">
              <w:rPr>
                <w:rFonts w:asciiTheme="minorHAnsi" w:eastAsia="Times New Roman" w:hAnsiTheme="minorHAnsi" w:cstheme="minorHAnsi"/>
                <w:color w:val="auto"/>
                <w:sz w:val="14"/>
                <w:szCs w:val="14"/>
                <w:lang w:eastAsia="cs-CZ"/>
              </w:rPr>
              <w:t xml:space="preserve">P nebo S/ </w:t>
            </w:r>
            <w:r w:rsidRPr="00A66BEA">
              <w:rPr>
                <w:rFonts w:asciiTheme="minorHAnsi" w:eastAsia="Times New Roman" w:hAnsiTheme="minorHAnsi" w:cstheme="minorHAnsi"/>
                <w:color w:val="auto"/>
                <w:sz w:val="14"/>
                <w:szCs w:val="14"/>
                <w:lang w:eastAsia="cs-CZ"/>
              </w:rPr>
              <w:t>počet, kterým byla odnímána</w:t>
            </w:r>
            <w:r w:rsidRPr="00800C58">
              <w:rPr>
                <w:rFonts w:asciiTheme="minorHAnsi" w:eastAsia="Times New Roman" w:hAnsiTheme="minorHAnsi" w:cstheme="minorHAnsi"/>
                <w:color w:val="auto"/>
                <w:sz w:val="14"/>
                <w:szCs w:val="14"/>
                <w:lang w:eastAsia="cs-CZ"/>
              </w:rPr>
              <w:t>,</w:t>
            </w:r>
            <w:r w:rsidRPr="00A66BEA">
              <w:rPr>
                <w:rFonts w:asciiTheme="minorHAnsi" w:eastAsia="Times New Roman" w:hAnsiTheme="minorHAnsi" w:cstheme="minorHAnsi"/>
                <w:color w:val="auto"/>
                <w:sz w:val="14"/>
                <w:szCs w:val="14"/>
                <w:lang w:eastAsia="cs-CZ"/>
              </w:rPr>
              <w:t xml:space="preserve"> omezována práva</w:t>
            </w:r>
          </w:p>
        </w:tc>
        <w:tc>
          <w:tcPr>
            <w:tcW w:w="708"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Důvod pro vyvl</w:t>
            </w:r>
            <w:r w:rsidRPr="00800C58">
              <w:rPr>
                <w:rFonts w:asciiTheme="minorHAnsi" w:eastAsia="Times New Roman" w:hAnsiTheme="minorHAnsi" w:cstheme="minorHAnsi"/>
                <w:color w:val="auto"/>
                <w:sz w:val="14"/>
                <w:szCs w:val="14"/>
                <w:lang w:eastAsia="cs-CZ"/>
              </w:rPr>
              <w:t>.</w:t>
            </w:r>
            <w:r w:rsidRPr="00A66BEA">
              <w:rPr>
                <w:rFonts w:asciiTheme="minorHAnsi" w:eastAsia="Times New Roman" w:hAnsiTheme="minorHAnsi" w:cstheme="minorHAnsi"/>
                <w:color w:val="auto"/>
                <w:sz w:val="14"/>
                <w:szCs w:val="14"/>
                <w:lang w:eastAsia="cs-CZ"/>
              </w:rPr>
              <w:t xml:space="preserve"> řízení</w:t>
            </w:r>
          </w:p>
        </w:tc>
        <w:tc>
          <w:tcPr>
            <w:tcW w:w="851"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Proč se nepodařilo uzavřít smlouvu dle § 5 odst. 1 VyvlZ?</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 xml:space="preserve">Výše </w:t>
            </w:r>
            <w:r w:rsidRPr="00800C58">
              <w:rPr>
                <w:rFonts w:asciiTheme="minorHAnsi" w:eastAsia="Times New Roman" w:hAnsiTheme="minorHAnsi" w:cstheme="minorHAnsi"/>
                <w:color w:val="auto"/>
                <w:sz w:val="14"/>
                <w:szCs w:val="14"/>
                <w:lang w:eastAsia="cs-CZ"/>
              </w:rPr>
              <w:t>náhrady – dle</w:t>
            </w:r>
            <w:r w:rsidRPr="00A66BEA">
              <w:rPr>
                <w:rFonts w:asciiTheme="minorHAnsi" w:eastAsia="Times New Roman" w:hAnsiTheme="minorHAnsi" w:cstheme="minorHAnsi"/>
                <w:color w:val="auto"/>
                <w:sz w:val="14"/>
                <w:szCs w:val="14"/>
                <w:lang w:eastAsia="cs-CZ"/>
              </w:rPr>
              <w:t xml:space="preserve"> § 10 odst. 1 VyvlZ (Kč)</w:t>
            </w:r>
          </w:p>
        </w:tc>
        <w:tc>
          <w:tcPr>
            <w:tcW w:w="708"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800C58">
              <w:rPr>
                <w:rFonts w:asciiTheme="minorHAnsi" w:eastAsia="Times New Roman" w:hAnsiTheme="minorHAnsi" w:cstheme="minorHAnsi"/>
                <w:color w:val="auto"/>
                <w:sz w:val="14"/>
                <w:szCs w:val="14"/>
                <w:lang w:eastAsia="cs-CZ"/>
              </w:rPr>
              <w:t>P</w:t>
            </w:r>
            <w:r w:rsidRPr="00A66BEA">
              <w:rPr>
                <w:rFonts w:asciiTheme="minorHAnsi" w:eastAsia="Times New Roman" w:hAnsiTheme="minorHAnsi" w:cstheme="minorHAnsi"/>
                <w:color w:val="auto"/>
                <w:sz w:val="14"/>
                <w:szCs w:val="14"/>
                <w:lang w:eastAsia="cs-CZ"/>
              </w:rPr>
              <w:t>odání žádosti o zahájení vyvl</w:t>
            </w:r>
            <w:r w:rsidRPr="00800C58">
              <w:rPr>
                <w:rFonts w:asciiTheme="minorHAnsi" w:eastAsia="Times New Roman" w:hAnsiTheme="minorHAnsi" w:cstheme="minorHAnsi"/>
                <w:color w:val="auto"/>
                <w:sz w:val="14"/>
                <w:szCs w:val="14"/>
                <w:lang w:eastAsia="cs-CZ"/>
              </w:rPr>
              <w:t>.</w:t>
            </w:r>
            <w:r w:rsidRPr="00A66BEA">
              <w:rPr>
                <w:rFonts w:asciiTheme="minorHAnsi" w:eastAsia="Times New Roman" w:hAnsiTheme="minorHAnsi" w:cstheme="minorHAnsi"/>
                <w:color w:val="auto"/>
                <w:sz w:val="14"/>
                <w:szCs w:val="14"/>
                <w:lang w:eastAsia="cs-CZ"/>
              </w:rPr>
              <w:t xml:space="preserve"> řízení</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Datum ústního jednání</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Datum vydání rozhodnutí</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Odvolání</w:t>
            </w:r>
          </w:p>
        </w:tc>
        <w:tc>
          <w:tcPr>
            <w:tcW w:w="708"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Datum podání odvolání</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Datum vydání rozhodnutí o odvol</w:t>
            </w:r>
            <w:r w:rsidRPr="00A66BEA">
              <w:rPr>
                <w:rFonts w:asciiTheme="minorHAnsi" w:eastAsia="Times New Roman" w:hAnsiTheme="minorHAnsi" w:cstheme="minorHAnsi"/>
                <w:color w:val="auto"/>
                <w:sz w:val="14"/>
                <w:szCs w:val="14"/>
                <w:lang w:eastAsia="cs-CZ"/>
              </w:rPr>
              <w:t>ání</w:t>
            </w:r>
          </w:p>
        </w:tc>
        <w:tc>
          <w:tcPr>
            <w:tcW w:w="709"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 xml:space="preserve">Datum vydání nového rozhodnutí </w:t>
            </w:r>
          </w:p>
        </w:tc>
        <w:tc>
          <w:tcPr>
            <w:tcW w:w="567"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Původ</w:t>
            </w:r>
            <w:r w:rsidRPr="00800C58">
              <w:rPr>
                <w:rFonts w:asciiTheme="minorHAnsi" w:eastAsia="Times New Roman" w:hAnsiTheme="minorHAnsi" w:cstheme="minorHAnsi"/>
                <w:color w:val="auto"/>
                <w:sz w:val="14"/>
                <w:szCs w:val="14"/>
                <w:lang w:eastAsia="cs-CZ"/>
              </w:rPr>
              <w:t>. r</w:t>
            </w:r>
            <w:r w:rsidRPr="00A66BEA">
              <w:rPr>
                <w:rFonts w:asciiTheme="minorHAnsi" w:eastAsia="Times New Roman" w:hAnsiTheme="minorHAnsi" w:cstheme="minorHAnsi"/>
                <w:color w:val="auto"/>
                <w:sz w:val="14"/>
                <w:szCs w:val="14"/>
                <w:lang w:eastAsia="cs-CZ"/>
              </w:rPr>
              <w:t>ozhodnutí potvrzeno</w:t>
            </w:r>
          </w:p>
        </w:tc>
        <w:tc>
          <w:tcPr>
            <w:tcW w:w="666"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Datum nabytí právní moci rozhodnutí</w:t>
            </w:r>
          </w:p>
        </w:tc>
        <w:tc>
          <w:tcPr>
            <w:tcW w:w="723"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800C58">
              <w:rPr>
                <w:rFonts w:asciiTheme="minorHAnsi" w:eastAsia="Times New Roman" w:hAnsiTheme="minorHAnsi" w:cstheme="minorHAnsi"/>
                <w:color w:val="auto"/>
                <w:sz w:val="14"/>
                <w:szCs w:val="14"/>
                <w:lang w:eastAsia="cs-CZ"/>
              </w:rPr>
              <w:t>Ž</w:t>
            </w:r>
            <w:r w:rsidRPr="00A66BEA">
              <w:rPr>
                <w:rFonts w:asciiTheme="minorHAnsi" w:eastAsia="Times New Roman" w:hAnsiTheme="minorHAnsi" w:cstheme="minorHAnsi"/>
                <w:color w:val="auto"/>
                <w:sz w:val="14"/>
                <w:szCs w:val="14"/>
                <w:lang w:eastAsia="cs-CZ"/>
              </w:rPr>
              <w:t>aloba proti rozhodnutí správního orgánu dle § 28 odst. 1 VyvlZ</w:t>
            </w:r>
          </w:p>
        </w:tc>
        <w:tc>
          <w:tcPr>
            <w:tcW w:w="723"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800C58">
              <w:rPr>
                <w:rFonts w:asciiTheme="minorHAnsi" w:eastAsia="Times New Roman" w:hAnsiTheme="minorHAnsi" w:cstheme="minorHAnsi"/>
                <w:color w:val="auto"/>
                <w:sz w:val="14"/>
                <w:szCs w:val="14"/>
                <w:lang w:eastAsia="cs-CZ"/>
              </w:rPr>
              <w:t>O</w:t>
            </w:r>
            <w:r w:rsidRPr="00A66BEA">
              <w:rPr>
                <w:rFonts w:asciiTheme="minorHAnsi" w:eastAsia="Times New Roman" w:hAnsiTheme="minorHAnsi" w:cstheme="minorHAnsi"/>
                <w:color w:val="auto"/>
                <w:sz w:val="14"/>
                <w:szCs w:val="14"/>
                <w:lang w:eastAsia="cs-CZ"/>
              </w:rPr>
              <w:t>bčanské soudní řízení dle § 28 odst. 1 VyvlZ</w:t>
            </w:r>
          </w:p>
        </w:tc>
        <w:tc>
          <w:tcPr>
            <w:tcW w:w="1290" w:type="dxa"/>
            <w:shd w:val="clear" w:color="auto" w:fill="F4E699"/>
            <w:tcMar>
              <w:left w:w="14" w:type="dxa"/>
              <w:right w:w="14" w:type="dxa"/>
            </w:tcMar>
            <w:textDirection w:val="btLr"/>
            <w:vAlign w:val="center"/>
            <w:hideMark/>
          </w:tcPr>
          <w:p w:rsidR="00D22D54" w:rsidRPr="00A66BEA" w:rsidRDefault="000865D6" w:rsidP="00F31EBB">
            <w:pPr>
              <w:widowControl w:val="0"/>
              <w:spacing w:before="0" w:after="0"/>
              <w:ind w:left="113" w:right="113"/>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4"/>
                <w:szCs w:val="14"/>
                <w:lang w:eastAsia="cs-CZ"/>
              </w:rPr>
            </w:pPr>
            <w:r w:rsidRPr="00A66BEA">
              <w:rPr>
                <w:rFonts w:asciiTheme="minorHAnsi" w:eastAsia="Times New Roman" w:hAnsiTheme="minorHAnsi" w:cstheme="minorHAnsi"/>
                <w:color w:val="auto"/>
                <w:sz w:val="14"/>
                <w:szCs w:val="14"/>
                <w:lang w:eastAsia="cs-CZ"/>
              </w:rPr>
              <w:t>KOMENTÁŘ</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 xml:space="preserve">I/44 </w:t>
            </w:r>
            <w:r w:rsidRPr="00800C58">
              <w:rPr>
                <w:rFonts w:asciiTheme="minorHAnsi" w:eastAsia="Times New Roman" w:hAnsiTheme="minorHAnsi" w:cstheme="minorHAnsi"/>
                <w:b w:val="0"/>
                <w:bCs w:val="0"/>
                <w:sz w:val="14"/>
                <w:szCs w:val="14"/>
                <w:lang w:eastAsia="cs-CZ"/>
              </w:rPr>
              <w:t>Bludov – obchvat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ole</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práva odpovídajícího věcnému břemenu</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6</w:t>
            </w:r>
            <w:r w:rsidRPr="00FF6F84">
              <w:rPr>
                <w:rFonts w:asciiTheme="minorHAnsi" w:eastAsia="Times New Roman" w:hAnsiTheme="minorHAnsi" w:cstheme="minorHAnsi"/>
                <w:sz w:val="14"/>
                <w:szCs w:val="14"/>
                <w:lang w:eastAsia="cs-CZ"/>
              </w:rPr>
              <w:t>/6</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Vlastníci nereagovali</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1 594</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 xml:space="preserve">ptimální scénář </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 xml:space="preserve">D55 </w:t>
            </w:r>
            <w:r w:rsidRPr="00800C58">
              <w:rPr>
                <w:rFonts w:asciiTheme="minorHAnsi" w:eastAsia="Times New Roman" w:hAnsiTheme="minorHAnsi" w:cstheme="minorHAnsi"/>
                <w:b w:val="0"/>
                <w:bCs w:val="0"/>
                <w:sz w:val="14"/>
                <w:szCs w:val="14"/>
                <w:lang w:eastAsia="cs-CZ"/>
              </w:rPr>
              <w:t xml:space="preserve">Olomouc – </w:t>
            </w:r>
            <w:r w:rsidRPr="00800C58">
              <w:rPr>
                <w:rFonts w:asciiTheme="minorHAnsi" w:eastAsia="Times New Roman" w:hAnsiTheme="minorHAnsi" w:cstheme="minorHAnsi"/>
                <w:b w:val="0"/>
                <w:bCs w:val="0"/>
                <w:sz w:val="14"/>
                <w:szCs w:val="14"/>
                <w:lang w:eastAsia="cs-CZ"/>
              </w:rPr>
              <w:t>Kokory</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ole</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vaný není znám aj. dle § 5 odst. 5a)</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Vyvlastňovaný byl zemřelý, ale u </w:t>
            </w:r>
            <w:r w:rsidRPr="00FF6F84">
              <w:rPr>
                <w:rFonts w:asciiTheme="minorHAnsi" w:eastAsia="Times New Roman" w:hAnsiTheme="minorHAnsi" w:cstheme="minorHAnsi"/>
                <w:sz w:val="14"/>
                <w:szCs w:val="14"/>
                <w:lang w:eastAsia="cs-CZ"/>
              </w:rPr>
              <w:t>KN</w:t>
            </w:r>
            <w:r w:rsidRPr="00A66BEA">
              <w:rPr>
                <w:rFonts w:asciiTheme="minorHAnsi" w:eastAsia="Times New Roman" w:hAnsiTheme="minorHAnsi" w:cstheme="minorHAnsi"/>
                <w:sz w:val="14"/>
                <w:szCs w:val="14"/>
                <w:lang w:eastAsia="cs-CZ"/>
              </w:rPr>
              <w:t xml:space="preserve"> stále zapsaný jako vlastník pozemku</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6 720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ptimální scénář</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 xml:space="preserve">I/36 </w:t>
            </w:r>
            <w:r w:rsidRPr="00A66BEA">
              <w:rPr>
                <w:rFonts w:asciiTheme="minorHAnsi" w:eastAsia="Times New Roman" w:hAnsiTheme="minorHAnsi" w:cstheme="minorHAnsi"/>
                <w:b w:val="0"/>
                <w:bCs w:val="0"/>
                <w:sz w:val="14"/>
                <w:szCs w:val="14"/>
                <w:lang w:eastAsia="cs-CZ"/>
              </w:rPr>
              <w:t>Pardubice</w:t>
            </w:r>
            <w:r w:rsidRPr="00800C58">
              <w:rPr>
                <w:rFonts w:asciiTheme="minorHAnsi" w:eastAsia="Times New Roman" w:hAnsiTheme="minorHAnsi" w:cstheme="minorHAnsi"/>
                <w:b w:val="0"/>
                <w:bCs w:val="0"/>
                <w:sz w:val="14"/>
                <w:szCs w:val="14"/>
                <w:lang w:eastAsia="cs-CZ"/>
              </w:rPr>
              <w:t xml:space="preserve"> </w:t>
            </w:r>
            <w:r w:rsidRPr="00A66BEA">
              <w:rPr>
                <w:rFonts w:asciiTheme="minorHAnsi" w:eastAsia="Times New Roman" w:hAnsiTheme="minorHAnsi" w:cstheme="minorHAnsi"/>
                <w:b w:val="0"/>
                <w:bCs w:val="0"/>
                <w:sz w:val="14"/>
                <w:szCs w:val="14"/>
                <w:lang w:eastAsia="cs-CZ"/>
              </w:rPr>
              <w:t>Trnová-Fáblovka-Dubina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6</w:t>
            </w:r>
            <w:r w:rsidRPr="00FF6F84">
              <w:rPr>
                <w:rFonts w:asciiTheme="minorHAnsi" w:eastAsia="Times New Roman" w:hAnsiTheme="minorHAnsi" w:cstheme="minorHAnsi"/>
                <w:sz w:val="14"/>
                <w:szCs w:val="14"/>
                <w:lang w:eastAsia="cs-CZ"/>
              </w:rPr>
              <w:t>/2</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bvyklá cena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143 734</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oběma výrokům</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 xml:space="preserve">řípad složitější povahy (souběžně </w:t>
            </w:r>
            <w:r w:rsidRPr="00A66BEA">
              <w:rPr>
                <w:rFonts w:asciiTheme="minorHAnsi" w:eastAsia="Times New Roman" w:hAnsiTheme="minorHAnsi" w:cstheme="minorHAnsi"/>
                <w:sz w:val="14"/>
                <w:szCs w:val="14"/>
                <w:lang w:eastAsia="cs-CZ"/>
              </w:rPr>
              <w:t>probíhá soudní řízení)</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 xml:space="preserve">odvolání proti </w:t>
            </w:r>
            <w:r w:rsidRPr="00FF6F84">
              <w:rPr>
                <w:rFonts w:asciiTheme="minorHAnsi" w:eastAsia="Times New Roman" w:hAnsiTheme="minorHAnsi" w:cstheme="minorHAnsi"/>
                <w:sz w:val="14"/>
                <w:szCs w:val="14"/>
                <w:lang w:eastAsia="cs-CZ"/>
              </w:rPr>
              <w:t>r</w:t>
            </w:r>
            <w:r w:rsidRPr="00A66BEA">
              <w:rPr>
                <w:rFonts w:asciiTheme="minorHAnsi" w:eastAsia="Times New Roman" w:hAnsiTheme="minorHAnsi" w:cstheme="minorHAnsi"/>
                <w:sz w:val="14"/>
                <w:szCs w:val="14"/>
                <w:lang w:eastAsia="cs-CZ"/>
              </w:rPr>
              <w:t xml:space="preserve">ozhodnutí řešil </w:t>
            </w:r>
            <w:r w:rsidRPr="00FF6F84">
              <w:rPr>
                <w:rFonts w:asciiTheme="minorHAnsi" w:eastAsia="Times New Roman" w:hAnsiTheme="minorHAnsi" w:cstheme="minorHAnsi"/>
                <w:sz w:val="14"/>
                <w:szCs w:val="14"/>
                <w:lang w:eastAsia="cs-CZ"/>
              </w:rPr>
              <w:t>KÚ</w:t>
            </w:r>
            <w:r w:rsidRPr="00A66BEA">
              <w:rPr>
                <w:rFonts w:asciiTheme="minorHAnsi" w:eastAsia="Times New Roman" w:hAnsiTheme="minorHAnsi" w:cstheme="minorHAnsi"/>
                <w:sz w:val="14"/>
                <w:szCs w:val="14"/>
                <w:lang w:eastAsia="cs-CZ"/>
              </w:rPr>
              <w:t xml:space="preserve">, </w:t>
            </w:r>
            <w:r w:rsidRPr="00FF6F84">
              <w:rPr>
                <w:rFonts w:asciiTheme="minorHAnsi" w:eastAsia="Times New Roman" w:hAnsiTheme="minorHAnsi" w:cstheme="minorHAnsi"/>
                <w:sz w:val="14"/>
                <w:szCs w:val="14"/>
                <w:lang w:eastAsia="cs-CZ"/>
              </w:rPr>
              <w:t>MMR</w:t>
            </w:r>
            <w:r w:rsidRPr="00A66BEA">
              <w:rPr>
                <w:rFonts w:asciiTheme="minorHAnsi" w:eastAsia="Times New Roman" w:hAnsiTheme="minorHAnsi" w:cstheme="minorHAnsi"/>
                <w:sz w:val="14"/>
                <w:szCs w:val="14"/>
                <w:lang w:eastAsia="cs-CZ"/>
              </w:rPr>
              <w:t>, 23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20 </w:t>
            </w:r>
            <w:r w:rsidRPr="00FF6F84">
              <w:rPr>
                <w:rFonts w:asciiTheme="minorHAnsi" w:eastAsia="Times New Roman" w:hAnsiTheme="minorHAnsi" w:cstheme="minorHAnsi"/>
                <w:sz w:val="14"/>
                <w:szCs w:val="14"/>
                <w:lang w:eastAsia="cs-CZ"/>
              </w:rPr>
              <w:t>r</w:t>
            </w:r>
            <w:r w:rsidRPr="00A66BEA">
              <w:rPr>
                <w:rFonts w:asciiTheme="minorHAnsi" w:eastAsia="Times New Roman" w:hAnsiTheme="minorHAnsi" w:cstheme="minorHAnsi"/>
                <w:sz w:val="14"/>
                <w:szCs w:val="14"/>
                <w:lang w:eastAsia="cs-CZ"/>
              </w:rPr>
              <w:t xml:space="preserve">ozhodnutí </w:t>
            </w:r>
            <w:r w:rsidRPr="00FF6F84">
              <w:rPr>
                <w:rFonts w:asciiTheme="minorHAnsi" w:eastAsia="Times New Roman" w:hAnsiTheme="minorHAnsi" w:cstheme="minorHAnsi"/>
                <w:sz w:val="14"/>
                <w:szCs w:val="14"/>
                <w:lang w:eastAsia="cs-CZ"/>
              </w:rPr>
              <w:t xml:space="preserve">KÚ = </w:t>
            </w:r>
            <w:r w:rsidRPr="00A66BEA">
              <w:rPr>
                <w:rFonts w:asciiTheme="minorHAnsi" w:eastAsia="Times New Roman" w:hAnsiTheme="minorHAnsi" w:cstheme="minorHAnsi"/>
                <w:sz w:val="14"/>
                <w:szCs w:val="14"/>
                <w:lang w:eastAsia="cs-CZ"/>
              </w:rPr>
              <w:t xml:space="preserve">zrušení </w:t>
            </w:r>
            <w:r w:rsidRPr="00FF6F84">
              <w:rPr>
                <w:rFonts w:asciiTheme="minorHAnsi" w:eastAsia="Times New Roman" w:hAnsiTheme="minorHAnsi" w:cstheme="minorHAnsi"/>
                <w:sz w:val="14"/>
                <w:szCs w:val="14"/>
                <w:lang w:eastAsia="cs-CZ"/>
              </w:rPr>
              <w:t>r</w:t>
            </w:r>
            <w:r w:rsidRPr="00A66BEA">
              <w:rPr>
                <w:rFonts w:asciiTheme="minorHAnsi" w:eastAsia="Times New Roman" w:hAnsiTheme="minorHAnsi" w:cstheme="minorHAnsi"/>
                <w:sz w:val="14"/>
                <w:szCs w:val="14"/>
                <w:lang w:eastAsia="cs-CZ"/>
              </w:rPr>
              <w:t>ozhodnutí z</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19</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vráceno k novému projednání. 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20 pokračování řízení. </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3</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21 výzva k předložení </w:t>
            </w:r>
            <w:r w:rsidRPr="00FF6F84">
              <w:rPr>
                <w:rFonts w:asciiTheme="minorHAnsi" w:eastAsia="Times New Roman" w:hAnsiTheme="minorHAnsi" w:cstheme="minorHAnsi"/>
                <w:sz w:val="14"/>
                <w:szCs w:val="14"/>
                <w:lang w:eastAsia="cs-CZ"/>
              </w:rPr>
              <w:t>posudku – odvolání ze</w:t>
            </w:r>
            <w:r w:rsidRPr="00A66BEA">
              <w:rPr>
                <w:rFonts w:asciiTheme="minorHAnsi" w:eastAsia="Times New Roman" w:hAnsiTheme="minorHAnsi" w:cstheme="minorHAnsi"/>
                <w:sz w:val="14"/>
                <w:szCs w:val="14"/>
                <w:lang w:eastAsia="cs-CZ"/>
              </w:rPr>
              <w:t xml:space="preserve"> dne 18</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21 - odvolání řeší </w:t>
            </w:r>
            <w:r w:rsidRPr="00FF6F84">
              <w:rPr>
                <w:rFonts w:asciiTheme="minorHAnsi" w:eastAsia="Times New Roman" w:hAnsiTheme="minorHAnsi" w:cstheme="minorHAnsi"/>
                <w:sz w:val="14"/>
                <w:szCs w:val="14"/>
                <w:lang w:eastAsia="cs-CZ"/>
              </w:rPr>
              <w:t>KÚ.</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I/36 Sezemice obchvat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vaný není znám aj. dle § 5 odst. 5a)</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A</w:t>
            </w:r>
            <w:r w:rsidRPr="00A66BEA">
              <w:rPr>
                <w:rFonts w:asciiTheme="minorHAnsi" w:eastAsia="Times New Roman" w:hAnsiTheme="minorHAnsi" w:cstheme="minorHAnsi"/>
                <w:sz w:val="14"/>
                <w:szCs w:val="14"/>
                <w:lang w:eastAsia="cs-CZ"/>
              </w:rPr>
              <w:t>dresát na uvedené adrese neznámý</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33 320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D6 Hořesedly</w:t>
            </w:r>
            <w:r w:rsidRPr="00800C58">
              <w:rPr>
                <w:rFonts w:asciiTheme="minorHAnsi" w:eastAsia="Times New Roman" w:hAnsiTheme="minorHAnsi" w:cstheme="minorHAnsi"/>
                <w:b w:val="0"/>
                <w:bCs w:val="0"/>
                <w:sz w:val="14"/>
                <w:szCs w:val="14"/>
                <w:lang w:eastAsia="cs-CZ"/>
              </w:rPr>
              <w:t xml:space="preserve"> </w:t>
            </w:r>
            <w:r w:rsidRPr="00A66BEA">
              <w:rPr>
                <w:rFonts w:asciiTheme="minorHAnsi" w:eastAsia="Times New Roman" w:hAnsiTheme="minorHAnsi" w:cstheme="minorHAnsi"/>
                <w:b w:val="0"/>
                <w:bCs w:val="0"/>
                <w:sz w:val="14"/>
                <w:szCs w:val="14"/>
                <w:lang w:eastAsia="cs-CZ"/>
              </w:rPr>
              <w:t>přeložka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V</w:t>
            </w:r>
            <w:r w:rsidRPr="00A66BEA">
              <w:rPr>
                <w:rFonts w:asciiTheme="minorHAnsi" w:eastAsia="Times New Roman" w:hAnsiTheme="minorHAnsi" w:cstheme="minorHAnsi"/>
                <w:sz w:val="14"/>
                <w:szCs w:val="14"/>
                <w:lang w:eastAsia="cs-CZ"/>
              </w:rPr>
              <w:t>odní plocha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w:t>
            </w:r>
            <w:r w:rsidRPr="00FF6F84">
              <w:rPr>
                <w:rFonts w:asciiTheme="minorHAnsi" w:eastAsia="Times New Roman" w:hAnsiTheme="minorHAnsi" w:cstheme="minorHAnsi"/>
                <w:sz w:val="14"/>
                <w:szCs w:val="14"/>
                <w:lang w:eastAsia="cs-CZ"/>
              </w:rPr>
              <w:t>/2</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esouhlas vlastníka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108</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D22D54"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D6 Krupá, přeložka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w:t>
            </w:r>
            <w:r w:rsidRPr="00FF6F84">
              <w:rPr>
                <w:rFonts w:asciiTheme="minorHAnsi" w:eastAsia="Times New Roman" w:hAnsiTheme="minorHAnsi" w:cstheme="minorHAnsi"/>
                <w:sz w:val="14"/>
                <w:szCs w:val="14"/>
                <w:lang w:eastAsia="cs-CZ"/>
              </w:rPr>
              <w:t>/2</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Jiné</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V</w:t>
            </w:r>
            <w:r w:rsidRPr="00A66BEA">
              <w:rPr>
                <w:rFonts w:asciiTheme="minorHAnsi" w:eastAsia="Times New Roman" w:hAnsiTheme="minorHAnsi" w:cstheme="minorHAnsi"/>
                <w:sz w:val="14"/>
                <w:szCs w:val="14"/>
                <w:lang w:eastAsia="cs-CZ"/>
              </w:rPr>
              <w:t>yvlastňovaný</w:t>
            </w:r>
            <w:r w:rsidRPr="00A66BEA">
              <w:rPr>
                <w:rFonts w:asciiTheme="minorHAnsi" w:eastAsia="Times New Roman" w:hAnsiTheme="minorHAnsi" w:cstheme="minorHAnsi"/>
                <w:sz w:val="14"/>
                <w:szCs w:val="14"/>
                <w:lang w:eastAsia="cs-CZ"/>
              </w:rPr>
              <w:t xml:space="preserve"> nežije</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2 344</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ebylo nařízeno</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D</w:t>
            </w:r>
            <w:r w:rsidRPr="00A66BEA">
              <w:rPr>
                <w:rFonts w:asciiTheme="minorHAnsi" w:eastAsia="Times New Roman" w:hAnsiTheme="minorHAnsi" w:cstheme="minorHAnsi"/>
                <w:sz w:val="14"/>
                <w:szCs w:val="14"/>
                <w:lang w:eastAsia="cs-CZ"/>
              </w:rPr>
              <w:t>osud nerozhod</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nuto</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D</w:t>
            </w:r>
            <w:r w:rsidRPr="00A66BEA">
              <w:rPr>
                <w:rFonts w:asciiTheme="minorHAnsi" w:eastAsia="Times New Roman" w:hAnsiTheme="minorHAnsi" w:cstheme="minorHAnsi"/>
                <w:sz w:val="14"/>
                <w:szCs w:val="14"/>
                <w:lang w:eastAsia="cs-CZ"/>
              </w:rPr>
              <w:t>osud nerozhod</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nuto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tále se dohledávají dědicové</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Stavba I/58 Mošnov-</w:t>
            </w:r>
            <w:r w:rsidRPr="00A66BEA">
              <w:rPr>
                <w:rFonts w:asciiTheme="minorHAnsi" w:eastAsia="Times New Roman" w:hAnsiTheme="minorHAnsi" w:cstheme="minorHAnsi"/>
                <w:b w:val="0"/>
                <w:bCs w:val="0"/>
                <w:sz w:val="14"/>
                <w:szCs w:val="14"/>
                <w:lang w:eastAsia="cs-CZ"/>
              </w:rPr>
              <w:lastRenderedPageBreak/>
              <w:t>obchvat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lastRenderedPageBreak/>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Odnětí vlastnického </w:t>
            </w:r>
            <w:r w:rsidRPr="00A66BEA">
              <w:rPr>
                <w:rFonts w:asciiTheme="minorHAnsi" w:eastAsia="Times New Roman" w:hAnsiTheme="minorHAnsi" w:cstheme="minorHAnsi"/>
                <w:sz w:val="14"/>
                <w:szCs w:val="14"/>
                <w:lang w:eastAsia="cs-CZ"/>
              </w:rPr>
              <w:lastRenderedPageBreak/>
              <w:t>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lastRenderedPageBreak/>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/2</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 xml:space="preserve">epodařilo se uzavřít </w:t>
            </w:r>
            <w:r w:rsidRPr="00A66BEA">
              <w:rPr>
                <w:rFonts w:asciiTheme="minorHAnsi" w:eastAsia="Times New Roman" w:hAnsiTheme="minorHAnsi" w:cstheme="minorHAnsi"/>
                <w:sz w:val="14"/>
                <w:szCs w:val="14"/>
                <w:lang w:eastAsia="cs-CZ"/>
              </w:rPr>
              <w:lastRenderedPageBreak/>
              <w:t>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lastRenderedPageBreak/>
              <w:t>Úmrtí</w:t>
            </w:r>
            <w:r w:rsidRPr="00A66BEA">
              <w:rPr>
                <w:rFonts w:asciiTheme="minorHAnsi" w:eastAsia="Times New Roman" w:hAnsiTheme="minorHAnsi" w:cstheme="minorHAnsi"/>
                <w:sz w:val="14"/>
                <w:szCs w:val="14"/>
                <w:lang w:eastAsia="cs-CZ"/>
              </w:rPr>
              <w:t xml:space="preserve"> vlastníků</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27 620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I/33 Jaroměř obchvat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vaný není znám aj. dle § 5 odst. 5a)</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soba evidovan</w:t>
            </w:r>
            <w:r w:rsidRPr="00FF6F84">
              <w:rPr>
                <w:rFonts w:asciiTheme="minorHAnsi" w:eastAsia="Times New Roman" w:hAnsiTheme="minorHAnsi" w:cstheme="minorHAnsi"/>
                <w:sz w:val="14"/>
                <w:szCs w:val="14"/>
                <w:lang w:eastAsia="cs-CZ"/>
              </w:rPr>
              <w:t>á</w:t>
            </w:r>
            <w:r w:rsidRPr="00A66BEA">
              <w:rPr>
                <w:rFonts w:asciiTheme="minorHAnsi" w:eastAsia="Times New Roman" w:hAnsiTheme="minorHAnsi" w:cstheme="minorHAnsi"/>
                <w:sz w:val="14"/>
                <w:szCs w:val="14"/>
                <w:lang w:eastAsia="cs-CZ"/>
              </w:rPr>
              <w:t xml:space="preserve"> v KN bez identifikátoru, nepodařilo se ji dohledat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52 180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tandardní případ</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Došlo k odnětí vlastnického práva ve prospěch ČR s příslušností ho</w:t>
            </w: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 xml:space="preserve">podařit pro ŘSD, složení </w:t>
            </w:r>
            <w:r w:rsidRPr="00FF6F84">
              <w:rPr>
                <w:rFonts w:asciiTheme="minorHAnsi" w:eastAsia="Times New Roman" w:hAnsiTheme="minorHAnsi" w:cstheme="minorHAnsi"/>
                <w:sz w:val="14"/>
                <w:szCs w:val="14"/>
                <w:lang w:eastAsia="cs-CZ"/>
              </w:rPr>
              <w:t>financí</w:t>
            </w:r>
            <w:r w:rsidRPr="00A66BEA">
              <w:rPr>
                <w:rFonts w:asciiTheme="minorHAnsi" w:eastAsia="Times New Roman" w:hAnsiTheme="minorHAnsi" w:cstheme="minorHAnsi"/>
                <w:sz w:val="14"/>
                <w:szCs w:val="14"/>
                <w:lang w:eastAsia="cs-CZ"/>
              </w:rPr>
              <w:t xml:space="preserve"> do úschovy soudu</w:t>
            </w:r>
            <w:r w:rsidRPr="00FF6F84">
              <w:rPr>
                <w:rFonts w:asciiTheme="minorHAnsi" w:eastAsia="Times New Roman" w:hAnsiTheme="minorHAnsi" w:cstheme="minorHAnsi"/>
                <w:sz w:val="14"/>
                <w:szCs w:val="14"/>
                <w:lang w:eastAsia="cs-CZ"/>
              </w:rPr>
              <w:t xml:space="preserve">.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álnice D55, stavba 5507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 1 m</w:t>
            </w:r>
            <w:r w:rsidRPr="00A66BEA">
              <w:rPr>
                <w:rFonts w:asciiTheme="minorHAnsi" w:eastAsia="Times New Roman" w:hAnsiTheme="minorHAnsi" w:cstheme="minorHAnsi"/>
                <w:sz w:val="14"/>
                <w:szCs w:val="14"/>
                <w:vertAlign w:val="superscript"/>
                <w:lang w:eastAsia="cs-CZ"/>
              </w:rPr>
              <w:t>2</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vaný je omezen ve smluvní volnosti</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Z</w:t>
            </w:r>
            <w:r w:rsidRPr="00A66BEA">
              <w:rPr>
                <w:rFonts w:asciiTheme="minorHAnsi" w:eastAsia="Times New Roman" w:hAnsiTheme="minorHAnsi" w:cstheme="minorHAnsi"/>
                <w:sz w:val="14"/>
                <w:szCs w:val="14"/>
                <w:lang w:eastAsia="cs-CZ"/>
              </w:rPr>
              <w:t>ástavní právo smluvní, zástavní věřitel odmítl dát s uzavřením smlouvy souhlas</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r w:rsidRPr="00FF6F84">
              <w:rPr>
                <w:rFonts w:asciiTheme="minorHAnsi" w:eastAsia="Times New Roman" w:hAnsiTheme="minorHAnsi" w:cstheme="minorHAnsi"/>
                <w:sz w:val="14"/>
                <w:szCs w:val="14"/>
                <w:lang w:eastAsia="cs-CZ"/>
              </w:rPr>
              <w:t xml:space="preserve"> (A</w:t>
            </w:r>
            <w:r w:rsidRPr="00A66BEA">
              <w:rPr>
                <w:rFonts w:asciiTheme="minorHAnsi" w:eastAsia="Times New Roman" w:hAnsiTheme="minorHAnsi" w:cstheme="minorHAnsi"/>
                <w:sz w:val="14"/>
                <w:szCs w:val="14"/>
                <w:lang w:eastAsia="cs-CZ"/>
              </w:rPr>
              <w:t>ž 24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18 </w:t>
            </w:r>
            <w:r w:rsidRPr="00FF6F84">
              <w:rPr>
                <w:rFonts w:asciiTheme="minorHAnsi" w:eastAsia="Times New Roman" w:hAnsiTheme="minorHAnsi" w:cstheme="minorHAnsi"/>
                <w:sz w:val="14"/>
                <w:szCs w:val="14"/>
                <w:lang w:eastAsia="cs-CZ"/>
              </w:rPr>
              <w:t>u</w:t>
            </w:r>
            <w:r w:rsidRPr="00A66BEA">
              <w:rPr>
                <w:rFonts w:asciiTheme="minorHAnsi" w:eastAsia="Times New Roman" w:hAnsiTheme="minorHAnsi" w:cstheme="minorHAnsi"/>
                <w:sz w:val="14"/>
                <w:szCs w:val="14"/>
                <w:lang w:eastAsia="cs-CZ"/>
              </w:rPr>
              <w:t xml:space="preserve">stanoven znalec </w:t>
            </w:r>
            <w:r w:rsidRPr="00FF6F84">
              <w:rPr>
                <w:rFonts w:asciiTheme="minorHAnsi" w:eastAsia="Times New Roman" w:hAnsiTheme="minorHAnsi" w:cstheme="minorHAnsi"/>
                <w:sz w:val="14"/>
                <w:szCs w:val="14"/>
                <w:lang w:eastAsia="cs-CZ"/>
              </w:rPr>
              <w:t>VÚ,</w:t>
            </w:r>
            <w:r w:rsidRPr="00A66BEA">
              <w:rPr>
                <w:rFonts w:asciiTheme="minorHAnsi" w:eastAsia="Times New Roman" w:hAnsiTheme="minorHAnsi" w:cstheme="minorHAnsi"/>
                <w:sz w:val="14"/>
                <w:szCs w:val="14"/>
                <w:lang w:eastAsia="cs-CZ"/>
              </w:rPr>
              <w:t xml:space="preserve"> až na </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4</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 nařízeno úst</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 j</w:t>
            </w:r>
            <w:r w:rsidRPr="00FF6F84">
              <w:rPr>
                <w:rFonts w:asciiTheme="minorHAnsi" w:eastAsia="Times New Roman" w:hAnsiTheme="minorHAnsi" w:cstheme="minorHAnsi"/>
                <w:sz w:val="14"/>
                <w:szCs w:val="14"/>
                <w:lang w:eastAsia="cs-CZ"/>
              </w:rPr>
              <w: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 xml:space="preserve">Klasický </w:t>
            </w:r>
            <w:r w:rsidRPr="00A66BEA">
              <w:rPr>
                <w:rFonts w:asciiTheme="minorHAnsi" w:eastAsia="Times New Roman" w:hAnsiTheme="minorHAnsi" w:cstheme="minorHAnsi"/>
                <w:sz w:val="14"/>
                <w:szCs w:val="14"/>
                <w:lang w:eastAsia="cs-CZ"/>
              </w:rPr>
              <w:t>bezproblémový případ</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álnice D55, stavba 5507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 podíl 1/40</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Style w:val="Znakapoznpodarou"/>
                <w:rFonts w:asciiTheme="minorHAnsi" w:eastAsia="Times New Roman" w:hAnsiTheme="minorHAnsi" w:cstheme="minorHAnsi"/>
                <w:sz w:val="14"/>
                <w:szCs w:val="14"/>
                <w:lang w:eastAsia="cs-CZ"/>
              </w:rPr>
              <w:footnoteReference w:id="8"/>
            </w:r>
            <w:r w:rsidRPr="00FF6F84">
              <w:rPr>
                <w:rFonts w:asciiTheme="minorHAnsi" w:eastAsia="Times New Roman" w:hAnsiTheme="minorHAnsi" w:cstheme="minorHAnsi"/>
                <w:sz w:val="14"/>
                <w:szCs w:val="14"/>
                <w:lang w:eastAsia="cs-CZ"/>
              </w:rPr>
              <w:t>Obstrukce</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31 030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r w:rsidRPr="00FF6F84">
              <w:rPr>
                <w:rFonts w:asciiTheme="minorHAnsi" w:eastAsia="Times New Roman" w:hAnsiTheme="minorHAnsi" w:cstheme="minorHAnsi"/>
                <w:sz w:val="14"/>
                <w:szCs w:val="14"/>
                <w:lang w:eastAsia="cs-CZ"/>
              </w:rPr>
              <w:t xml:space="preserve"> Řízení n</w:t>
            </w:r>
            <w:r w:rsidRPr="00A66BEA">
              <w:rPr>
                <w:rFonts w:asciiTheme="minorHAnsi" w:eastAsia="Times New Roman" w:hAnsiTheme="minorHAnsi" w:cstheme="minorHAnsi"/>
                <w:sz w:val="14"/>
                <w:szCs w:val="14"/>
                <w:lang w:eastAsia="cs-CZ"/>
              </w:rPr>
              <w:t xml:space="preserve">ebylo přerušeno, vyvlastňovaný ale opakovaně žádá o nahlížení do spisu, zasílá na </w:t>
            </w:r>
            <w:r w:rsidRPr="00FF6F84">
              <w:rPr>
                <w:rFonts w:asciiTheme="minorHAnsi" w:eastAsia="Times New Roman" w:hAnsiTheme="minorHAnsi" w:cstheme="minorHAnsi"/>
                <w:sz w:val="14"/>
                <w:szCs w:val="14"/>
                <w:lang w:eastAsia="cs-CZ"/>
              </w:rPr>
              <w:t>VÚ</w:t>
            </w:r>
            <w:r w:rsidRPr="00A66BEA">
              <w:rPr>
                <w:rFonts w:asciiTheme="minorHAnsi" w:eastAsia="Times New Roman" w:hAnsiTheme="minorHAnsi" w:cstheme="minorHAnsi"/>
                <w:sz w:val="14"/>
                <w:szCs w:val="14"/>
                <w:lang w:eastAsia="cs-CZ"/>
              </w:rPr>
              <w:t xml:space="preserve"> zmatečné dopisy a požadavky, se kterými se musí úřad vypořádat</w:t>
            </w:r>
            <w:r w:rsidRPr="00FF6F84">
              <w:rPr>
                <w:rFonts w:asciiTheme="minorHAnsi" w:eastAsia="Times New Roman" w:hAnsiTheme="minorHAnsi" w:cstheme="minorHAnsi"/>
                <w:sz w:val="14"/>
                <w:szCs w:val="14"/>
                <w:lang w:eastAsia="cs-CZ"/>
              </w:rPr>
              <w: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oběma výrokům</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Style w:val="Znakapoznpodarou"/>
                <w:rFonts w:asciiTheme="minorHAnsi" w:eastAsia="Times New Roman" w:hAnsiTheme="minorHAnsi" w:cstheme="minorHAnsi"/>
                <w:sz w:val="14"/>
                <w:szCs w:val="14"/>
                <w:lang w:eastAsia="cs-CZ"/>
              </w:rPr>
              <w:footnoteReference w:id="9"/>
            </w:r>
            <w:r w:rsidRPr="00FF6F84">
              <w:rPr>
                <w:rFonts w:asciiTheme="minorHAnsi" w:eastAsia="Times New Roman" w:hAnsiTheme="minorHAnsi" w:cstheme="minorHAnsi"/>
                <w:sz w:val="14"/>
                <w:szCs w:val="14"/>
                <w:lang w:eastAsia="cs-CZ"/>
              </w:rPr>
              <w:t>Obstrukce</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 xml:space="preserve">I/3 Olbramovice </w:t>
            </w:r>
            <w:r w:rsidRPr="00A66BEA">
              <w:rPr>
                <w:rFonts w:asciiTheme="minorHAnsi" w:eastAsia="Times New Roman" w:hAnsiTheme="minorHAnsi" w:cstheme="minorHAnsi"/>
                <w:b w:val="0"/>
                <w:bCs w:val="0"/>
                <w:sz w:val="14"/>
                <w:szCs w:val="14"/>
                <w:lang w:eastAsia="cs-CZ"/>
              </w:rPr>
              <w:t>obchvat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ole</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Z</w:t>
            </w:r>
            <w:r w:rsidRPr="00A66BEA">
              <w:rPr>
                <w:rFonts w:asciiTheme="minorHAnsi" w:eastAsia="Times New Roman" w:hAnsiTheme="minorHAnsi" w:cstheme="minorHAnsi"/>
                <w:sz w:val="14"/>
                <w:szCs w:val="14"/>
                <w:lang w:eastAsia="cs-CZ"/>
              </w:rPr>
              <w:t xml:space="preserve"> důvodu vyšší finanční náhrady, nesouhlas s obchvatem</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59 950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15</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oběma výrokům</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E</w:t>
            </w:r>
            <w:r w:rsidRPr="00A66BEA">
              <w:rPr>
                <w:rFonts w:asciiTheme="minorHAnsi" w:eastAsia="Times New Roman" w:hAnsiTheme="minorHAnsi" w:cstheme="minorHAnsi"/>
                <w:sz w:val="14"/>
                <w:szCs w:val="14"/>
                <w:lang w:eastAsia="cs-CZ"/>
              </w:rPr>
              <w:t>xemplární</w:t>
            </w:r>
            <w:r w:rsidRPr="00FF6F84">
              <w:rPr>
                <w:rFonts w:asciiTheme="minorHAnsi" w:eastAsia="Times New Roman" w:hAnsiTheme="minorHAnsi" w:cstheme="minorHAnsi"/>
                <w:sz w:val="14"/>
                <w:szCs w:val="14"/>
                <w:lang w:eastAsia="cs-CZ"/>
              </w:rPr>
              <w:t xml:space="preserve"> případ Výsledek: Z</w:t>
            </w:r>
            <w:r w:rsidRPr="00A66BEA">
              <w:rPr>
                <w:rFonts w:asciiTheme="minorHAnsi" w:eastAsia="Times New Roman" w:hAnsiTheme="minorHAnsi" w:cstheme="minorHAnsi"/>
                <w:sz w:val="14"/>
                <w:szCs w:val="14"/>
                <w:lang w:eastAsia="cs-CZ"/>
              </w:rPr>
              <w:t xml:space="preserve">amítnutí </w:t>
            </w:r>
            <w:r w:rsidRPr="00A66BEA">
              <w:rPr>
                <w:rFonts w:asciiTheme="minorHAnsi" w:eastAsia="Times New Roman" w:hAnsiTheme="minorHAnsi" w:cstheme="minorHAnsi"/>
                <w:sz w:val="14"/>
                <w:szCs w:val="14"/>
                <w:lang w:eastAsia="cs-CZ"/>
              </w:rPr>
              <w:t>žaloby z důvodu opožděného podání, dále zamítnutí kasační stížnosti</w:t>
            </w:r>
            <w:r w:rsidRPr="00FF6F84">
              <w:rPr>
                <w:rFonts w:asciiTheme="minorHAnsi" w:eastAsia="Times New Roman" w:hAnsiTheme="minorHAnsi" w:cstheme="minorHAnsi"/>
                <w:sz w:val="14"/>
                <w:szCs w:val="14"/>
                <w:lang w:eastAsia="cs-CZ"/>
              </w:rPr>
              <w:t xml:space="preserve"> </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 xml:space="preserve">Okružní </w:t>
            </w:r>
            <w:r w:rsidRPr="00A66BEA">
              <w:rPr>
                <w:rFonts w:asciiTheme="minorHAnsi" w:eastAsia="Times New Roman" w:hAnsiTheme="minorHAnsi" w:cstheme="minorHAnsi"/>
                <w:b w:val="0"/>
                <w:bCs w:val="0"/>
                <w:sz w:val="14"/>
                <w:szCs w:val="14"/>
                <w:lang w:eastAsia="cs-CZ"/>
              </w:rPr>
              <w:lastRenderedPageBreak/>
              <w:t>křižovatka I/38 a II/408 v k.ú. Přímětice</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lastRenderedPageBreak/>
              <w:t>O</w:t>
            </w:r>
            <w:r w:rsidRPr="00A66BEA">
              <w:rPr>
                <w:rFonts w:asciiTheme="minorHAnsi" w:eastAsia="Times New Roman" w:hAnsiTheme="minorHAnsi" w:cstheme="minorHAnsi"/>
                <w:sz w:val="14"/>
                <w:szCs w:val="14"/>
                <w:lang w:eastAsia="cs-CZ"/>
              </w:rPr>
              <w:t>st</w:t>
            </w:r>
            <w:r w:rsidRPr="00FF6F84">
              <w:rPr>
                <w:rFonts w:asciiTheme="minorHAnsi" w:eastAsia="Times New Roman" w:hAnsiTheme="minorHAnsi" w:cstheme="minorHAnsi"/>
                <w:sz w:val="14"/>
                <w:szCs w:val="14"/>
                <w:lang w:eastAsia="cs-CZ"/>
              </w:rPr>
              <w:t xml:space="preserve">atní </w:t>
            </w:r>
            <w:r w:rsidRPr="00A66BEA">
              <w:rPr>
                <w:rFonts w:asciiTheme="minorHAnsi" w:eastAsia="Times New Roman" w:hAnsiTheme="minorHAnsi" w:cstheme="minorHAnsi"/>
                <w:sz w:val="14"/>
                <w:szCs w:val="14"/>
                <w:lang w:eastAsia="cs-CZ"/>
              </w:rPr>
              <w:lastRenderedPageBreak/>
              <w:t>plocha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lastRenderedPageBreak/>
              <w:t xml:space="preserve">Odnětí </w:t>
            </w:r>
            <w:r w:rsidRPr="00A66BEA">
              <w:rPr>
                <w:rFonts w:asciiTheme="minorHAnsi" w:eastAsia="Times New Roman" w:hAnsiTheme="minorHAnsi" w:cstheme="minorHAnsi"/>
                <w:sz w:val="14"/>
                <w:szCs w:val="14"/>
                <w:lang w:eastAsia="cs-CZ"/>
              </w:rPr>
              <w:lastRenderedPageBreak/>
              <w:t>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lastRenderedPageBreak/>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/3</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lastRenderedPageBreak/>
              <w:t>vaný není znám aj. dle § 5 odst. 5a)</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lastRenderedPageBreak/>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18 090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r w:rsidRPr="00FF6F84">
              <w:rPr>
                <w:rFonts w:asciiTheme="minorHAnsi" w:eastAsia="Times New Roman" w:hAnsiTheme="minorHAnsi" w:cstheme="minorHAnsi"/>
                <w:sz w:val="14"/>
                <w:szCs w:val="14"/>
                <w:lang w:eastAsia="cs-CZ"/>
              </w:rPr>
              <w:t xml:space="preserve"> </w:t>
            </w:r>
            <w:r w:rsidRPr="00FF6F84">
              <w:rPr>
                <w:rFonts w:asciiTheme="minorHAnsi" w:eastAsia="Times New Roman" w:hAnsiTheme="minorHAnsi" w:cstheme="minorHAnsi"/>
                <w:sz w:val="14"/>
                <w:szCs w:val="14"/>
                <w:lang w:eastAsia="cs-CZ"/>
              </w:rPr>
              <w:lastRenderedPageBreak/>
              <w:t xml:space="preserve">(přerušeno od </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r w:rsidRPr="00FF6F84">
              <w:rPr>
                <w:rFonts w:asciiTheme="minorHAnsi" w:eastAsia="Times New Roman" w:hAnsiTheme="minorHAnsi" w:cstheme="minorHAnsi"/>
                <w:sz w:val="14"/>
                <w:szCs w:val="14"/>
                <w:lang w:eastAsia="cs-CZ"/>
              </w:rPr>
              <w:t xml:space="preserve"> do </w:t>
            </w:r>
            <w:r w:rsidRPr="00A66BEA">
              <w:rPr>
                <w:rFonts w:asciiTheme="minorHAnsi" w:eastAsia="Times New Roman" w:hAnsiTheme="minorHAnsi" w:cstheme="minorHAnsi"/>
                <w:sz w:val="14"/>
                <w:szCs w:val="14"/>
                <w:lang w:eastAsia="cs-CZ"/>
              </w:rPr>
              <w:t>27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r w:rsidRPr="00FF6F84">
              <w:rPr>
                <w:rFonts w:asciiTheme="minorHAnsi" w:eastAsia="Times New Roman" w:hAnsiTheme="minorHAnsi" w:cstheme="minorHAnsi"/>
                <w:sz w:val="14"/>
                <w:szCs w:val="14"/>
                <w:lang w:eastAsia="cs-CZ"/>
              </w:rPr>
              <w:t xml:space="preserve"> kvůli </w:t>
            </w:r>
            <w:r w:rsidRPr="00A66BEA">
              <w:rPr>
                <w:rFonts w:asciiTheme="minorHAnsi" w:eastAsia="Times New Roman" w:hAnsiTheme="minorHAnsi" w:cstheme="minorHAnsi"/>
                <w:sz w:val="14"/>
                <w:szCs w:val="14"/>
                <w:lang w:eastAsia="cs-CZ"/>
              </w:rPr>
              <w:t>doplnění podkladů</w:t>
            </w:r>
            <w:r w:rsidRPr="00FF6F84">
              <w:rPr>
                <w:rFonts w:asciiTheme="minorHAnsi" w:eastAsia="Times New Roman" w:hAnsiTheme="minorHAnsi" w:cstheme="minorHAnsi"/>
                <w:sz w:val="14"/>
                <w:szCs w:val="14"/>
                <w:lang w:eastAsia="cs-CZ"/>
              </w:rPr>
              <w: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lastRenderedPageBreak/>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tandardní případ</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 xml:space="preserve">álnice </w:t>
            </w:r>
            <w:r w:rsidRPr="00800C58">
              <w:rPr>
                <w:rFonts w:asciiTheme="minorHAnsi" w:eastAsia="Times New Roman" w:hAnsiTheme="minorHAnsi" w:cstheme="minorHAnsi"/>
                <w:b w:val="0"/>
                <w:bCs w:val="0"/>
                <w:sz w:val="14"/>
                <w:szCs w:val="14"/>
                <w:lang w:eastAsia="cs-CZ"/>
              </w:rPr>
              <w:t>D4 – Křižovatka</w:t>
            </w:r>
            <w:r w:rsidRPr="00A66BEA">
              <w:rPr>
                <w:rFonts w:asciiTheme="minorHAnsi" w:eastAsia="Times New Roman" w:hAnsiTheme="minorHAnsi" w:cstheme="minorHAnsi"/>
                <w:b w:val="0"/>
                <w:bCs w:val="0"/>
                <w:sz w:val="14"/>
                <w:szCs w:val="14"/>
                <w:lang w:eastAsia="cs-CZ"/>
              </w:rPr>
              <w:t xml:space="preserve"> II/118 </w:t>
            </w:r>
            <w:r w:rsidRPr="00800C58">
              <w:rPr>
                <w:rFonts w:asciiTheme="minorHAnsi" w:eastAsia="Times New Roman" w:hAnsiTheme="minorHAnsi" w:cstheme="minorHAnsi"/>
                <w:b w:val="0"/>
                <w:bCs w:val="0"/>
                <w:sz w:val="14"/>
                <w:szCs w:val="14"/>
                <w:lang w:eastAsia="cs-CZ"/>
              </w:rPr>
              <w:t>Milín – trvalý</w:t>
            </w:r>
            <w:r w:rsidRPr="00A66BEA">
              <w:rPr>
                <w:rFonts w:asciiTheme="minorHAnsi" w:eastAsia="Times New Roman" w:hAnsiTheme="minorHAnsi" w:cstheme="minorHAnsi"/>
                <w:b w:val="0"/>
                <w:bCs w:val="0"/>
                <w:sz w:val="14"/>
                <w:szCs w:val="14"/>
                <w:lang w:eastAsia="cs-CZ"/>
              </w:rPr>
              <w:t xml:space="preserve"> zábor</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Dva</w:t>
            </w:r>
            <w:r w:rsidRPr="00A66BEA">
              <w:rPr>
                <w:rFonts w:asciiTheme="minorHAnsi" w:eastAsia="Times New Roman" w:hAnsiTheme="minorHAnsi" w:cstheme="minorHAnsi"/>
                <w:sz w:val="14"/>
                <w:szCs w:val="14"/>
                <w:lang w:eastAsia="cs-CZ"/>
              </w:rPr>
              <w:t xml:space="preserve"> </w:t>
            </w:r>
            <w:r w:rsidRPr="00FF6F84">
              <w:rPr>
                <w:rFonts w:asciiTheme="minorHAnsi" w:eastAsia="Times New Roman" w:hAnsiTheme="minorHAnsi" w:cstheme="minorHAnsi"/>
                <w:sz w:val="14"/>
                <w:szCs w:val="14"/>
                <w:lang w:eastAsia="cs-CZ"/>
              </w:rPr>
              <w:t>pozemky – orná půda +</w:t>
            </w:r>
            <w:r w:rsidRPr="00A66BEA">
              <w:rPr>
                <w:rFonts w:asciiTheme="minorHAnsi" w:eastAsia="Times New Roman" w:hAnsiTheme="minorHAnsi" w:cstheme="minorHAnsi"/>
                <w:sz w:val="14"/>
                <w:szCs w:val="14"/>
                <w:lang w:eastAsia="cs-CZ"/>
              </w:rPr>
              <w:t xml:space="preserve"> druhý dle KN také, jedná se ale o zpevněný silniční sjezd ze silnice III. třídy</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184/2006</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416/2009</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13/1997</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Pr>
                <w:rStyle w:val="Znakapoznpodarou"/>
                <w:rFonts w:asciiTheme="minorHAnsi" w:eastAsia="Times New Roman" w:hAnsiTheme="minorHAnsi" w:cstheme="minorHAnsi"/>
                <w:sz w:val="14"/>
                <w:szCs w:val="14"/>
                <w:lang w:eastAsia="cs-CZ"/>
              </w:rPr>
              <w:footnoteReference w:id="10"/>
            </w:r>
            <w:r w:rsidRPr="00FF6F84">
              <w:rPr>
                <w:rFonts w:asciiTheme="minorHAnsi" w:eastAsia="Times New Roman" w:hAnsiTheme="minorHAnsi" w:cstheme="minorHAnsi"/>
                <w:sz w:val="14"/>
                <w:szCs w:val="14"/>
                <w:lang w:eastAsia="cs-CZ"/>
              </w:rPr>
              <w:t>Obstrukce</w:t>
            </w:r>
            <w:r w:rsidRPr="00A66BEA">
              <w:rPr>
                <w:rFonts w:asciiTheme="minorHAnsi" w:eastAsia="Times New Roman" w:hAnsiTheme="minorHAnsi" w:cstheme="minorHAnsi"/>
                <w:sz w:val="14"/>
                <w:szCs w:val="14"/>
                <w:lang w:eastAsia="cs-CZ"/>
              </w:rPr>
              <w:t xml:space="preserve">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D</w:t>
            </w:r>
            <w:r w:rsidRPr="00A66BEA">
              <w:rPr>
                <w:rFonts w:asciiTheme="minorHAnsi" w:eastAsia="Times New Roman" w:hAnsiTheme="minorHAnsi" w:cstheme="minorHAnsi"/>
                <w:sz w:val="14"/>
                <w:szCs w:val="14"/>
                <w:lang w:eastAsia="cs-CZ"/>
              </w:rPr>
              <w:t>le znaleckého posudku 18 320 Kč, v</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předvyvl</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procesu cca 113</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000 Kč</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 xml:space="preserve">(násobek </w:t>
            </w:r>
            <w:r w:rsidRPr="00A66BEA">
              <w:rPr>
                <w:rFonts w:asciiTheme="minorHAnsi" w:eastAsia="Times New Roman" w:hAnsiTheme="minorHAnsi" w:cstheme="minorHAnsi"/>
                <w:sz w:val="14"/>
                <w:szCs w:val="14"/>
                <w:lang w:eastAsia="cs-CZ"/>
              </w:rPr>
              <w:t>koeficient</w:t>
            </w:r>
            <w:r w:rsidRPr="00FF6F84">
              <w:rPr>
                <w:rFonts w:asciiTheme="minorHAnsi" w:eastAsia="Times New Roman" w:hAnsiTheme="minorHAnsi" w:cstheme="minorHAnsi"/>
                <w:sz w:val="14"/>
                <w:szCs w:val="14"/>
                <w:lang w:eastAsia="cs-CZ"/>
              </w:rPr>
              <w:t>u</w:t>
            </w:r>
            <w:r w:rsidRPr="00A66BEA">
              <w:rPr>
                <w:rFonts w:asciiTheme="minorHAnsi" w:eastAsia="Times New Roman" w:hAnsiTheme="minorHAnsi" w:cstheme="minorHAnsi"/>
                <w:sz w:val="14"/>
                <w:szCs w:val="14"/>
                <w:lang w:eastAsia="cs-CZ"/>
              </w:rPr>
              <w:t>)</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23</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řerušeno</w:t>
            </w:r>
            <w:r w:rsidRPr="00FF6F84">
              <w:rPr>
                <w:rFonts w:asciiTheme="minorHAnsi" w:eastAsia="Times New Roman" w:hAnsiTheme="minorHAnsi" w:cstheme="minorHAnsi"/>
                <w:sz w:val="14"/>
                <w:szCs w:val="14"/>
                <w:lang w:eastAsia="cs-CZ"/>
              </w:rPr>
              <w:t xml:space="preserve"> od </w:t>
            </w:r>
            <w:r w:rsidRPr="00A66BEA">
              <w:rPr>
                <w:rFonts w:asciiTheme="minorHAnsi" w:eastAsia="Times New Roman" w:hAnsiTheme="minorHAnsi" w:cstheme="minorHAnsi"/>
                <w:sz w:val="14"/>
                <w:szCs w:val="14"/>
                <w:lang w:eastAsia="cs-CZ"/>
              </w:rPr>
              <w:t>25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r w:rsidRPr="00FF6F84">
              <w:rPr>
                <w:rFonts w:asciiTheme="minorHAnsi" w:eastAsia="Times New Roman" w:hAnsiTheme="minorHAnsi" w:cstheme="minorHAnsi"/>
                <w:sz w:val="14"/>
                <w:szCs w:val="14"/>
                <w:lang w:eastAsia="cs-CZ"/>
              </w:rPr>
              <w:t xml:space="preserve"> (o</w:t>
            </w:r>
            <w:r w:rsidRPr="00A66BEA">
              <w:rPr>
                <w:rFonts w:asciiTheme="minorHAnsi" w:eastAsia="Times New Roman" w:hAnsiTheme="minorHAnsi" w:cstheme="minorHAnsi"/>
                <w:sz w:val="14"/>
                <w:szCs w:val="14"/>
                <w:lang w:eastAsia="cs-CZ"/>
              </w:rPr>
              <w:t>pakované námitky podjatosti</w:t>
            </w:r>
            <w:r w:rsidRPr="00FF6F84">
              <w:rPr>
                <w:rFonts w:asciiTheme="minorHAnsi" w:eastAsia="Times New Roman" w:hAnsiTheme="minorHAnsi" w:cstheme="minorHAnsi"/>
                <w:sz w:val="14"/>
                <w:szCs w:val="14"/>
                <w:lang w:eastAsia="cs-CZ"/>
              </w:rPr>
              <w: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Ř</w:t>
            </w:r>
            <w:r w:rsidRPr="00A66BEA">
              <w:rPr>
                <w:rFonts w:asciiTheme="minorHAnsi" w:eastAsia="Times New Roman" w:hAnsiTheme="minorHAnsi" w:cstheme="minorHAnsi"/>
                <w:sz w:val="14"/>
                <w:szCs w:val="14"/>
                <w:lang w:eastAsia="cs-CZ"/>
              </w:rPr>
              <w:t>ízení přerušeno</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Ř</w:t>
            </w:r>
            <w:r w:rsidRPr="00A66BEA">
              <w:rPr>
                <w:rFonts w:asciiTheme="minorHAnsi" w:eastAsia="Times New Roman" w:hAnsiTheme="minorHAnsi" w:cstheme="minorHAnsi"/>
                <w:sz w:val="14"/>
                <w:szCs w:val="14"/>
                <w:lang w:eastAsia="cs-CZ"/>
              </w:rPr>
              <w:t>ízení přerušeno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Pr>
                <w:rStyle w:val="Znakapoznpodarou"/>
                <w:rFonts w:asciiTheme="minorHAnsi" w:eastAsia="Times New Roman" w:hAnsiTheme="minorHAnsi" w:cstheme="minorHAnsi"/>
                <w:sz w:val="14"/>
                <w:szCs w:val="14"/>
                <w:lang w:eastAsia="cs-CZ"/>
              </w:rPr>
              <w:footnoteReference w:id="11"/>
            </w:r>
            <w:r w:rsidRPr="00FF6F84">
              <w:rPr>
                <w:rFonts w:asciiTheme="minorHAnsi" w:eastAsia="Times New Roman" w:hAnsiTheme="minorHAnsi" w:cstheme="minorHAnsi"/>
                <w:sz w:val="14"/>
                <w:szCs w:val="14"/>
                <w:lang w:eastAsia="cs-CZ"/>
              </w:rPr>
              <w:t>Obstrukce</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 xml:space="preserve">álnice D4 </w:t>
            </w:r>
            <w:r w:rsidRPr="00800C58">
              <w:rPr>
                <w:rFonts w:asciiTheme="minorHAnsi" w:eastAsia="Times New Roman" w:hAnsiTheme="minorHAnsi" w:cstheme="minorHAnsi"/>
                <w:b w:val="0"/>
                <w:bCs w:val="0"/>
                <w:sz w:val="14"/>
                <w:szCs w:val="14"/>
                <w:lang w:eastAsia="cs-CZ"/>
              </w:rPr>
              <w:t>Milín – Lety</w:t>
            </w:r>
            <w:r w:rsidRPr="00A66BEA">
              <w:rPr>
                <w:rFonts w:asciiTheme="minorHAnsi" w:eastAsia="Times New Roman" w:hAnsiTheme="minorHAnsi" w:cstheme="minorHAnsi"/>
                <w:b w:val="0"/>
                <w:bCs w:val="0"/>
                <w:sz w:val="14"/>
                <w:szCs w:val="14"/>
                <w:lang w:eastAsia="cs-CZ"/>
              </w:rPr>
              <w:t>, trvalý zábor pozemků</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184/2006</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Vlastník odmítl pozemek prodat bez udání relevantního důvodu.</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66</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16</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Nečinnost </w:t>
            </w:r>
            <w:r w:rsidRPr="00FF6F84">
              <w:rPr>
                <w:rFonts w:asciiTheme="minorHAnsi" w:eastAsia="Times New Roman" w:hAnsiTheme="minorHAnsi" w:cstheme="minorHAnsi"/>
                <w:sz w:val="14"/>
                <w:szCs w:val="14"/>
                <w:lang w:eastAsia="cs-CZ"/>
              </w:rPr>
              <w:t>VÚ</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 xml:space="preserve">D48 </w:t>
            </w:r>
            <w:r w:rsidRPr="00800C58">
              <w:rPr>
                <w:rFonts w:asciiTheme="minorHAnsi" w:eastAsia="Times New Roman" w:hAnsiTheme="minorHAnsi" w:cstheme="minorHAnsi"/>
                <w:b w:val="0"/>
                <w:bCs w:val="0"/>
                <w:sz w:val="14"/>
                <w:szCs w:val="14"/>
                <w:lang w:eastAsia="cs-CZ"/>
              </w:rPr>
              <w:t>Rychaltice – Frýdek</w:t>
            </w:r>
            <w:r w:rsidRPr="00A66BEA">
              <w:rPr>
                <w:rFonts w:asciiTheme="minorHAnsi" w:eastAsia="Times New Roman" w:hAnsiTheme="minorHAnsi" w:cstheme="minorHAnsi"/>
                <w:b w:val="0"/>
                <w:bCs w:val="0"/>
                <w:sz w:val="14"/>
                <w:szCs w:val="14"/>
                <w:lang w:eastAsia="cs-CZ"/>
              </w:rPr>
              <w:t xml:space="preserve"> Místek</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RD včetně přísluš</w:t>
            </w:r>
            <w:r w:rsidRPr="00FF6F84">
              <w:rPr>
                <w:rFonts w:asciiTheme="minorHAnsi" w:eastAsia="Times New Roman" w:hAnsiTheme="minorHAnsi" w:cstheme="minorHAnsi"/>
                <w:sz w:val="14"/>
                <w:szCs w:val="14"/>
                <w:lang w:eastAsia="cs-CZ"/>
              </w:rPr>
              <w:t>.</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184/2006</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/2</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esouhlas s cenou v kupní smlouvě</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1 875 630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oběma výrokům</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FF6F84"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Výsledek: Z</w:t>
            </w:r>
            <w:r w:rsidRPr="00A66BEA">
              <w:rPr>
                <w:rFonts w:asciiTheme="minorHAnsi" w:eastAsia="Times New Roman" w:hAnsiTheme="minorHAnsi" w:cstheme="minorHAnsi"/>
                <w:sz w:val="14"/>
                <w:szCs w:val="14"/>
                <w:lang w:eastAsia="cs-CZ"/>
              </w:rPr>
              <w:t>amítnutí žaloby vyvlastňovaných (ve věci vyvlastnění nemovitostí); o v</w:t>
            </w:r>
            <w:r w:rsidRPr="00A66BEA">
              <w:rPr>
                <w:rFonts w:asciiTheme="minorHAnsi" w:eastAsia="Times New Roman" w:hAnsiTheme="minorHAnsi" w:cstheme="minorHAnsi"/>
                <w:sz w:val="14"/>
                <w:szCs w:val="14"/>
                <w:lang w:eastAsia="cs-CZ"/>
              </w:rPr>
              <w:t>ýši náhrady za vyvlastněné nemovitosti bylo pravomocně rozhodnuto až v r. 2021</w:t>
            </w:r>
            <w:r w:rsidRPr="00FF6F84">
              <w:rPr>
                <w:rFonts w:asciiTheme="minorHAnsi" w:eastAsia="Times New Roman" w:hAnsiTheme="minorHAnsi" w:cstheme="minorHAnsi"/>
                <w:sz w:val="14"/>
                <w:szCs w:val="14"/>
                <w:lang w:eastAsia="cs-CZ"/>
              </w:rPr>
              <w:t>.</w:t>
            </w:r>
          </w:p>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Vyvlastňovaní po celou dobu řízení požadovali "dům za dům", což nemohlo ŘSD akceptovat.</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lastRenderedPageBreak/>
              <w:t>D</w:t>
            </w:r>
            <w:r w:rsidRPr="00A66BEA">
              <w:rPr>
                <w:rFonts w:asciiTheme="minorHAnsi" w:eastAsia="Times New Roman" w:hAnsiTheme="minorHAnsi" w:cstheme="minorHAnsi"/>
                <w:b w:val="0"/>
                <w:bCs w:val="0"/>
                <w:sz w:val="14"/>
                <w:szCs w:val="14"/>
                <w:lang w:eastAsia="cs-CZ"/>
              </w:rPr>
              <w:t>álnice D3 0310/I</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rovozovna stavebnin + pozemek</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184/2006</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Nesouhlas se stavbou</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57 270 260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výroku o náhradě za vyvlastnění</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18 - pro </w:t>
            </w:r>
            <w:r w:rsidRPr="00FF6F84">
              <w:rPr>
                <w:rFonts w:asciiTheme="minorHAnsi" w:eastAsia="Times New Roman" w:hAnsiTheme="minorHAnsi" w:cstheme="minorHAnsi"/>
                <w:sz w:val="14"/>
                <w:szCs w:val="14"/>
                <w:lang w:eastAsia="cs-CZ"/>
              </w:rPr>
              <w:t>vybrané v</w:t>
            </w:r>
            <w:r w:rsidRPr="00A66BEA">
              <w:rPr>
                <w:rFonts w:asciiTheme="minorHAnsi" w:eastAsia="Times New Roman" w:hAnsiTheme="minorHAnsi" w:cstheme="minorHAnsi"/>
                <w:sz w:val="14"/>
                <w:szCs w:val="14"/>
                <w:lang w:eastAsia="cs-CZ"/>
              </w:rPr>
              <w:t xml:space="preserve">ýroky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E</w:t>
            </w:r>
            <w:r w:rsidRPr="00A66BEA">
              <w:rPr>
                <w:rFonts w:asciiTheme="minorHAnsi" w:eastAsia="Times New Roman" w:hAnsiTheme="minorHAnsi" w:cstheme="minorHAnsi"/>
                <w:sz w:val="14"/>
                <w:szCs w:val="14"/>
                <w:lang w:eastAsia="cs-CZ"/>
              </w:rPr>
              <w:t>xemplární případ</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 xml:space="preserve">V současné době pokračuje řízení o stanovení </w:t>
            </w:r>
            <w:r w:rsidRPr="00A66BEA">
              <w:rPr>
                <w:rFonts w:asciiTheme="minorHAnsi" w:eastAsia="Times New Roman" w:hAnsiTheme="minorHAnsi" w:cstheme="minorHAnsi"/>
                <w:sz w:val="14"/>
                <w:szCs w:val="14"/>
                <w:lang w:eastAsia="cs-CZ"/>
              </w:rPr>
              <w:t>náhrady za ukončení nájemn</w:t>
            </w:r>
            <w:r w:rsidRPr="00FF6F84">
              <w:rPr>
                <w:rFonts w:asciiTheme="minorHAnsi" w:eastAsia="Times New Roman" w:hAnsiTheme="minorHAnsi" w:cstheme="minorHAnsi"/>
                <w:sz w:val="14"/>
                <w:szCs w:val="14"/>
                <w:lang w:eastAsia="cs-CZ"/>
              </w:rPr>
              <w:t>í</w:t>
            </w:r>
            <w:r w:rsidRPr="00A66BEA">
              <w:rPr>
                <w:rFonts w:asciiTheme="minorHAnsi" w:eastAsia="Times New Roman" w:hAnsiTheme="minorHAnsi" w:cstheme="minorHAnsi"/>
                <w:sz w:val="14"/>
                <w:szCs w:val="14"/>
                <w:lang w:eastAsia="cs-CZ"/>
              </w:rPr>
              <w:t xml:space="preserve"> smlouvy (odstupné 7</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mil) a náhrady za odstupné zaměstnancům (276</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 xml:space="preserve">tis.)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I/19 Chýnov</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P </w:t>
            </w:r>
            <w:r w:rsidRPr="00FF6F84">
              <w:rPr>
                <w:rFonts w:asciiTheme="minorHAnsi" w:eastAsia="Times New Roman" w:hAnsiTheme="minorHAnsi" w:cstheme="minorHAnsi"/>
                <w:sz w:val="14"/>
                <w:szCs w:val="14"/>
                <w:lang w:eastAsia="cs-CZ"/>
              </w:rPr>
              <w:t>Pozemek – orná</w:t>
            </w:r>
            <w:r w:rsidRPr="00A66BEA">
              <w:rPr>
                <w:rFonts w:asciiTheme="minorHAnsi" w:eastAsia="Times New Roman" w:hAnsiTheme="minorHAnsi" w:cstheme="minorHAnsi"/>
                <w:sz w:val="14"/>
                <w:szCs w:val="14"/>
                <w:lang w:eastAsia="cs-CZ"/>
              </w:rPr>
              <w:t xml:space="preserve">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184/2006</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vaný je omezen ve smluvní volnosti dle § 5 odst. 5b) - exekuce</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Exekuce</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64 335</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16</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16</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16</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16</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tandardní případ</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Stavba dálnice D7 Chlumčany</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P </w:t>
            </w: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ole</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183/2006+416/2009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Odmít</w:t>
            </w:r>
            <w:r w:rsidRPr="00FF6F84">
              <w:rPr>
                <w:rFonts w:asciiTheme="minorHAnsi" w:eastAsia="Times New Roman" w:hAnsiTheme="minorHAnsi" w:cstheme="minorHAnsi"/>
                <w:sz w:val="14"/>
                <w:szCs w:val="14"/>
                <w:lang w:eastAsia="cs-CZ"/>
              </w:rPr>
              <w:t>nutí</w:t>
            </w:r>
            <w:r w:rsidRPr="00A66BEA">
              <w:rPr>
                <w:rFonts w:asciiTheme="minorHAnsi" w:eastAsia="Times New Roman" w:hAnsiTheme="minorHAnsi" w:cstheme="minorHAnsi"/>
                <w:sz w:val="14"/>
                <w:szCs w:val="14"/>
                <w:lang w:eastAsia="cs-CZ"/>
              </w:rPr>
              <w:t xml:space="preserve"> podepsat smlouvu</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7 200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oběma výrokům</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Vlastník odmítl vypořádání a dále se odvolával</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álnice D7 Louny</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P </w:t>
            </w: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ole</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183/2006</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vaný je omezen ve smluvní volnosti dle § 5 odst. 5b)</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8 325</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álnice D3, stavba 0309/II</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ozemek pod dálnicí</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13/1997</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eshoda o kupní ceně</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578 000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oběma výrokům</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18</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FF0000"/>
                <w:sz w:val="14"/>
                <w:szCs w:val="14"/>
                <w:lang w:eastAsia="cs-CZ"/>
              </w:rPr>
            </w:pPr>
            <w:r w:rsidRPr="00FF6F84">
              <w:rPr>
                <w:rFonts w:asciiTheme="minorHAnsi" w:eastAsia="Times New Roman" w:hAnsiTheme="minorHAnsi" w:cstheme="minorHAnsi"/>
                <w:sz w:val="14"/>
                <w:szCs w:val="14"/>
                <w:lang w:eastAsia="cs-CZ"/>
              </w:rPr>
              <w:t>Ž</w:t>
            </w:r>
            <w:r w:rsidRPr="00A66BEA">
              <w:rPr>
                <w:rFonts w:asciiTheme="minorHAnsi" w:eastAsia="Times New Roman" w:hAnsiTheme="minorHAnsi" w:cstheme="minorHAnsi"/>
                <w:sz w:val="14"/>
                <w:szCs w:val="14"/>
                <w:lang w:eastAsia="cs-CZ"/>
              </w:rPr>
              <w:t>aloba byla zamítnuta a rozhodnutí o odvolání potvrzeno</w:t>
            </w:r>
            <w:r w:rsidRPr="00A66BEA">
              <w:rPr>
                <w:rFonts w:asciiTheme="minorHAnsi" w:eastAsia="Times New Roman" w:hAnsiTheme="minorHAnsi" w:cstheme="minorHAnsi"/>
                <w:color w:val="FF0000"/>
                <w:sz w:val="14"/>
                <w:szCs w:val="14"/>
                <w:lang w:eastAsia="cs-CZ"/>
              </w:rPr>
              <w:t>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álnice D11, stavba 1107</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ole</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13/1997</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eshoda o kupní ceně</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30 190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16</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 24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 30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Odvolání proti oběma výrokům</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 25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 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 21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R</w:t>
            </w:r>
            <w:r w:rsidRPr="00A66BEA">
              <w:rPr>
                <w:rFonts w:asciiTheme="minorHAnsi" w:eastAsia="Times New Roman" w:hAnsiTheme="minorHAnsi" w:cstheme="minorHAnsi"/>
                <w:sz w:val="14"/>
                <w:szCs w:val="14"/>
                <w:lang w:eastAsia="cs-CZ"/>
              </w:rPr>
              <w:t>ozhodnutí o odvolání bylo zrušeno a věc vrácena k novému projednání </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V</w:t>
            </w:r>
            <w:r w:rsidRPr="00A66BEA">
              <w:rPr>
                <w:rFonts w:asciiTheme="minorHAnsi" w:eastAsia="Times New Roman" w:hAnsiTheme="minorHAnsi" w:cstheme="minorHAnsi"/>
                <w:b w:val="0"/>
                <w:bCs w:val="0"/>
                <w:sz w:val="14"/>
                <w:szCs w:val="14"/>
                <w:lang w:eastAsia="cs-CZ"/>
              </w:rPr>
              <w:t xml:space="preserve">ypořádání staré </w:t>
            </w:r>
            <w:r w:rsidRPr="00800C58">
              <w:rPr>
                <w:rFonts w:asciiTheme="minorHAnsi" w:eastAsia="Times New Roman" w:hAnsiTheme="minorHAnsi" w:cstheme="minorHAnsi"/>
                <w:b w:val="0"/>
                <w:bCs w:val="0"/>
                <w:sz w:val="14"/>
                <w:szCs w:val="14"/>
                <w:lang w:eastAsia="cs-CZ"/>
              </w:rPr>
              <w:t>zátěže –</w:t>
            </w:r>
            <w:r w:rsidRPr="00A66BEA">
              <w:rPr>
                <w:rFonts w:asciiTheme="minorHAnsi" w:eastAsia="Times New Roman" w:hAnsiTheme="minorHAnsi" w:cstheme="minorHAnsi"/>
                <w:b w:val="0"/>
                <w:bCs w:val="0"/>
                <w:sz w:val="14"/>
                <w:szCs w:val="14"/>
                <w:lang w:eastAsia="cs-CZ"/>
              </w:rPr>
              <w:t xml:space="preserve">opravy komunikace bez nutnosti jednat s </w:t>
            </w:r>
            <w:r w:rsidRPr="00A66BEA">
              <w:rPr>
                <w:rFonts w:asciiTheme="minorHAnsi" w:eastAsia="Times New Roman" w:hAnsiTheme="minorHAnsi" w:cstheme="minorHAnsi"/>
                <w:b w:val="0"/>
                <w:bCs w:val="0"/>
                <w:sz w:val="14"/>
                <w:szCs w:val="14"/>
                <w:lang w:eastAsia="cs-CZ"/>
              </w:rPr>
              <w:t>cizími vlastníky</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T</w:t>
            </w:r>
            <w:r w:rsidRPr="00A66BEA">
              <w:rPr>
                <w:rFonts w:asciiTheme="minorHAnsi" w:eastAsia="Times New Roman" w:hAnsiTheme="minorHAnsi" w:cstheme="minorHAnsi"/>
                <w:sz w:val="14"/>
                <w:szCs w:val="14"/>
                <w:lang w:eastAsia="cs-CZ"/>
              </w:rPr>
              <w:t>ěleso silnice včetně příkopu</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13/1997</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19</w:t>
            </w:r>
            <w:r w:rsidRPr="00FF6F84">
              <w:rPr>
                <w:rFonts w:asciiTheme="minorHAnsi" w:eastAsia="Times New Roman" w:hAnsiTheme="minorHAnsi" w:cstheme="minorHAnsi"/>
                <w:sz w:val="14"/>
                <w:szCs w:val="14"/>
                <w:lang w:eastAsia="cs-CZ"/>
              </w:rPr>
              <w:t>/3</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Ž</w:t>
            </w:r>
            <w:r w:rsidRPr="00A66BEA">
              <w:rPr>
                <w:rFonts w:asciiTheme="minorHAnsi" w:eastAsia="Times New Roman" w:hAnsiTheme="minorHAnsi" w:cstheme="minorHAnsi"/>
                <w:sz w:val="14"/>
                <w:szCs w:val="14"/>
                <w:lang w:eastAsia="cs-CZ"/>
              </w:rPr>
              <w:t>ádná reakce ze strany spoluvlastníka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1 580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tandardní</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V</w:t>
            </w:r>
            <w:r w:rsidRPr="00A66BEA">
              <w:rPr>
                <w:rFonts w:asciiTheme="minorHAnsi" w:eastAsia="Times New Roman" w:hAnsiTheme="minorHAnsi" w:cstheme="minorHAnsi"/>
                <w:b w:val="0"/>
                <w:bCs w:val="0"/>
                <w:sz w:val="14"/>
                <w:szCs w:val="14"/>
                <w:lang w:eastAsia="cs-CZ"/>
              </w:rPr>
              <w:t xml:space="preserve">ypořádání staré zátěže, </w:t>
            </w:r>
            <w:r w:rsidRPr="00A66BEA">
              <w:rPr>
                <w:rFonts w:asciiTheme="minorHAnsi" w:eastAsia="Times New Roman" w:hAnsiTheme="minorHAnsi" w:cstheme="minorHAnsi"/>
                <w:b w:val="0"/>
                <w:bCs w:val="0"/>
                <w:sz w:val="14"/>
                <w:szCs w:val="14"/>
                <w:lang w:eastAsia="cs-CZ"/>
              </w:rPr>
              <w:t>vypořádání pozemků pod komunikacemi sil</w:t>
            </w:r>
            <w:r w:rsidRPr="00800C58">
              <w:rPr>
                <w:rFonts w:asciiTheme="minorHAnsi" w:eastAsia="Times New Roman" w:hAnsiTheme="minorHAnsi" w:cstheme="minorHAnsi"/>
                <w:b w:val="0"/>
                <w:bCs w:val="0"/>
                <w:sz w:val="14"/>
                <w:szCs w:val="14"/>
                <w:lang w:eastAsia="cs-CZ"/>
              </w:rPr>
              <w:t>nic</w:t>
            </w:r>
            <w:r w:rsidRPr="00A66BEA">
              <w:rPr>
                <w:rFonts w:asciiTheme="minorHAnsi" w:eastAsia="Times New Roman" w:hAnsiTheme="minorHAnsi" w:cstheme="minorHAnsi"/>
                <w:b w:val="0"/>
                <w:bCs w:val="0"/>
                <w:sz w:val="14"/>
                <w:szCs w:val="14"/>
                <w:lang w:eastAsia="cs-CZ"/>
              </w:rPr>
              <w:t xml:space="preserve"> I. třídy</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ilnice</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Odnětí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13/1997</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Jiné</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esouhlas s cenou z návrhu kupní smlouvy</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13 540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19</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S</w:t>
            </w:r>
            <w:r w:rsidRPr="00A66BEA">
              <w:rPr>
                <w:rFonts w:asciiTheme="minorHAnsi" w:eastAsia="Times New Roman" w:hAnsiTheme="minorHAnsi" w:cstheme="minorHAnsi"/>
                <w:sz w:val="14"/>
                <w:szCs w:val="14"/>
                <w:lang w:eastAsia="cs-CZ"/>
              </w:rPr>
              <w:t>tandardní případ</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t>I/33 Jaroměř, obchvat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Odnětí vlastnického </w:t>
            </w:r>
            <w:r w:rsidRPr="00A66BEA">
              <w:rPr>
                <w:rFonts w:asciiTheme="minorHAnsi" w:eastAsia="Times New Roman" w:hAnsiTheme="minorHAnsi" w:cstheme="minorHAnsi"/>
                <w:sz w:val="14"/>
                <w:szCs w:val="14"/>
                <w:lang w:eastAsia="cs-CZ"/>
              </w:rPr>
              <w:lastRenderedPageBreak/>
              <w:t>práva + Omezení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lastRenderedPageBreak/>
              <w:t>416/2009</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w:t>
            </w:r>
            <w:r w:rsidRPr="00FF6F84">
              <w:rPr>
                <w:rFonts w:asciiTheme="minorHAnsi" w:eastAsia="Times New Roman" w:hAnsiTheme="minorHAnsi" w:cstheme="minorHAnsi"/>
                <w:sz w:val="14"/>
                <w:szCs w:val="14"/>
                <w:lang w:eastAsia="cs-CZ"/>
              </w:rPr>
              <w:t>/2</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Nepodařilo se uzavřít </w:t>
            </w:r>
            <w:r w:rsidRPr="00A66BEA">
              <w:rPr>
                <w:rFonts w:asciiTheme="minorHAnsi" w:eastAsia="Times New Roman" w:hAnsiTheme="minorHAnsi" w:cstheme="minorHAnsi"/>
                <w:sz w:val="14"/>
                <w:szCs w:val="14"/>
                <w:lang w:eastAsia="cs-CZ"/>
              </w:rPr>
              <w:lastRenderedPageBreak/>
              <w:t>smlouvu</w:t>
            </w:r>
          </w:p>
        </w:tc>
        <w:tc>
          <w:tcPr>
            <w:tcW w:w="851" w:type="dxa"/>
            <w:tcMar>
              <w:left w:w="14" w:type="dxa"/>
              <w:right w:w="14" w:type="dxa"/>
            </w:tcMar>
            <w:vAlign w:val="center"/>
            <w:hideMark/>
          </w:tcPr>
          <w:p w:rsidR="00D22D54" w:rsidRPr="00A66BEA" w:rsidRDefault="00D22D54"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134 300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05</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1290" w:type="dxa"/>
            <w:tcMar>
              <w:left w:w="14" w:type="dxa"/>
              <w:right w:w="14" w:type="dxa"/>
            </w:tcMar>
            <w:vAlign w:val="center"/>
            <w:hideMark/>
          </w:tcPr>
          <w:p w:rsidR="00D22D54" w:rsidRPr="00FF6F84"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E</w:t>
            </w:r>
            <w:r w:rsidRPr="00FF6F84">
              <w:rPr>
                <w:rFonts w:asciiTheme="minorHAnsi" w:eastAsia="Times New Roman" w:hAnsiTheme="minorHAnsi" w:cstheme="minorHAnsi"/>
                <w:sz w:val="14"/>
                <w:szCs w:val="14"/>
                <w:lang w:eastAsia="cs-CZ"/>
              </w:rPr>
              <w:t xml:space="preserve">xemplární </w:t>
            </w:r>
            <w:r w:rsidRPr="00A66BEA">
              <w:rPr>
                <w:rFonts w:asciiTheme="minorHAnsi" w:eastAsia="Times New Roman" w:hAnsiTheme="minorHAnsi" w:cstheme="minorHAnsi"/>
                <w:sz w:val="14"/>
                <w:szCs w:val="14"/>
                <w:lang w:eastAsia="cs-CZ"/>
              </w:rPr>
              <w:t>případ</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Mezi</w:t>
            </w:r>
            <w:r w:rsidRPr="00FF6F84">
              <w:rPr>
                <w:rFonts w:asciiTheme="minorHAnsi" w:eastAsia="Times New Roman" w:hAnsiTheme="minorHAnsi" w:cstheme="minorHAnsi"/>
                <w:sz w:val="14"/>
                <w:szCs w:val="14"/>
                <w:lang w:eastAsia="cs-CZ"/>
              </w:rPr>
              <w:t>tí</w:t>
            </w:r>
            <w:r w:rsidRPr="00A66BEA">
              <w:rPr>
                <w:rFonts w:asciiTheme="minorHAnsi" w:eastAsia="Times New Roman" w:hAnsiTheme="minorHAnsi" w:cstheme="minorHAnsi"/>
                <w:sz w:val="14"/>
                <w:szCs w:val="14"/>
                <w:lang w:eastAsia="cs-CZ"/>
              </w:rPr>
              <w:t xml:space="preserve">mní rozhodnutí </w:t>
            </w:r>
            <w:r w:rsidRPr="00A66BEA">
              <w:rPr>
                <w:rFonts w:asciiTheme="minorHAnsi" w:eastAsia="Times New Roman" w:hAnsiTheme="minorHAnsi" w:cstheme="minorHAnsi"/>
                <w:sz w:val="14"/>
                <w:szCs w:val="14"/>
                <w:lang w:eastAsia="cs-CZ"/>
              </w:rPr>
              <w:lastRenderedPageBreak/>
              <w:t>bylo zrušeno rozsudkem Krajského soudu v Hradci Králové</w:t>
            </w:r>
            <w:r w:rsidRPr="00A66BEA">
              <w:rPr>
                <w:rFonts w:asciiTheme="minorHAnsi" w:eastAsia="Times New Roman" w:hAnsiTheme="minorHAnsi" w:cstheme="minorHAnsi"/>
                <w:sz w:val="14"/>
                <w:szCs w:val="14"/>
                <w:lang w:eastAsia="cs-CZ"/>
              </w:rPr>
              <w:t xml:space="preserve"> ze dne 21</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7</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21 a věc byla vrácena žalovanému k dalšímu řízení. </w:t>
            </w:r>
          </w:p>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Proti rozhodnutí KS v Hradci Králové podal jak žalovaný</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 tak ŘSD kasační stížnosti 30</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21, zatím bez rozhodnutí.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A66BEA">
              <w:rPr>
                <w:rFonts w:asciiTheme="minorHAnsi" w:eastAsia="Times New Roman" w:hAnsiTheme="minorHAnsi" w:cstheme="minorHAnsi"/>
                <w:b w:val="0"/>
                <w:bCs w:val="0"/>
                <w:sz w:val="14"/>
                <w:szCs w:val="14"/>
                <w:lang w:eastAsia="cs-CZ"/>
              </w:rPr>
              <w:lastRenderedPageBreak/>
              <w:t xml:space="preserve">Silnice I/35 Bílý </w:t>
            </w:r>
            <w:r w:rsidRPr="00800C58">
              <w:rPr>
                <w:rFonts w:asciiTheme="minorHAnsi" w:eastAsia="Times New Roman" w:hAnsiTheme="minorHAnsi" w:cstheme="minorHAnsi"/>
                <w:b w:val="0"/>
                <w:bCs w:val="0"/>
                <w:sz w:val="14"/>
                <w:szCs w:val="14"/>
                <w:lang w:eastAsia="cs-CZ"/>
              </w:rPr>
              <w:t>Kostel – Hrádek</w:t>
            </w:r>
            <w:r w:rsidRPr="00A66BEA">
              <w:rPr>
                <w:rFonts w:asciiTheme="minorHAnsi" w:eastAsia="Times New Roman" w:hAnsiTheme="minorHAnsi" w:cstheme="minorHAnsi"/>
                <w:b w:val="0"/>
                <w:bCs w:val="0"/>
                <w:sz w:val="14"/>
                <w:szCs w:val="14"/>
                <w:lang w:eastAsia="cs-CZ"/>
              </w:rPr>
              <w:t xml:space="preserve"> nad </w:t>
            </w:r>
            <w:r w:rsidRPr="00800C58">
              <w:rPr>
                <w:rFonts w:asciiTheme="minorHAnsi" w:eastAsia="Times New Roman" w:hAnsiTheme="minorHAnsi" w:cstheme="minorHAnsi"/>
                <w:b w:val="0"/>
                <w:bCs w:val="0"/>
                <w:sz w:val="14"/>
                <w:szCs w:val="14"/>
                <w:lang w:eastAsia="cs-CZ"/>
              </w:rPr>
              <w:t>Nisou – II</w:t>
            </w:r>
            <w:r w:rsidRPr="00A66BEA">
              <w:rPr>
                <w:rFonts w:asciiTheme="minorHAnsi" w:eastAsia="Times New Roman" w:hAnsiTheme="minorHAnsi" w:cstheme="minorHAnsi"/>
                <w:b w:val="0"/>
                <w:bCs w:val="0"/>
                <w:sz w:val="14"/>
                <w:szCs w:val="14"/>
                <w:lang w:eastAsia="cs-CZ"/>
              </w:rPr>
              <w:t>.</w:t>
            </w:r>
            <w:r w:rsidRPr="00800C58">
              <w:rPr>
                <w:rFonts w:asciiTheme="minorHAnsi" w:eastAsia="Times New Roman" w:hAnsiTheme="minorHAnsi" w:cstheme="minorHAnsi"/>
                <w:b w:val="0"/>
                <w:bCs w:val="0"/>
                <w:sz w:val="14"/>
                <w:szCs w:val="14"/>
                <w:lang w:eastAsia="cs-CZ"/>
              </w:rPr>
              <w:t xml:space="preserve"> </w:t>
            </w:r>
            <w:r w:rsidRPr="00A66BEA">
              <w:rPr>
                <w:rFonts w:asciiTheme="minorHAnsi" w:eastAsia="Times New Roman" w:hAnsiTheme="minorHAnsi" w:cstheme="minorHAnsi"/>
                <w:b w:val="0"/>
                <w:bCs w:val="0"/>
                <w:sz w:val="14"/>
                <w:szCs w:val="14"/>
                <w:lang w:eastAsia="cs-CZ"/>
              </w:rPr>
              <w:t>etapa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Odnětí vlastnického práva + Omezení vlastnického práva + Odnětí práva odpovídajícího věcnému břemenu + Omezení práva odpovídajícího věcnému břemenu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416/2009</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183/2006</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Nepodařilo se uzavřít smlouvu</w:t>
            </w:r>
          </w:p>
        </w:tc>
        <w:tc>
          <w:tcPr>
            <w:tcW w:w="851" w:type="dxa"/>
            <w:tcMar>
              <w:left w:w="14" w:type="dxa"/>
              <w:right w:w="14" w:type="dxa"/>
            </w:tcMar>
            <w:vAlign w:val="center"/>
            <w:hideMark/>
          </w:tcPr>
          <w:p w:rsidR="00D22D54" w:rsidRPr="00A66BEA" w:rsidRDefault="00D22D54"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14 600 000</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26</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Odvolání proti </w:t>
            </w:r>
            <w:r w:rsidRPr="00A66BEA">
              <w:rPr>
                <w:rFonts w:asciiTheme="minorHAnsi" w:eastAsia="Times New Roman" w:hAnsiTheme="minorHAnsi" w:cstheme="minorHAnsi"/>
                <w:sz w:val="14"/>
                <w:szCs w:val="14"/>
                <w:lang w:eastAsia="cs-CZ"/>
              </w:rPr>
              <w:t>výroku o vyvlastnění práv k pozemku nebo ke stavbě</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29</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11</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31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16</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Vyvlastňo</w:t>
            </w:r>
            <w:r w:rsidRPr="00FF6F84">
              <w:rPr>
                <w:rFonts w:asciiTheme="minorHAnsi" w:eastAsia="Times New Roman" w:hAnsiTheme="minorHAnsi" w:cstheme="minorHAnsi"/>
                <w:sz w:val="14"/>
                <w:szCs w:val="14"/>
                <w:lang w:eastAsia="cs-CZ"/>
              </w:rPr>
              <w:t>vaný</w:t>
            </w:r>
            <w:r w:rsidRPr="00A66BEA">
              <w:rPr>
                <w:rFonts w:asciiTheme="minorHAnsi" w:eastAsia="Times New Roman" w:hAnsiTheme="minorHAnsi" w:cstheme="minorHAnsi"/>
                <w:sz w:val="14"/>
                <w:szCs w:val="14"/>
                <w:lang w:eastAsia="cs-CZ"/>
              </w:rPr>
              <w:t xml:space="preserve"> podával žaloby a odvolání prostřednictvím právních zástupců ke Krajskému úřadu LK, Krajskému soud</w:t>
            </w:r>
            <w:r w:rsidRPr="00FF6F84">
              <w:rPr>
                <w:rFonts w:asciiTheme="minorHAnsi" w:eastAsia="Times New Roman" w:hAnsiTheme="minorHAnsi" w:cstheme="minorHAnsi"/>
                <w:sz w:val="14"/>
                <w:szCs w:val="14"/>
                <w:lang w:eastAsia="cs-CZ"/>
              </w:rPr>
              <w:t>u</w:t>
            </w:r>
            <w:r w:rsidRPr="00A66BEA">
              <w:rPr>
                <w:rFonts w:asciiTheme="minorHAnsi" w:eastAsia="Times New Roman" w:hAnsiTheme="minorHAnsi" w:cstheme="minorHAnsi"/>
                <w:sz w:val="14"/>
                <w:szCs w:val="14"/>
                <w:lang w:eastAsia="cs-CZ"/>
              </w:rPr>
              <w:t xml:space="preserve"> v Liberci, Vrchnímu soudu v Praze, </w:t>
            </w:r>
            <w:r w:rsidRPr="00FF6F84">
              <w:rPr>
                <w:rFonts w:asciiTheme="minorHAnsi" w:eastAsia="Times New Roman" w:hAnsiTheme="minorHAnsi" w:cstheme="minorHAnsi"/>
                <w:sz w:val="14"/>
                <w:szCs w:val="14"/>
                <w:lang w:eastAsia="cs-CZ"/>
              </w:rPr>
              <w:t>MD</w:t>
            </w:r>
            <w:r w:rsidRPr="00A66BEA">
              <w:rPr>
                <w:rFonts w:asciiTheme="minorHAnsi" w:eastAsia="Times New Roman" w:hAnsiTheme="minorHAnsi" w:cstheme="minorHAnsi"/>
                <w:sz w:val="14"/>
                <w:szCs w:val="14"/>
                <w:lang w:eastAsia="cs-CZ"/>
              </w:rPr>
              <w:t xml:space="preserve">, Nejvyššímu soudu v </w:t>
            </w:r>
            <w:r w:rsidRPr="00A66BEA">
              <w:rPr>
                <w:rFonts w:asciiTheme="minorHAnsi" w:eastAsia="Times New Roman" w:hAnsiTheme="minorHAnsi" w:cstheme="minorHAnsi"/>
                <w:sz w:val="14"/>
                <w:szCs w:val="14"/>
                <w:lang w:eastAsia="cs-CZ"/>
              </w:rPr>
              <w:t>Brně. Během řízení zemřel a dále se projednávalo je</w:t>
            </w:r>
            <w:r w:rsidRPr="00FF6F84">
              <w:rPr>
                <w:rFonts w:asciiTheme="minorHAnsi" w:eastAsia="Times New Roman" w:hAnsiTheme="minorHAnsi" w:cstheme="minorHAnsi"/>
                <w:sz w:val="14"/>
                <w:szCs w:val="14"/>
                <w:lang w:eastAsia="cs-CZ"/>
              </w:rPr>
              <w:t>ho</w:t>
            </w:r>
            <w:r w:rsidRPr="00A66BEA">
              <w:rPr>
                <w:rFonts w:asciiTheme="minorHAnsi" w:eastAsia="Times New Roman" w:hAnsiTheme="minorHAnsi" w:cstheme="minorHAnsi"/>
                <w:sz w:val="14"/>
                <w:szCs w:val="14"/>
                <w:lang w:eastAsia="cs-CZ"/>
              </w:rPr>
              <w:t xml:space="preserve"> dědictví</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 náhrada za vyvlastnění byla vyplacena až 30</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20  </w:t>
            </w:r>
          </w:p>
        </w:tc>
      </w:tr>
      <w:tr w:rsidR="00FC72A1" w:rsidTr="00FC72A1">
        <w:tc>
          <w:tcPr>
            <w:cnfStyle w:val="001000000000" w:firstRow="0" w:lastRow="0" w:firstColumn="1" w:lastColumn="0" w:oddVBand="0" w:evenVBand="0" w:oddHBand="0" w:evenHBand="0" w:firstRowFirstColumn="0" w:firstRowLastColumn="0" w:lastRowFirstColumn="0" w:lastRowLastColumn="0"/>
            <w:tcW w:w="851" w:type="dxa"/>
            <w:tcMar>
              <w:left w:w="14" w:type="dxa"/>
              <w:right w:w="14" w:type="dxa"/>
            </w:tcMar>
            <w:vAlign w:val="center"/>
            <w:hideMark/>
          </w:tcPr>
          <w:p w:rsidR="00D22D54" w:rsidRPr="00A66BEA" w:rsidRDefault="000865D6" w:rsidP="00F31EBB">
            <w:pPr>
              <w:widowControl w:val="0"/>
              <w:spacing w:before="0" w:after="0"/>
              <w:jc w:val="center"/>
              <w:rPr>
                <w:rFonts w:asciiTheme="minorHAnsi" w:eastAsia="Times New Roman" w:hAnsiTheme="minorHAnsi" w:cstheme="minorHAnsi"/>
                <w:sz w:val="14"/>
                <w:szCs w:val="14"/>
                <w:lang w:eastAsia="cs-CZ"/>
              </w:rPr>
            </w:pPr>
            <w:r w:rsidRPr="00800C58">
              <w:rPr>
                <w:rFonts w:asciiTheme="minorHAnsi" w:eastAsia="Times New Roman" w:hAnsiTheme="minorHAnsi" w:cstheme="minorHAnsi"/>
                <w:b w:val="0"/>
                <w:bCs w:val="0"/>
                <w:sz w:val="14"/>
                <w:szCs w:val="14"/>
                <w:lang w:eastAsia="cs-CZ"/>
              </w:rPr>
              <w:t>D</w:t>
            </w:r>
            <w:r w:rsidRPr="00A66BEA">
              <w:rPr>
                <w:rFonts w:asciiTheme="minorHAnsi" w:eastAsia="Times New Roman" w:hAnsiTheme="minorHAnsi" w:cstheme="minorHAnsi"/>
                <w:b w:val="0"/>
                <w:bCs w:val="0"/>
                <w:sz w:val="14"/>
                <w:szCs w:val="14"/>
                <w:lang w:eastAsia="cs-CZ"/>
              </w:rPr>
              <w:t xml:space="preserve">álnice D4 </w:t>
            </w:r>
            <w:r w:rsidRPr="00800C58">
              <w:rPr>
                <w:rFonts w:asciiTheme="minorHAnsi" w:eastAsia="Times New Roman" w:hAnsiTheme="minorHAnsi" w:cstheme="minorHAnsi"/>
                <w:b w:val="0"/>
                <w:bCs w:val="0"/>
                <w:sz w:val="14"/>
                <w:szCs w:val="14"/>
                <w:lang w:eastAsia="cs-CZ"/>
              </w:rPr>
              <w:t>Mirotice – rozšíření</w:t>
            </w:r>
            <w:r w:rsidRPr="00A66BEA">
              <w:rPr>
                <w:rFonts w:asciiTheme="minorHAnsi" w:eastAsia="Times New Roman" w:hAnsiTheme="minorHAnsi" w:cstheme="minorHAnsi"/>
                <w:b w:val="0"/>
                <w:bCs w:val="0"/>
                <w:sz w:val="14"/>
                <w:szCs w:val="14"/>
                <w:lang w:eastAsia="cs-CZ"/>
              </w:rPr>
              <w:t>, věcné břemeno</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O</w:t>
            </w:r>
            <w:r w:rsidRPr="00A66BEA">
              <w:rPr>
                <w:rFonts w:asciiTheme="minorHAnsi" w:eastAsia="Times New Roman" w:hAnsiTheme="minorHAnsi" w:cstheme="minorHAnsi"/>
                <w:sz w:val="14"/>
                <w:szCs w:val="14"/>
                <w:lang w:eastAsia="cs-CZ"/>
              </w:rPr>
              <w:t>rná půda</w:t>
            </w:r>
          </w:p>
        </w:tc>
        <w:tc>
          <w:tcPr>
            <w:tcW w:w="992"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Omezení vlastnického práva</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184/2006</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416/2009</w:t>
            </w:r>
            <w:r w:rsidRPr="00FF6F84">
              <w:rPr>
                <w:rFonts w:asciiTheme="minorHAnsi" w:eastAsia="Times New Roman" w:hAnsiTheme="minorHAnsi" w:cstheme="minorHAnsi"/>
                <w:sz w:val="14"/>
                <w:szCs w:val="14"/>
                <w:lang w:eastAsia="cs-CZ"/>
              </w:rPr>
              <w:t xml:space="preserve"> </w:t>
            </w:r>
            <w:r w:rsidRPr="00A66BEA">
              <w:rPr>
                <w:rFonts w:asciiTheme="minorHAnsi" w:eastAsia="Times New Roman" w:hAnsiTheme="minorHAnsi" w:cstheme="minorHAnsi"/>
                <w:sz w:val="14"/>
                <w:szCs w:val="14"/>
                <w:lang w:eastAsia="cs-CZ"/>
              </w:rPr>
              <w:t>13/1997</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w:t>
            </w:r>
            <w:r w:rsidRPr="00FF6F84">
              <w:rPr>
                <w:rFonts w:asciiTheme="minorHAnsi" w:eastAsia="Times New Roman" w:hAnsiTheme="minorHAnsi" w:cstheme="minorHAnsi"/>
                <w:sz w:val="14"/>
                <w:szCs w:val="14"/>
                <w:lang w:eastAsia="cs-CZ"/>
              </w:rPr>
              <w:t>/1</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Nepodařilo se uzavřít </w:t>
            </w:r>
            <w:r w:rsidRPr="00A66BEA">
              <w:rPr>
                <w:rFonts w:asciiTheme="minorHAnsi" w:eastAsia="Times New Roman" w:hAnsiTheme="minorHAnsi" w:cstheme="minorHAnsi"/>
                <w:sz w:val="14"/>
                <w:szCs w:val="14"/>
                <w:lang w:eastAsia="cs-CZ"/>
              </w:rPr>
              <w:t>smlouvu</w:t>
            </w:r>
          </w:p>
        </w:tc>
        <w:tc>
          <w:tcPr>
            <w:tcW w:w="851"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Style w:val="Znakapoznpodarou"/>
                <w:rFonts w:asciiTheme="minorHAnsi" w:eastAsia="Times New Roman" w:hAnsiTheme="minorHAnsi" w:cstheme="minorHAnsi"/>
                <w:sz w:val="14"/>
                <w:szCs w:val="14"/>
                <w:lang w:eastAsia="cs-CZ"/>
              </w:rPr>
              <w:footnoteReference w:id="12"/>
            </w:r>
            <w:r w:rsidRPr="00FF6F84">
              <w:rPr>
                <w:rFonts w:asciiTheme="minorHAnsi" w:eastAsia="Times New Roman" w:hAnsiTheme="minorHAnsi" w:cstheme="minorHAnsi"/>
                <w:sz w:val="14"/>
                <w:szCs w:val="14"/>
                <w:lang w:eastAsia="cs-CZ"/>
              </w:rPr>
              <w:t>Problém s dohodou o náhradě</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xml:space="preserve">Ve spojení se </w:t>
            </w:r>
            <w:r w:rsidRPr="00FF6F84">
              <w:rPr>
                <w:rFonts w:asciiTheme="minorHAnsi" w:eastAsia="Times New Roman" w:hAnsiTheme="minorHAnsi" w:cstheme="minorHAnsi"/>
                <w:sz w:val="14"/>
                <w:szCs w:val="14"/>
                <w:lang w:eastAsia="cs-CZ"/>
              </w:rPr>
              <w:t xml:space="preserve">z. č. </w:t>
            </w:r>
            <w:r w:rsidRPr="00A66BEA">
              <w:rPr>
                <w:rFonts w:asciiTheme="minorHAnsi" w:eastAsia="Times New Roman" w:hAnsiTheme="minorHAnsi" w:cstheme="minorHAnsi"/>
                <w:sz w:val="14"/>
                <w:szCs w:val="14"/>
                <w:lang w:eastAsia="cs-CZ"/>
              </w:rPr>
              <w:t>416/2009</w:t>
            </w:r>
            <w:r w:rsidRPr="00FF6F84">
              <w:rPr>
                <w:rFonts w:asciiTheme="minorHAnsi" w:eastAsia="Times New Roman" w:hAnsiTheme="minorHAnsi" w:cstheme="minorHAnsi"/>
                <w:sz w:val="14"/>
                <w:szCs w:val="14"/>
                <w:lang w:eastAsia="cs-CZ"/>
              </w:rPr>
              <w:t xml:space="preserve"> Sb.,</w:t>
            </w:r>
            <w:r w:rsidRPr="00A66BEA">
              <w:rPr>
                <w:rFonts w:asciiTheme="minorHAnsi" w:eastAsia="Times New Roman" w:hAnsiTheme="minorHAnsi" w:cstheme="minorHAnsi"/>
                <w:sz w:val="14"/>
                <w:szCs w:val="14"/>
                <w:lang w:eastAsia="cs-CZ"/>
              </w:rPr>
              <w:t xml:space="preserve"> 10</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000</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Kč, v</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předvyvl</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 xml:space="preserve"> procesu necelých 14</w:t>
            </w:r>
            <w:r w:rsidRPr="00FF6F84">
              <w:rPr>
                <w:rFonts w:asciiTheme="minorHAnsi" w:eastAsia="Times New Roman" w:hAnsiTheme="minorHAnsi" w:cstheme="minorHAnsi"/>
                <w:sz w:val="14"/>
                <w:szCs w:val="14"/>
                <w:lang w:eastAsia="cs-CZ"/>
              </w:rPr>
              <w:t> </w:t>
            </w:r>
            <w:r w:rsidRPr="00A66BEA">
              <w:rPr>
                <w:rFonts w:asciiTheme="minorHAnsi" w:eastAsia="Times New Roman" w:hAnsiTheme="minorHAnsi" w:cstheme="minorHAnsi"/>
                <w:sz w:val="14"/>
                <w:szCs w:val="14"/>
                <w:lang w:eastAsia="cs-CZ"/>
              </w:rPr>
              <w:t>000 Kč.</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03</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19</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8</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20, 01</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12</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20, 19</w:t>
            </w:r>
            <w:r w:rsidRPr="00FF6F84">
              <w:rPr>
                <w:rFonts w:asciiTheme="minorHAnsi" w:eastAsia="Times New Roman" w:hAnsiTheme="minorHAnsi" w:cstheme="minorHAnsi"/>
                <w:sz w:val="14"/>
                <w:szCs w:val="14"/>
                <w:lang w:eastAsia="cs-CZ"/>
              </w:rPr>
              <w:t>/0</w:t>
            </w:r>
            <w:r w:rsidRPr="00A66BEA">
              <w:rPr>
                <w:rFonts w:asciiTheme="minorHAnsi" w:eastAsia="Times New Roman" w:hAnsiTheme="minorHAnsi" w:cstheme="minorHAnsi"/>
                <w:sz w:val="14"/>
                <w:szCs w:val="14"/>
                <w:lang w:eastAsia="cs-CZ"/>
              </w:rPr>
              <w:t>4</w:t>
            </w:r>
            <w:r w:rsidRPr="00FF6F84">
              <w:rPr>
                <w:rFonts w:asciiTheme="minorHAnsi" w:eastAsia="Times New Roman" w:hAnsiTheme="minorHAnsi" w:cstheme="minorHAnsi"/>
                <w:sz w:val="14"/>
                <w:szCs w:val="14"/>
                <w:lang w:eastAsia="cs-CZ"/>
              </w:rPr>
              <w:t>/</w:t>
            </w:r>
            <w:r w:rsidRPr="00A66BEA">
              <w:rPr>
                <w:rFonts w:asciiTheme="minorHAnsi" w:eastAsia="Times New Roman" w:hAnsiTheme="minorHAnsi" w:cstheme="minorHAnsi"/>
                <w:sz w:val="14"/>
                <w:szCs w:val="14"/>
                <w:lang w:eastAsia="cs-CZ"/>
              </w:rPr>
              <w:t>21</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Style w:val="Znakapoznpodarou"/>
                <w:rFonts w:asciiTheme="minorHAnsi" w:eastAsia="Times New Roman" w:hAnsiTheme="minorHAnsi" w:cstheme="minorHAnsi"/>
                <w:sz w:val="14"/>
                <w:szCs w:val="14"/>
                <w:lang w:eastAsia="cs-CZ"/>
              </w:rPr>
              <w:footnoteReference w:id="13"/>
            </w:r>
            <w:r w:rsidRPr="00FF6F84">
              <w:rPr>
                <w:rFonts w:asciiTheme="minorHAnsi" w:eastAsia="Times New Roman" w:hAnsiTheme="minorHAnsi" w:cstheme="minorHAnsi"/>
                <w:sz w:val="14"/>
                <w:szCs w:val="14"/>
                <w:lang w:eastAsia="cs-CZ"/>
              </w:rPr>
              <w:t>Obstrukce</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708"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P</w:t>
            </w:r>
            <w:r w:rsidRPr="00A66BEA">
              <w:rPr>
                <w:rFonts w:asciiTheme="minorHAnsi" w:eastAsia="Times New Roman" w:hAnsiTheme="minorHAnsi" w:cstheme="minorHAnsi"/>
                <w:sz w:val="14"/>
                <w:szCs w:val="14"/>
                <w:lang w:eastAsia="cs-CZ"/>
              </w:rPr>
              <w:t>roti mezitímnímu rozhodnutí se nelze odvolat</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709"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567"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 </w:t>
            </w:r>
          </w:p>
        </w:tc>
        <w:tc>
          <w:tcPr>
            <w:tcW w:w="666"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F6F84">
              <w:rPr>
                <w:rFonts w:asciiTheme="minorHAnsi" w:eastAsia="Times New Roman" w:hAnsiTheme="minorHAnsi" w:cstheme="minorHAnsi"/>
                <w:sz w:val="14"/>
                <w:szCs w:val="14"/>
                <w:lang w:eastAsia="cs-CZ"/>
              </w:rPr>
              <w:t>NE – obě</w:t>
            </w:r>
            <w:r w:rsidRPr="00A66BEA">
              <w:rPr>
                <w:rFonts w:asciiTheme="minorHAnsi" w:eastAsia="Times New Roman" w:hAnsiTheme="minorHAnsi" w:cstheme="minorHAnsi"/>
                <w:sz w:val="14"/>
                <w:szCs w:val="14"/>
                <w:lang w:eastAsia="cs-CZ"/>
              </w:rPr>
              <w:t xml:space="preserve"> vydaná rozhod</w:t>
            </w:r>
            <w:r w:rsidRPr="00FF6F84">
              <w:rPr>
                <w:rFonts w:asciiTheme="minorHAnsi" w:eastAsia="Times New Roman" w:hAnsiTheme="minorHAnsi" w:cstheme="minorHAnsi"/>
                <w:sz w:val="14"/>
                <w:szCs w:val="14"/>
                <w:lang w:eastAsia="cs-CZ"/>
              </w:rPr>
              <w:t>n</w:t>
            </w:r>
            <w:r w:rsidRPr="00A66BEA">
              <w:rPr>
                <w:rFonts w:asciiTheme="minorHAnsi" w:eastAsia="Times New Roman" w:hAnsiTheme="minorHAnsi" w:cstheme="minorHAnsi"/>
                <w:sz w:val="14"/>
                <w:szCs w:val="14"/>
                <w:lang w:eastAsia="cs-CZ"/>
              </w:rPr>
              <w:t xml:space="preserve">utí </w:t>
            </w:r>
            <w:r w:rsidRPr="00A66BEA">
              <w:rPr>
                <w:rFonts w:asciiTheme="minorHAnsi" w:eastAsia="Times New Roman" w:hAnsiTheme="minorHAnsi" w:cstheme="minorHAnsi"/>
                <w:sz w:val="14"/>
                <w:szCs w:val="14"/>
                <w:lang w:eastAsia="cs-CZ"/>
              </w:rPr>
              <w:t>zrušena Krajský soudem</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ANO</w:t>
            </w:r>
          </w:p>
        </w:tc>
        <w:tc>
          <w:tcPr>
            <w:tcW w:w="723"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NE</w:t>
            </w:r>
          </w:p>
        </w:tc>
        <w:tc>
          <w:tcPr>
            <w:tcW w:w="1290" w:type="dxa"/>
            <w:tcMar>
              <w:left w:w="14" w:type="dxa"/>
              <w:right w:w="14" w:type="dxa"/>
            </w:tcMar>
            <w:vAlign w:val="center"/>
            <w:hideMark/>
          </w:tcPr>
          <w:p w:rsidR="00D22D54" w:rsidRPr="00A66BEA" w:rsidRDefault="000865D6" w:rsidP="00F31EBB">
            <w:pPr>
              <w:widowControl w:val="0"/>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A66BEA">
              <w:rPr>
                <w:rFonts w:asciiTheme="minorHAnsi" w:eastAsia="Times New Roman" w:hAnsiTheme="minorHAnsi" w:cstheme="minorHAnsi"/>
                <w:sz w:val="14"/>
                <w:szCs w:val="14"/>
                <w:lang w:eastAsia="cs-CZ"/>
              </w:rPr>
              <w:t>Viz bod datum vydání rozhodnutí</w:t>
            </w:r>
          </w:p>
        </w:tc>
      </w:tr>
    </w:tbl>
    <w:p w:rsidR="00D22D54" w:rsidRDefault="00D22D54" w:rsidP="00D22D54">
      <w:pPr>
        <w:pStyle w:val="Normln-tun"/>
        <w:sectPr w:rsidR="00D22D54" w:rsidSect="00880E0B">
          <w:pgSz w:w="16838" w:h="11906" w:orient="landscape" w:code="9"/>
          <w:pgMar w:top="1418" w:right="1276" w:bottom="1418" w:left="992" w:header="709" w:footer="709" w:gutter="0"/>
          <w:cols w:space="708"/>
          <w:docGrid w:linePitch="360"/>
        </w:sectPr>
      </w:pPr>
    </w:p>
    <w:p w:rsidR="001B58DA" w:rsidRPr="001B58DA" w:rsidRDefault="000865D6" w:rsidP="001824A8">
      <w:pPr>
        <w:pStyle w:val="Normln-tun"/>
      </w:pPr>
      <w:r>
        <w:lastRenderedPageBreak/>
        <w:t xml:space="preserve">Následující tabulka uvádí vybrané stavby a </w:t>
      </w:r>
      <w:r w:rsidR="00B2260E">
        <w:t xml:space="preserve">detailně </w:t>
      </w:r>
      <w:r>
        <w:t xml:space="preserve">řešené problémy pro konkrétní ilustraci výše uvedeného. </w:t>
      </w:r>
      <w:r w:rsidR="00374948">
        <w:t xml:space="preserve">Data se vztahují ke stavu v roce 2019. </w:t>
      </w:r>
    </w:p>
    <w:p w:rsidR="005A1F5C" w:rsidRPr="00795817" w:rsidRDefault="000865D6" w:rsidP="005A1F5C">
      <w:pPr>
        <w:pStyle w:val="Titulek"/>
        <w:keepNext/>
      </w:pPr>
      <w:r w:rsidRPr="00795817">
        <w:t xml:space="preserve">Tabulka </w:t>
      </w:r>
      <w:r w:rsidR="00D644CC">
        <w:fldChar w:fldCharType="begin"/>
      </w:r>
      <w:r>
        <w:instrText xml:space="preserve"> SEQ Tabulka \* ARABIC </w:instrText>
      </w:r>
      <w:r w:rsidR="00D644CC">
        <w:fldChar w:fldCharType="separate"/>
      </w:r>
      <w:r>
        <w:t>11</w:t>
      </w:r>
      <w:r w:rsidR="00D644CC">
        <w:rPr>
          <w:noProof/>
        </w:rPr>
        <w:fldChar w:fldCharType="end"/>
      </w:r>
      <w:r w:rsidRPr="00795817">
        <w:t>: Konkrétní problémy ŘSD ČR</w:t>
      </w:r>
      <w:r w:rsidR="00A22548" w:rsidRPr="00795817">
        <w:t xml:space="preserve"> </w:t>
      </w:r>
    </w:p>
    <w:tbl>
      <w:tblPr>
        <w:tblStyle w:val="Barevntabulkaseznamu6zvraznn51"/>
        <w:tblW w:w="9129" w:type="dxa"/>
        <w:tblLook w:val="04A0" w:firstRow="1" w:lastRow="0" w:firstColumn="1" w:lastColumn="0" w:noHBand="0" w:noVBand="1"/>
      </w:tblPr>
      <w:tblGrid>
        <w:gridCol w:w="1191"/>
        <w:gridCol w:w="7938"/>
      </w:tblGrid>
      <w:tr w:rsidR="00FC72A1" w:rsidTr="00FC72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CC588A">
            <w:pPr>
              <w:spacing w:before="0" w:after="0"/>
              <w:jc w:val="left"/>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 xml:space="preserve">Název </w:t>
            </w:r>
            <w:r w:rsidRPr="00795817">
              <w:rPr>
                <w:rFonts w:asciiTheme="minorHAnsi" w:eastAsia="Times New Roman" w:hAnsiTheme="minorHAnsi" w:cstheme="minorHAnsi"/>
                <w:sz w:val="14"/>
                <w:szCs w:val="14"/>
                <w:lang w:eastAsia="cs-CZ"/>
              </w:rPr>
              <w:t>projektu</w:t>
            </w:r>
          </w:p>
        </w:tc>
        <w:tc>
          <w:tcPr>
            <w:tcW w:w="7938" w:type="dxa"/>
            <w:tcMar>
              <w:left w:w="57" w:type="dxa"/>
              <w:right w:w="57" w:type="dxa"/>
            </w:tcMar>
            <w:vAlign w:val="center"/>
            <w:hideMark/>
          </w:tcPr>
          <w:p w:rsidR="005A1F5C" w:rsidRPr="00795817" w:rsidRDefault="000865D6" w:rsidP="00897AE7">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4"/>
                <w:szCs w:val="14"/>
                <w:lang w:eastAsia="cs-CZ"/>
              </w:rPr>
            </w:pPr>
            <w:r w:rsidRPr="00795817">
              <w:rPr>
                <w:rFonts w:asciiTheme="minorHAnsi" w:eastAsia="Times New Roman" w:hAnsiTheme="minorHAnsi" w:cstheme="minorHAnsi"/>
                <w:color w:val="000000"/>
                <w:sz w:val="14"/>
                <w:szCs w:val="14"/>
                <w:lang w:eastAsia="cs-CZ"/>
              </w:rPr>
              <w:t>Aktuální problémy přípravy</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I/18 Příbram, </w:t>
            </w:r>
            <w:r w:rsidR="00565C6B">
              <w:rPr>
                <w:rFonts w:asciiTheme="minorHAnsi" w:eastAsia="Times New Roman" w:hAnsiTheme="minorHAnsi" w:cstheme="minorHAnsi"/>
                <w:sz w:val="14"/>
                <w:szCs w:val="14"/>
                <w:lang w:eastAsia="cs-CZ"/>
              </w:rPr>
              <w:t xml:space="preserve">JV </w:t>
            </w:r>
            <w:r w:rsidRPr="00795817">
              <w:rPr>
                <w:rFonts w:asciiTheme="minorHAnsi" w:eastAsia="Times New Roman" w:hAnsiTheme="minorHAnsi" w:cstheme="minorHAnsi"/>
                <w:sz w:val="14"/>
                <w:szCs w:val="14"/>
                <w:lang w:eastAsia="cs-CZ"/>
              </w:rPr>
              <w:t xml:space="preserve">obchvat - 2. část </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ÚR</w:t>
            </w:r>
            <w:r>
              <w:rPr>
                <w:rFonts w:asciiTheme="minorHAnsi" w:eastAsia="Times New Roman" w:hAnsiTheme="minorHAnsi" w:cstheme="minorHAnsi"/>
                <w:sz w:val="14"/>
                <w:szCs w:val="14"/>
                <w:lang w:eastAsia="cs-CZ"/>
              </w:rPr>
              <w:t xml:space="preserve"> – podaná</w:t>
            </w:r>
            <w:r w:rsidRPr="00795817">
              <w:rPr>
                <w:rFonts w:asciiTheme="minorHAnsi" w:eastAsia="Times New Roman" w:hAnsiTheme="minorHAnsi" w:cstheme="minorHAnsi"/>
                <w:sz w:val="14"/>
                <w:szCs w:val="14"/>
                <w:lang w:eastAsia="cs-CZ"/>
              </w:rPr>
              <w:t xml:space="preserve"> žádost dne 12.12.2017. ÚR přerušeno max. do 31.12.2018.- nutno doplnit podklady dle požadavku stavebního odboru. Doplněno 13.12.2018. ÚR přerušeno do 30.04.2019 z důvodu stanovení </w:t>
            </w:r>
            <w:r w:rsidRPr="00374948">
              <w:rPr>
                <w:rFonts w:asciiTheme="minorHAnsi" w:eastAsia="Times New Roman" w:hAnsiTheme="minorHAnsi" w:cstheme="minorHAnsi"/>
                <w:sz w:val="14"/>
                <w:szCs w:val="14"/>
                <w:lang w:eastAsia="cs-CZ"/>
              </w:rPr>
              <w:t>opatrovníků.</w:t>
            </w:r>
            <w:r w:rsidR="005558D9" w:rsidRPr="00374948">
              <w:rPr>
                <w:rFonts w:asciiTheme="minorHAnsi" w:eastAsia="Times New Roman" w:hAnsiTheme="minorHAnsi" w:cstheme="minorHAnsi"/>
                <w:sz w:val="14"/>
                <w:szCs w:val="14"/>
                <w:lang w:eastAsia="cs-CZ"/>
              </w:rPr>
              <w:t xml:space="preserve">2019 - </w:t>
            </w:r>
            <w:r w:rsidR="00374948" w:rsidRPr="00374948">
              <w:rPr>
                <w:rFonts w:asciiTheme="minorHAnsi" w:eastAsia="Times New Roman" w:hAnsiTheme="minorHAnsi" w:cstheme="minorHAnsi"/>
                <w:sz w:val="14"/>
                <w:szCs w:val="14"/>
                <w:lang w:eastAsia="cs-CZ"/>
              </w:rPr>
              <w:t>č</w:t>
            </w:r>
            <w:r w:rsidRPr="00374948">
              <w:rPr>
                <w:rFonts w:asciiTheme="minorHAnsi" w:eastAsia="Times New Roman" w:hAnsiTheme="minorHAnsi" w:cstheme="minorHAnsi"/>
                <w:sz w:val="14"/>
                <w:szCs w:val="14"/>
                <w:lang w:eastAsia="cs-CZ"/>
              </w:rPr>
              <w:t>eká se na vydání ÚR.</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I/38 Církvice obchvat</w:t>
            </w:r>
          </w:p>
        </w:tc>
        <w:tc>
          <w:tcPr>
            <w:tcW w:w="7938" w:type="dxa"/>
            <w:tcMar>
              <w:left w:w="57" w:type="dxa"/>
              <w:right w:w="57" w:type="dxa"/>
            </w:tcMar>
            <w:vAlign w:val="center"/>
            <w:hideMark/>
          </w:tcPr>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Ř</w:t>
            </w:r>
            <w:r w:rsidRPr="00795817">
              <w:rPr>
                <w:rFonts w:asciiTheme="minorHAnsi" w:eastAsia="Times New Roman" w:hAnsiTheme="minorHAnsi" w:cstheme="minorHAnsi"/>
                <w:sz w:val="14"/>
                <w:szCs w:val="14"/>
                <w:lang w:eastAsia="cs-CZ"/>
              </w:rPr>
              <w:t>ešeno vyko</w:t>
            </w:r>
            <w:r w:rsidRPr="00795817">
              <w:rPr>
                <w:rFonts w:asciiTheme="minorHAnsi" w:eastAsia="Times New Roman" w:hAnsiTheme="minorHAnsi" w:cstheme="minorHAnsi"/>
                <w:sz w:val="14"/>
                <w:szCs w:val="14"/>
                <w:lang w:eastAsia="cs-CZ"/>
              </w:rPr>
              <w:t xml:space="preserve">upení pozemku od nezletilého vlastníka, kdy byla nezbytná koordinace postupu a jeho schválení opatrovnickým soudem.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I/3 Olbramovice přeložka</w:t>
            </w:r>
          </w:p>
        </w:tc>
        <w:tc>
          <w:tcPr>
            <w:tcW w:w="7938" w:type="dxa"/>
            <w:tcMar>
              <w:left w:w="57" w:type="dxa"/>
              <w:right w:w="57" w:type="dxa"/>
            </w:tcMar>
            <w:vAlign w:val="center"/>
            <w:hideMark/>
          </w:tcPr>
          <w:p w:rsidR="000A28A6" w:rsidRPr="00795817" w:rsidRDefault="000865D6" w:rsidP="000234A3">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0234A3">
              <w:rPr>
                <w:rFonts w:asciiTheme="minorHAnsi" w:eastAsia="Times New Roman" w:hAnsiTheme="minorHAnsi" w:cstheme="minorHAnsi"/>
                <w:sz w:val="14"/>
                <w:szCs w:val="14"/>
                <w:lang w:eastAsia="cs-CZ"/>
              </w:rPr>
              <w:t>Zahájení prací na výstavbě přeložky samotné, brzd</w:t>
            </w:r>
            <w:r w:rsidR="00183AFD">
              <w:rPr>
                <w:rFonts w:asciiTheme="minorHAnsi" w:eastAsia="Times New Roman" w:hAnsiTheme="minorHAnsi" w:cstheme="minorHAnsi"/>
                <w:sz w:val="14"/>
                <w:szCs w:val="14"/>
                <w:lang w:eastAsia="cs-CZ"/>
              </w:rPr>
              <w:t>ilo</w:t>
            </w:r>
            <w:r w:rsidRPr="000234A3">
              <w:rPr>
                <w:rFonts w:asciiTheme="minorHAnsi" w:eastAsia="Times New Roman" w:hAnsiTheme="minorHAnsi" w:cstheme="minorHAnsi"/>
                <w:sz w:val="14"/>
                <w:szCs w:val="14"/>
                <w:lang w:eastAsia="cs-CZ"/>
              </w:rPr>
              <w:t xml:space="preserve"> následující. ŘSD ČR jako stavebník nedispon</w:t>
            </w:r>
            <w:r w:rsidR="00183AFD">
              <w:rPr>
                <w:rFonts w:asciiTheme="minorHAnsi" w:eastAsia="Times New Roman" w:hAnsiTheme="minorHAnsi" w:cstheme="minorHAnsi"/>
                <w:sz w:val="14"/>
                <w:szCs w:val="14"/>
                <w:lang w:eastAsia="cs-CZ"/>
              </w:rPr>
              <w:t>oval</w:t>
            </w:r>
            <w:r w:rsidRPr="000234A3">
              <w:rPr>
                <w:rFonts w:asciiTheme="minorHAnsi" w:eastAsia="Times New Roman" w:hAnsiTheme="minorHAnsi" w:cstheme="minorHAnsi"/>
                <w:sz w:val="14"/>
                <w:szCs w:val="14"/>
                <w:lang w:eastAsia="cs-CZ"/>
              </w:rPr>
              <w:t xml:space="preserve"> majetkovými právy k některým pozemkům jednoho subjektu v hlavní trase přeložky. Rozhodnutím Krajského soudu v Praze bylo zrušeno vyvlastnění DAVO Corporation a.s. a řízení bylo navráceno zpět na stavební úřad do Votic. Jedn</w:t>
            </w:r>
            <w:r w:rsidR="00183AFD">
              <w:rPr>
                <w:rFonts w:asciiTheme="minorHAnsi" w:eastAsia="Times New Roman" w:hAnsiTheme="minorHAnsi" w:cstheme="minorHAnsi"/>
                <w:sz w:val="14"/>
                <w:szCs w:val="14"/>
                <w:lang w:eastAsia="cs-CZ"/>
              </w:rPr>
              <w:t>alo</w:t>
            </w:r>
            <w:r w:rsidRPr="000234A3">
              <w:rPr>
                <w:rFonts w:asciiTheme="minorHAnsi" w:eastAsia="Times New Roman" w:hAnsiTheme="minorHAnsi" w:cstheme="minorHAnsi"/>
                <w:sz w:val="14"/>
                <w:szCs w:val="14"/>
                <w:lang w:eastAsia="cs-CZ"/>
              </w:rPr>
              <w:t xml:space="preserve"> se o pozemek v hlavní trase </w:t>
            </w:r>
            <w:r w:rsidRPr="000234A3">
              <w:rPr>
                <w:rFonts w:asciiTheme="minorHAnsi" w:eastAsia="Times New Roman" w:hAnsiTheme="minorHAnsi" w:cstheme="minorHAnsi"/>
                <w:sz w:val="14"/>
                <w:szCs w:val="14"/>
                <w:lang w:eastAsia="cs-CZ"/>
              </w:rPr>
              <w:t>přeložky o celkové výměře takřka 4000 m2, bez kterého ne</w:t>
            </w:r>
            <w:r w:rsidR="00183AFD">
              <w:rPr>
                <w:rFonts w:asciiTheme="minorHAnsi" w:eastAsia="Times New Roman" w:hAnsiTheme="minorHAnsi" w:cstheme="minorHAnsi"/>
                <w:sz w:val="14"/>
                <w:szCs w:val="14"/>
                <w:lang w:eastAsia="cs-CZ"/>
              </w:rPr>
              <w:t>šlo</w:t>
            </w:r>
            <w:r w:rsidRPr="000234A3">
              <w:rPr>
                <w:rFonts w:asciiTheme="minorHAnsi" w:eastAsia="Times New Roman" w:hAnsiTheme="minorHAnsi" w:cstheme="minorHAnsi"/>
                <w:sz w:val="14"/>
                <w:szCs w:val="14"/>
                <w:lang w:eastAsia="cs-CZ"/>
              </w:rPr>
              <w:t xml:space="preserve"> stavbu smysluplně zahájit natož dílo zprovoznit.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I/38 Havlíčkův Brod JV obchvat</w:t>
            </w:r>
          </w:p>
        </w:tc>
        <w:tc>
          <w:tcPr>
            <w:tcW w:w="7938" w:type="dxa"/>
            <w:tcMar>
              <w:left w:w="57" w:type="dxa"/>
              <w:right w:w="57" w:type="dxa"/>
            </w:tcMar>
            <w:vAlign w:val="center"/>
            <w:hideMark/>
          </w:tcPr>
          <w:p w:rsidR="005A1F5C" w:rsidRPr="00795817" w:rsidRDefault="000865D6" w:rsidP="00791ED7">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7.7.2015 Krajský úřad Kraje Vysočina vydal rozhodnutí o zamítnutí odvolání a potvrzení rozhodnutí na prodloužení </w:t>
            </w:r>
            <w:r w:rsidRPr="00795817">
              <w:rPr>
                <w:rFonts w:asciiTheme="minorHAnsi" w:eastAsia="Times New Roman" w:hAnsiTheme="minorHAnsi" w:cstheme="minorHAnsi"/>
                <w:sz w:val="14"/>
                <w:szCs w:val="14"/>
                <w:lang w:eastAsia="cs-CZ"/>
              </w:rPr>
              <w:t>termínu platnosti ÚR.</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8.9.2015 podána žaloba na neplatnost ÚR u Krajského soudu v Hradci Králové proti KrÚ Kraje Vysočina</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15.2.2016 podán návrh na zahájení vyvlastňovacího řízení</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12/2017 dokončena majetkoprávní </w:t>
            </w:r>
            <w:r w:rsidR="00194044" w:rsidRPr="00795817">
              <w:rPr>
                <w:rFonts w:asciiTheme="minorHAnsi" w:eastAsia="Times New Roman" w:hAnsiTheme="minorHAnsi" w:cstheme="minorHAnsi"/>
                <w:sz w:val="14"/>
                <w:szCs w:val="14"/>
                <w:lang w:eastAsia="cs-CZ"/>
              </w:rPr>
              <w:t>příprava – poslední</w:t>
            </w:r>
            <w:r w:rsidRPr="00795817">
              <w:rPr>
                <w:rFonts w:asciiTheme="minorHAnsi" w:eastAsia="Times New Roman" w:hAnsiTheme="minorHAnsi" w:cstheme="minorHAnsi"/>
                <w:sz w:val="14"/>
                <w:szCs w:val="14"/>
                <w:lang w:eastAsia="cs-CZ"/>
              </w:rPr>
              <w:t xml:space="preserve"> vyvlastnění</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01 / 2018</w:t>
            </w:r>
            <w:r w:rsidR="00791ED7">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w:t>
            </w:r>
            <w:r w:rsidR="00791ED7">
              <w:rPr>
                <w:rFonts w:asciiTheme="minorHAnsi" w:eastAsia="Times New Roman" w:hAnsiTheme="minorHAnsi" w:cstheme="minorHAnsi"/>
                <w:sz w:val="14"/>
                <w:szCs w:val="14"/>
                <w:lang w:eastAsia="cs-CZ"/>
              </w:rPr>
              <w:t>P</w:t>
            </w:r>
            <w:r w:rsidRPr="00795817">
              <w:rPr>
                <w:rFonts w:asciiTheme="minorHAnsi" w:eastAsia="Times New Roman" w:hAnsiTheme="minorHAnsi" w:cstheme="minorHAnsi"/>
                <w:sz w:val="14"/>
                <w:szCs w:val="14"/>
                <w:lang w:eastAsia="cs-CZ"/>
              </w:rPr>
              <w:t>odána žádost o stavební povolení</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21.11.2018 vydáno stavební povolení na hlavní trasu</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31.12.2018 podáno odvolání vlastníka</w:t>
            </w:r>
            <w:r w:rsidR="00791ED7">
              <w:rPr>
                <w:rFonts w:asciiTheme="minorHAnsi" w:eastAsia="Times New Roman" w:hAnsiTheme="minorHAnsi" w:cstheme="minorHAnsi"/>
                <w:sz w:val="14"/>
                <w:szCs w:val="14"/>
                <w:lang w:eastAsia="cs-CZ"/>
              </w:rPr>
              <w:t xml:space="preserve">.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I/16 Nová </w:t>
            </w:r>
            <w:r w:rsidR="00194044" w:rsidRPr="00795817">
              <w:rPr>
                <w:rFonts w:asciiTheme="minorHAnsi" w:eastAsia="Times New Roman" w:hAnsiTheme="minorHAnsi" w:cstheme="minorHAnsi"/>
                <w:sz w:val="14"/>
                <w:szCs w:val="14"/>
                <w:lang w:eastAsia="cs-CZ"/>
              </w:rPr>
              <w:t>Paka – obchvat</w:t>
            </w:r>
          </w:p>
        </w:tc>
        <w:tc>
          <w:tcPr>
            <w:tcW w:w="7938" w:type="dxa"/>
            <w:tcMar>
              <w:left w:w="57" w:type="dxa"/>
              <w:right w:w="57" w:type="dxa"/>
            </w:tcMar>
            <w:vAlign w:val="center"/>
            <w:hideMark/>
          </w:tcPr>
          <w:p w:rsidR="008F4E9C" w:rsidRPr="00795817" w:rsidRDefault="000865D6" w:rsidP="00791ED7">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2016</w:t>
            </w:r>
            <w:r w:rsidR="00791ED7">
              <w:rPr>
                <w:rFonts w:asciiTheme="minorHAnsi" w:eastAsia="Times New Roman" w:hAnsiTheme="minorHAnsi" w:cstheme="minorHAnsi"/>
                <w:sz w:val="14"/>
                <w:szCs w:val="14"/>
                <w:lang w:eastAsia="cs-CZ"/>
              </w:rPr>
              <w:t xml:space="preserve"> - z</w:t>
            </w:r>
            <w:r w:rsidRPr="00795817">
              <w:rPr>
                <w:rFonts w:asciiTheme="minorHAnsi" w:eastAsia="Times New Roman" w:hAnsiTheme="minorHAnsi" w:cstheme="minorHAnsi"/>
                <w:sz w:val="14"/>
                <w:szCs w:val="14"/>
                <w:lang w:eastAsia="cs-CZ"/>
              </w:rPr>
              <w:t xml:space="preserve">ahájeno vyvlastňovací řízení na pozemek p.p.č. </w:t>
            </w:r>
            <w:r w:rsidR="00791ED7">
              <w:rPr>
                <w:rFonts w:asciiTheme="minorHAnsi" w:eastAsia="Times New Roman" w:hAnsiTheme="minorHAnsi" w:cstheme="minorHAnsi"/>
                <w:sz w:val="14"/>
                <w:szCs w:val="14"/>
                <w:lang w:eastAsia="cs-CZ"/>
              </w:rPr>
              <w:t>x.</w:t>
            </w:r>
            <w:r w:rsidRPr="00795817">
              <w:rPr>
                <w:rFonts w:asciiTheme="minorHAnsi" w:eastAsia="Times New Roman" w:hAnsiTheme="minorHAnsi" w:cstheme="minorHAnsi"/>
                <w:sz w:val="14"/>
                <w:szCs w:val="14"/>
                <w:lang w:eastAsia="cs-CZ"/>
              </w:rPr>
              <w:t xml:space="preserve"> </w:t>
            </w:r>
            <w:r w:rsidR="00791ED7">
              <w:rPr>
                <w:rFonts w:asciiTheme="minorHAnsi" w:eastAsia="Times New Roman" w:hAnsiTheme="minorHAnsi" w:cstheme="minorHAnsi"/>
                <w:sz w:val="14"/>
                <w:szCs w:val="14"/>
                <w:lang w:eastAsia="cs-CZ"/>
              </w:rPr>
              <w:t>D</w:t>
            </w:r>
            <w:r w:rsidR="00791ED7" w:rsidRPr="00795817">
              <w:rPr>
                <w:rFonts w:asciiTheme="minorHAnsi" w:eastAsia="Times New Roman" w:hAnsiTheme="minorHAnsi" w:cstheme="minorHAnsi"/>
                <w:sz w:val="14"/>
                <w:szCs w:val="14"/>
                <w:lang w:eastAsia="cs-CZ"/>
              </w:rPr>
              <w:t xml:space="preserve">o 30.9.2016 </w:t>
            </w:r>
            <w:r w:rsidR="00791ED7">
              <w:rPr>
                <w:rFonts w:asciiTheme="minorHAnsi" w:eastAsia="Times New Roman" w:hAnsiTheme="minorHAnsi" w:cstheme="minorHAnsi"/>
                <w:sz w:val="14"/>
                <w:szCs w:val="14"/>
                <w:lang w:eastAsia="cs-CZ"/>
              </w:rPr>
              <w:t>p</w:t>
            </w:r>
            <w:r w:rsidRPr="00795817">
              <w:rPr>
                <w:rFonts w:asciiTheme="minorHAnsi" w:eastAsia="Times New Roman" w:hAnsiTheme="minorHAnsi" w:cstheme="minorHAnsi"/>
                <w:sz w:val="14"/>
                <w:szCs w:val="14"/>
                <w:lang w:eastAsia="cs-CZ"/>
              </w:rPr>
              <w:t>řerušeno vyvlastňovací řízení</w:t>
            </w:r>
            <w:r w:rsidR="00791ED7">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w:t>
            </w:r>
            <w:r w:rsidR="00791ED7" w:rsidRPr="00795817">
              <w:rPr>
                <w:rFonts w:asciiTheme="minorHAnsi" w:eastAsia="Times New Roman" w:hAnsiTheme="minorHAnsi" w:cstheme="minorHAnsi"/>
                <w:sz w:val="14"/>
                <w:szCs w:val="14"/>
                <w:lang w:eastAsia="cs-CZ"/>
              </w:rPr>
              <w:t>30.9.2016</w:t>
            </w:r>
            <w:r w:rsidR="00791ED7">
              <w:rPr>
                <w:rFonts w:asciiTheme="minorHAnsi" w:eastAsia="Times New Roman" w:hAnsiTheme="minorHAnsi" w:cstheme="minorHAnsi"/>
                <w:sz w:val="14"/>
                <w:szCs w:val="14"/>
                <w:lang w:eastAsia="cs-CZ"/>
              </w:rPr>
              <w:t xml:space="preserve"> u</w:t>
            </w:r>
            <w:r w:rsidRPr="00795817">
              <w:rPr>
                <w:rFonts w:asciiTheme="minorHAnsi" w:eastAsia="Times New Roman" w:hAnsiTheme="minorHAnsi" w:cstheme="minorHAnsi"/>
                <w:sz w:val="14"/>
                <w:szCs w:val="14"/>
                <w:lang w:eastAsia="cs-CZ"/>
              </w:rPr>
              <w:t>zavřena kupní smlouva dne.</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Zahájeno vyvlastňovací řízení na pozemky p.p.č. </w:t>
            </w:r>
            <w:r w:rsidR="00791ED7">
              <w:rPr>
                <w:rFonts w:asciiTheme="minorHAnsi" w:eastAsia="Times New Roman" w:hAnsiTheme="minorHAnsi" w:cstheme="minorHAnsi"/>
                <w:sz w:val="14"/>
                <w:szCs w:val="14"/>
                <w:lang w:eastAsia="cs-CZ"/>
              </w:rPr>
              <w:t>xx</w:t>
            </w:r>
            <w:r w:rsidRPr="00795817">
              <w:rPr>
                <w:rFonts w:asciiTheme="minorHAnsi" w:eastAsia="Times New Roman" w:hAnsiTheme="minorHAnsi" w:cstheme="minorHAnsi"/>
                <w:sz w:val="14"/>
                <w:szCs w:val="14"/>
                <w:lang w:eastAsia="cs-CZ"/>
              </w:rPr>
              <w:t>.</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Vydáno rozhodnutí o odejmutí vlastnického práva k pozemkům 22. 8. 2016. Dle sdělení vyvlastňovacího úřadu, vyvlastňovaný podal odvolání po lhůtě.</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Zahájeno vyvlastňova</w:t>
            </w:r>
            <w:r w:rsidRPr="00795817">
              <w:rPr>
                <w:rFonts w:asciiTheme="minorHAnsi" w:eastAsia="Times New Roman" w:hAnsiTheme="minorHAnsi" w:cstheme="minorHAnsi"/>
                <w:sz w:val="14"/>
                <w:szCs w:val="14"/>
                <w:lang w:eastAsia="cs-CZ"/>
              </w:rPr>
              <w:t xml:space="preserve">cí řízení na pozemky p.p.č. </w:t>
            </w:r>
            <w:r w:rsidR="00791ED7">
              <w:rPr>
                <w:rFonts w:asciiTheme="minorHAnsi" w:eastAsia="Times New Roman" w:hAnsiTheme="minorHAnsi" w:cstheme="minorHAnsi"/>
                <w:sz w:val="14"/>
                <w:szCs w:val="14"/>
                <w:lang w:eastAsia="cs-CZ"/>
              </w:rPr>
              <w:t>xxx</w:t>
            </w:r>
            <w:r w:rsidRPr="00795817">
              <w:rPr>
                <w:rFonts w:asciiTheme="minorHAnsi" w:eastAsia="Times New Roman" w:hAnsiTheme="minorHAnsi" w:cstheme="minorHAnsi"/>
                <w:sz w:val="14"/>
                <w:szCs w:val="14"/>
                <w:lang w:eastAsia="cs-CZ"/>
              </w:rPr>
              <w:t>. Vydáno rozhodnutí o odejmutí vlastnického práva k pozemkům dne 31.</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8.</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2016.</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2017</w:t>
            </w:r>
            <w:r w:rsidR="00791ED7">
              <w:rPr>
                <w:rFonts w:asciiTheme="minorHAnsi" w:eastAsia="Times New Roman" w:hAnsiTheme="minorHAnsi" w:cstheme="minorHAnsi"/>
                <w:sz w:val="14"/>
                <w:szCs w:val="14"/>
                <w:lang w:eastAsia="cs-CZ"/>
              </w:rPr>
              <w:t xml:space="preserve"> v</w:t>
            </w:r>
            <w:r w:rsidRPr="00795817">
              <w:rPr>
                <w:rFonts w:asciiTheme="minorHAnsi" w:eastAsia="Times New Roman" w:hAnsiTheme="minorHAnsi" w:cstheme="minorHAnsi"/>
                <w:sz w:val="14"/>
                <w:szCs w:val="14"/>
                <w:lang w:eastAsia="cs-CZ"/>
              </w:rPr>
              <w:t>yvlastňovací řízení ukončena.</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Soudní spor o určení vlastnického práva k pozemku </w:t>
            </w:r>
            <w:r w:rsidR="00791ED7">
              <w:rPr>
                <w:rFonts w:asciiTheme="minorHAnsi" w:eastAsia="Times New Roman" w:hAnsiTheme="minorHAnsi" w:cstheme="minorHAnsi"/>
                <w:sz w:val="14"/>
                <w:szCs w:val="14"/>
                <w:lang w:eastAsia="cs-CZ"/>
              </w:rPr>
              <w:t>iv</w:t>
            </w:r>
            <w:r w:rsidRPr="00795817">
              <w:rPr>
                <w:rFonts w:asciiTheme="minorHAnsi" w:eastAsia="Times New Roman" w:hAnsiTheme="minorHAnsi" w:cstheme="minorHAnsi"/>
                <w:sz w:val="14"/>
                <w:szCs w:val="14"/>
                <w:lang w:eastAsia="cs-CZ"/>
              </w:rPr>
              <w:t xml:space="preserve"> – žalobu podala ČR – ÚZSVM.</w:t>
            </w:r>
            <w:r w:rsidR="00791ED7">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Požádáno o SP bylo 08/2018.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I/11 Doudleby nad Orlicí obchvat </w:t>
            </w:r>
          </w:p>
        </w:tc>
        <w:tc>
          <w:tcPr>
            <w:tcW w:w="7938" w:type="dxa"/>
            <w:tcMar>
              <w:left w:w="57" w:type="dxa"/>
              <w:right w:w="57" w:type="dxa"/>
            </w:tcMar>
            <w:vAlign w:val="center"/>
            <w:hideMark/>
          </w:tcPr>
          <w:p w:rsidR="00DD287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Zahájeno vyvlastnění </w:t>
            </w:r>
            <w:r w:rsidR="00791ED7">
              <w:rPr>
                <w:rFonts w:asciiTheme="minorHAnsi" w:eastAsia="Times New Roman" w:hAnsiTheme="minorHAnsi" w:cstheme="minorHAnsi"/>
                <w:sz w:val="14"/>
                <w:szCs w:val="14"/>
                <w:lang w:eastAsia="cs-CZ"/>
              </w:rPr>
              <w:t>PO a FO</w:t>
            </w:r>
            <w:r w:rsidRPr="00795817">
              <w:rPr>
                <w:rFonts w:asciiTheme="minorHAnsi" w:eastAsia="Times New Roman" w:hAnsiTheme="minorHAnsi" w:cstheme="minorHAnsi"/>
                <w:sz w:val="14"/>
                <w:szCs w:val="14"/>
                <w:lang w:eastAsia="cs-CZ"/>
              </w:rPr>
              <w:t>.</w:t>
            </w:r>
            <w:r w:rsidR="00791ED7">
              <w:rPr>
                <w:rFonts w:asciiTheme="minorHAnsi" w:eastAsia="Times New Roman" w:hAnsiTheme="minorHAnsi" w:cstheme="minorHAnsi"/>
                <w:sz w:val="14"/>
                <w:szCs w:val="14"/>
                <w:lang w:eastAsia="cs-CZ"/>
              </w:rPr>
              <w:t xml:space="preserve"> PO </w:t>
            </w:r>
            <w:r w:rsidRPr="00795817">
              <w:rPr>
                <w:rFonts w:asciiTheme="minorHAnsi" w:eastAsia="Times New Roman" w:hAnsiTheme="minorHAnsi" w:cstheme="minorHAnsi"/>
                <w:sz w:val="14"/>
                <w:szCs w:val="14"/>
                <w:lang w:eastAsia="cs-CZ"/>
              </w:rPr>
              <w:t>nesouhlasí se stavbou za předpokladu nerealizace obslužných komunikací; vlastník požaduje cenu dle jeho</w:t>
            </w:r>
            <w:r>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zpracovaného</w:t>
            </w:r>
            <w:r>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znaleckého</w:t>
            </w:r>
            <w:r>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posudku 361 960,- Kč (2935 m2 </w:t>
            </w:r>
            <w:r>
              <w:rPr>
                <w:rFonts w:asciiTheme="minorHAnsi" w:eastAsia="Times New Roman" w:hAnsiTheme="minorHAnsi" w:cstheme="minorHAnsi"/>
                <w:sz w:val="14"/>
                <w:szCs w:val="14"/>
                <w:lang w:eastAsia="cs-CZ"/>
              </w:rPr>
              <w:t>x</w:t>
            </w:r>
            <w:r w:rsidRPr="00795817">
              <w:rPr>
                <w:rFonts w:asciiTheme="minorHAnsi" w:eastAsia="Times New Roman" w:hAnsiTheme="minorHAnsi" w:cstheme="minorHAnsi"/>
                <w:sz w:val="14"/>
                <w:szCs w:val="14"/>
                <w:lang w:eastAsia="cs-CZ"/>
              </w:rPr>
              <w:t xml:space="preserve"> 100 Kč/m2, 455 m2 </w:t>
            </w:r>
            <w:r>
              <w:rPr>
                <w:rFonts w:asciiTheme="minorHAnsi" w:eastAsia="Times New Roman" w:hAnsiTheme="minorHAnsi" w:cstheme="minorHAnsi"/>
                <w:sz w:val="14"/>
                <w:szCs w:val="14"/>
                <w:lang w:eastAsia="cs-CZ"/>
              </w:rPr>
              <w:t>x</w:t>
            </w:r>
            <w:r w:rsidRPr="00795817">
              <w:rPr>
                <w:rFonts w:asciiTheme="minorHAnsi" w:eastAsia="Times New Roman" w:hAnsiTheme="minorHAnsi" w:cstheme="minorHAnsi"/>
                <w:sz w:val="14"/>
                <w:szCs w:val="14"/>
                <w:lang w:eastAsia="cs-CZ"/>
              </w:rPr>
              <w:t xml:space="preserve"> 150,47 Kč/m2) vynásobenou koeficientem 16,0 - výsledná cena 5 791 360,- Kč. 28.10.2015 vypršela lhůta 90 dnů pro vyjádření. 27.</w:t>
            </w:r>
            <w:r>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7.</w:t>
            </w:r>
            <w:r>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2016 podán návrh na vyvlastnění.</w:t>
            </w:r>
            <w:r>
              <w:rPr>
                <w:rFonts w:asciiTheme="minorHAnsi" w:eastAsia="Times New Roman" w:hAnsiTheme="minorHAnsi" w:cstheme="minorHAnsi"/>
                <w:sz w:val="14"/>
                <w:szCs w:val="14"/>
                <w:lang w:eastAsia="cs-CZ"/>
              </w:rPr>
              <w:t xml:space="preserve"> </w:t>
            </w:r>
          </w:p>
          <w:p w:rsidR="00E038E8"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FO1</w:t>
            </w:r>
            <w:r w:rsidRPr="00795817">
              <w:rPr>
                <w:rFonts w:asciiTheme="minorHAnsi" w:eastAsia="Times New Roman" w:hAnsiTheme="minorHAnsi" w:cstheme="minorHAnsi"/>
                <w:sz w:val="14"/>
                <w:szCs w:val="14"/>
                <w:lang w:eastAsia="cs-CZ"/>
              </w:rPr>
              <w:t xml:space="preserve"> – nesouhlasí</w:t>
            </w:r>
            <w:r w:rsidR="005A1F5C" w:rsidRPr="00795817">
              <w:rPr>
                <w:rFonts w:asciiTheme="minorHAnsi" w:eastAsia="Times New Roman" w:hAnsiTheme="minorHAnsi" w:cstheme="minorHAnsi"/>
                <w:sz w:val="14"/>
                <w:szCs w:val="14"/>
                <w:lang w:eastAsia="cs-CZ"/>
              </w:rPr>
              <w:t xml:space="preserve"> s cenou; požaduj</w:t>
            </w:r>
            <w:r w:rsidR="00DD2877">
              <w:rPr>
                <w:rFonts w:asciiTheme="minorHAnsi" w:eastAsia="Times New Roman" w:hAnsiTheme="minorHAnsi" w:cstheme="minorHAnsi"/>
                <w:sz w:val="14"/>
                <w:szCs w:val="14"/>
                <w:lang w:eastAsia="cs-CZ"/>
              </w:rPr>
              <w:t>e</w:t>
            </w:r>
            <w:r w:rsidR="005A1F5C" w:rsidRPr="00795817">
              <w:rPr>
                <w:rFonts w:asciiTheme="minorHAnsi" w:eastAsia="Times New Roman" w:hAnsiTheme="minorHAnsi" w:cstheme="minorHAnsi"/>
                <w:sz w:val="14"/>
                <w:szCs w:val="14"/>
                <w:lang w:eastAsia="cs-CZ"/>
              </w:rPr>
              <w:t xml:space="preserve"> cenu cca 600 Kč/m2; </w:t>
            </w:r>
            <w:r w:rsidR="00DD2877">
              <w:rPr>
                <w:rFonts w:asciiTheme="minorHAnsi" w:eastAsia="Times New Roman" w:hAnsiTheme="minorHAnsi" w:cstheme="minorHAnsi"/>
                <w:sz w:val="14"/>
                <w:szCs w:val="14"/>
                <w:lang w:eastAsia="cs-CZ"/>
              </w:rPr>
              <w:t xml:space="preserve">poté </w:t>
            </w:r>
            <w:r w:rsidR="005A1F5C" w:rsidRPr="00795817">
              <w:rPr>
                <w:rFonts w:asciiTheme="minorHAnsi" w:eastAsia="Times New Roman" w:hAnsiTheme="minorHAnsi" w:cstheme="minorHAnsi"/>
                <w:sz w:val="14"/>
                <w:szCs w:val="14"/>
                <w:lang w:eastAsia="cs-CZ"/>
              </w:rPr>
              <w:t>souhlasí se směnou pozemku, ale požadují směnu i zbytkového pozemku.</w:t>
            </w:r>
          </w:p>
          <w:p w:rsidR="00E038E8"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FO2</w:t>
            </w:r>
            <w:r w:rsidRPr="00795817">
              <w:rPr>
                <w:rFonts w:asciiTheme="minorHAnsi" w:eastAsia="Times New Roman" w:hAnsiTheme="minorHAnsi" w:cstheme="minorHAnsi"/>
                <w:sz w:val="14"/>
                <w:szCs w:val="14"/>
                <w:lang w:eastAsia="cs-CZ"/>
              </w:rPr>
              <w:t xml:space="preserve"> – nesouhlasí</w:t>
            </w:r>
            <w:r w:rsidR="005A1F5C" w:rsidRPr="00795817">
              <w:rPr>
                <w:rFonts w:asciiTheme="minorHAnsi" w:eastAsia="Times New Roman" w:hAnsiTheme="minorHAnsi" w:cstheme="minorHAnsi"/>
                <w:sz w:val="14"/>
                <w:szCs w:val="14"/>
                <w:lang w:eastAsia="cs-CZ"/>
              </w:rPr>
              <w:t xml:space="preserve"> s cenou; souhlasí se směnou pozemku; požaduje sjezdy na </w:t>
            </w:r>
            <w:r w:rsidRPr="00795817">
              <w:rPr>
                <w:rFonts w:asciiTheme="minorHAnsi" w:eastAsia="Times New Roman" w:hAnsiTheme="minorHAnsi" w:cstheme="minorHAnsi"/>
                <w:sz w:val="14"/>
                <w:szCs w:val="14"/>
                <w:lang w:eastAsia="cs-CZ"/>
              </w:rPr>
              <w:t>pozemky,</w:t>
            </w:r>
            <w:r w:rsidR="005A1F5C" w:rsidRPr="00795817">
              <w:rPr>
                <w:rFonts w:asciiTheme="minorHAnsi" w:eastAsia="Times New Roman" w:hAnsiTheme="minorHAnsi" w:cstheme="minorHAnsi"/>
                <w:sz w:val="14"/>
                <w:szCs w:val="14"/>
                <w:lang w:eastAsia="cs-CZ"/>
              </w:rPr>
              <w:t xml:space="preserve"> a i částečně obslužné </w:t>
            </w:r>
            <w:r w:rsidRPr="00795817">
              <w:rPr>
                <w:rFonts w:asciiTheme="minorHAnsi" w:eastAsia="Times New Roman" w:hAnsiTheme="minorHAnsi" w:cstheme="minorHAnsi"/>
                <w:sz w:val="14"/>
                <w:szCs w:val="14"/>
                <w:lang w:eastAsia="cs-CZ"/>
              </w:rPr>
              <w:t>komunikace – z</w:t>
            </w:r>
            <w:r w:rsidR="00DD2877">
              <w:rPr>
                <w:rFonts w:asciiTheme="minorHAnsi" w:eastAsia="Times New Roman" w:hAnsiTheme="minorHAnsi" w:cstheme="minorHAnsi"/>
                <w:sz w:val="14"/>
                <w:szCs w:val="14"/>
                <w:lang w:eastAsia="cs-CZ"/>
              </w:rPr>
              <w:t> </w:t>
            </w:r>
            <w:r w:rsidR="005A1F5C" w:rsidRPr="00795817">
              <w:rPr>
                <w:rFonts w:asciiTheme="minorHAnsi" w:eastAsia="Times New Roman" w:hAnsiTheme="minorHAnsi" w:cstheme="minorHAnsi"/>
                <w:sz w:val="14"/>
                <w:szCs w:val="14"/>
                <w:lang w:eastAsia="cs-CZ"/>
              </w:rPr>
              <w:t>důvodu</w:t>
            </w:r>
            <w:r w:rsidR="00DD2877">
              <w:rPr>
                <w:rFonts w:asciiTheme="minorHAnsi" w:eastAsia="Times New Roman" w:hAnsiTheme="minorHAnsi" w:cstheme="minorHAnsi"/>
                <w:sz w:val="14"/>
                <w:szCs w:val="14"/>
                <w:lang w:eastAsia="cs-CZ"/>
              </w:rPr>
              <w:t xml:space="preserve"> </w:t>
            </w:r>
            <w:r w:rsidR="005A1F5C" w:rsidRPr="00795817">
              <w:rPr>
                <w:rFonts w:asciiTheme="minorHAnsi" w:eastAsia="Times New Roman" w:hAnsiTheme="minorHAnsi" w:cstheme="minorHAnsi"/>
                <w:sz w:val="14"/>
                <w:szCs w:val="14"/>
                <w:lang w:eastAsia="cs-CZ"/>
              </w:rPr>
              <w:t>nákladů na pohonné hmoty při objíždění stavby po realizaci.</w:t>
            </w:r>
            <w:r w:rsidR="00DD2877">
              <w:rPr>
                <w:rFonts w:asciiTheme="minorHAnsi" w:eastAsia="Times New Roman" w:hAnsiTheme="minorHAnsi" w:cstheme="minorHAnsi"/>
                <w:sz w:val="14"/>
                <w:szCs w:val="14"/>
                <w:lang w:eastAsia="cs-CZ"/>
              </w:rPr>
              <w:t xml:space="preserve"> </w:t>
            </w:r>
            <w:r w:rsidR="005A1F5C" w:rsidRPr="00795817">
              <w:rPr>
                <w:rFonts w:asciiTheme="minorHAnsi" w:eastAsia="Times New Roman" w:hAnsiTheme="minorHAnsi" w:cstheme="minorHAnsi"/>
                <w:sz w:val="14"/>
                <w:szCs w:val="14"/>
                <w:lang w:eastAsia="cs-CZ"/>
              </w:rPr>
              <w:t>27.</w:t>
            </w:r>
            <w:r w:rsidR="00DD2877">
              <w:rPr>
                <w:rFonts w:asciiTheme="minorHAnsi" w:eastAsia="Times New Roman" w:hAnsiTheme="minorHAnsi" w:cstheme="minorHAnsi"/>
                <w:sz w:val="14"/>
                <w:szCs w:val="14"/>
                <w:lang w:eastAsia="cs-CZ"/>
              </w:rPr>
              <w:t xml:space="preserve"> </w:t>
            </w:r>
            <w:r w:rsidR="005A1F5C" w:rsidRPr="00795817">
              <w:rPr>
                <w:rFonts w:asciiTheme="minorHAnsi" w:eastAsia="Times New Roman" w:hAnsiTheme="minorHAnsi" w:cstheme="minorHAnsi"/>
                <w:sz w:val="14"/>
                <w:szCs w:val="14"/>
                <w:lang w:eastAsia="cs-CZ"/>
              </w:rPr>
              <w:t>7.</w:t>
            </w:r>
            <w:r w:rsidR="00DD2877">
              <w:rPr>
                <w:rFonts w:asciiTheme="minorHAnsi" w:eastAsia="Times New Roman" w:hAnsiTheme="minorHAnsi" w:cstheme="minorHAnsi"/>
                <w:sz w:val="14"/>
                <w:szCs w:val="14"/>
                <w:lang w:eastAsia="cs-CZ"/>
              </w:rPr>
              <w:t xml:space="preserve"> </w:t>
            </w:r>
            <w:r w:rsidR="005A1F5C" w:rsidRPr="00795817">
              <w:rPr>
                <w:rFonts w:asciiTheme="minorHAnsi" w:eastAsia="Times New Roman" w:hAnsiTheme="minorHAnsi" w:cstheme="minorHAnsi"/>
                <w:sz w:val="14"/>
                <w:szCs w:val="14"/>
                <w:lang w:eastAsia="cs-CZ"/>
              </w:rPr>
              <w:t>2016 podán návrh na vyvlastnění.</w:t>
            </w:r>
          </w:p>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FO3</w:t>
            </w:r>
            <w:r w:rsidRPr="00795817">
              <w:rPr>
                <w:rFonts w:asciiTheme="minorHAnsi" w:eastAsia="Times New Roman" w:hAnsiTheme="minorHAnsi" w:cstheme="minorHAnsi"/>
                <w:sz w:val="14"/>
                <w:szCs w:val="14"/>
                <w:lang w:eastAsia="cs-CZ"/>
              </w:rPr>
              <w:t xml:space="preserve"> – nesouhlasí s cenou; nesouhlasí s cenou 8 ani 16násobku; nesouhlasí se směnou pozemků; požaduje cenu 1600 Kč/m2; </w:t>
            </w:r>
            <w:r w:rsidR="00E038E8">
              <w:rPr>
                <w:rFonts w:asciiTheme="minorHAnsi" w:eastAsia="Times New Roman" w:hAnsiTheme="minorHAnsi" w:cstheme="minorHAnsi"/>
                <w:sz w:val="14"/>
                <w:szCs w:val="14"/>
                <w:lang w:eastAsia="cs-CZ"/>
              </w:rPr>
              <w:t>v</w:t>
            </w:r>
            <w:r w:rsidRPr="00795817">
              <w:rPr>
                <w:rFonts w:asciiTheme="minorHAnsi" w:eastAsia="Times New Roman" w:hAnsiTheme="minorHAnsi" w:cstheme="minorHAnsi"/>
                <w:sz w:val="14"/>
                <w:szCs w:val="14"/>
                <w:lang w:eastAsia="cs-CZ"/>
              </w:rPr>
              <w:t>lastník podal nabídku bezúplatn</w:t>
            </w:r>
            <w:r w:rsidR="00E038E8">
              <w:rPr>
                <w:rFonts w:asciiTheme="minorHAnsi" w:eastAsia="Times New Roman" w:hAnsiTheme="minorHAnsi" w:cstheme="minorHAnsi"/>
                <w:sz w:val="14"/>
                <w:szCs w:val="14"/>
                <w:lang w:eastAsia="cs-CZ"/>
              </w:rPr>
              <w:t>é</w:t>
            </w:r>
            <w:r w:rsidRPr="00795817">
              <w:rPr>
                <w:rFonts w:asciiTheme="minorHAnsi" w:eastAsia="Times New Roman" w:hAnsiTheme="minorHAnsi" w:cstheme="minorHAnsi"/>
                <w:sz w:val="14"/>
                <w:szCs w:val="14"/>
                <w:lang w:eastAsia="cs-CZ"/>
              </w:rPr>
              <w:t>ho převodu pozemků za podmínky vybudování parkoviště pro tranzitní dopravu.  28.</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10.</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2015 </w:t>
            </w:r>
            <w:r w:rsidRPr="00795817">
              <w:rPr>
                <w:rFonts w:asciiTheme="minorHAnsi" w:eastAsia="Times New Roman" w:hAnsiTheme="minorHAnsi" w:cstheme="minorHAnsi"/>
                <w:sz w:val="14"/>
                <w:szCs w:val="14"/>
                <w:lang w:eastAsia="cs-CZ"/>
              </w:rPr>
              <w:t>vypršela lhůta 90 dnů pro vyjádření. 27.</w:t>
            </w:r>
            <w:r w:rsidR="00EC466E">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7.</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2016 byl podán návrh na vyvlastnění. </w:t>
            </w:r>
          </w:p>
          <w:p w:rsidR="00EF27A0"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2017 přeru</w:t>
            </w:r>
            <w:r w:rsidR="00E038E8">
              <w:rPr>
                <w:rFonts w:asciiTheme="minorHAnsi" w:eastAsia="Times New Roman" w:hAnsiTheme="minorHAnsi" w:cstheme="minorHAnsi"/>
                <w:sz w:val="14"/>
                <w:szCs w:val="14"/>
                <w:lang w:eastAsia="cs-CZ"/>
              </w:rPr>
              <w:t>šeno</w:t>
            </w:r>
            <w:r w:rsidRPr="00795817">
              <w:rPr>
                <w:rFonts w:asciiTheme="minorHAnsi" w:eastAsia="Times New Roman" w:hAnsiTheme="minorHAnsi" w:cstheme="minorHAnsi"/>
                <w:sz w:val="14"/>
                <w:szCs w:val="14"/>
                <w:lang w:eastAsia="cs-CZ"/>
              </w:rPr>
              <w:t xml:space="preserve"> vyvlastňovací řízení </w:t>
            </w:r>
            <w:r w:rsidR="00E038E8">
              <w:rPr>
                <w:rFonts w:asciiTheme="minorHAnsi" w:eastAsia="Times New Roman" w:hAnsiTheme="minorHAnsi" w:cstheme="minorHAnsi"/>
                <w:sz w:val="14"/>
                <w:szCs w:val="14"/>
                <w:lang w:eastAsia="cs-CZ"/>
              </w:rPr>
              <w:t>FO1</w:t>
            </w:r>
            <w:r w:rsidRPr="00795817">
              <w:rPr>
                <w:rFonts w:asciiTheme="minorHAnsi" w:eastAsia="Times New Roman" w:hAnsiTheme="minorHAnsi" w:cstheme="minorHAnsi"/>
                <w:sz w:val="14"/>
                <w:szCs w:val="14"/>
                <w:lang w:eastAsia="cs-CZ"/>
              </w:rPr>
              <w:t xml:space="preserve"> a </w:t>
            </w:r>
            <w:r w:rsidR="00E038E8">
              <w:rPr>
                <w:rFonts w:asciiTheme="minorHAnsi" w:eastAsia="Times New Roman" w:hAnsiTheme="minorHAnsi" w:cstheme="minorHAnsi"/>
                <w:sz w:val="14"/>
                <w:szCs w:val="14"/>
                <w:lang w:eastAsia="cs-CZ"/>
              </w:rPr>
              <w:t>PO</w:t>
            </w:r>
            <w:r w:rsidRPr="00795817">
              <w:rPr>
                <w:rFonts w:asciiTheme="minorHAnsi" w:eastAsia="Times New Roman" w:hAnsiTheme="minorHAnsi" w:cstheme="minorHAnsi"/>
                <w:sz w:val="14"/>
                <w:szCs w:val="14"/>
                <w:lang w:eastAsia="cs-CZ"/>
              </w:rPr>
              <w:t xml:space="preserve"> a vlastní</w:t>
            </w:r>
            <w:r w:rsidR="00E038E8">
              <w:rPr>
                <w:rFonts w:asciiTheme="minorHAnsi" w:eastAsia="Times New Roman" w:hAnsiTheme="minorHAnsi" w:cstheme="minorHAnsi"/>
                <w:sz w:val="14"/>
                <w:szCs w:val="14"/>
                <w:lang w:eastAsia="cs-CZ"/>
              </w:rPr>
              <w:t>ci vyzváni</w:t>
            </w:r>
            <w:r w:rsidRPr="00795817">
              <w:rPr>
                <w:rFonts w:asciiTheme="minorHAnsi" w:eastAsia="Times New Roman" w:hAnsiTheme="minorHAnsi" w:cstheme="minorHAnsi"/>
                <w:sz w:val="14"/>
                <w:szCs w:val="14"/>
                <w:lang w:eastAsia="cs-CZ"/>
              </w:rPr>
              <w:t xml:space="preserve"> k předložení znaleckých posudků ke dni 30.</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4.</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2017. Prob</w:t>
            </w:r>
            <w:r w:rsidR="00E038E8">
              <w:rPr>
                <w:rFonts w:asciiTheme="minorHAnsi" w:eastAsia="Times New Roman" w:hAnsiTheme="minorHAnsi" w:cstheme="minorHAnsi"/>
                <w:sz w:val="14"/>
                <w:szCs w:val="14"/>
                <w:lang w:eastAsia="cs-CZ"/>
              </w:rPr>
              <w:t>ěhlo</w:t>
            </w:r>
            <w:r w:rsidRPr="00795817">
              <w:rPr>
                <w:rFonts w:asciiTheme="minorHAnsi" w:eastAsia="Times New Roman" w:hAnsiTheme="minorHAnsi" w:cstheme="minorHAnsi"/>
                <w:sz w:val="14"/>
                <w:szCs w:val="14"/>
                <w:lang w:eastAsia="cs-CZ"/>
              </w:rPr>
              <w:t xml:space="preserve"> zjišťová</w:t>
            </w:r>
            <w:r w:rsidR="00E038E8">
              <w:rPr>
                <w:rFonts w:asciiTheme="minorHAnsi" w:eastAsia="Times New Roman" w:hAnsiTheme="minorHAnsi" w:cstheme="minorHAnsi"/>
                <w:sz w:val="14"/>
                <w:szCs w:val="14"/>
                <w:lang w:eastAsia="cs-CZ"/>
              </w:rPr>
              <w:t>ní</w:t>
            </w:r>
            <w:r w:rsidRPr="00795817">
              <w:rPr>
                <w:rFonts w:asciiTheme="minorHAnsi" w:eastAsia="Times New Roman" w:hAnsiTheme="minorHAnsi" w:cstheme="minorHAnsi"/>
                <w:sz w:val="14"/>
                <w:szCs w:val="14"/>
                <w:lang w:eastAsia="cs-CZ"/>
              </w:rPr>
              <w:t xml:space="preserve"> realizovaných prodejů.</w:t>
            </w:r>
          </w:p>
          <w:p w:rsidR="00EF27A0"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29.</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3.</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2019 by</w:t>
            </w:r>
            <w:r w:rsidRPr="00795817">
              <w:rPr>
                <w:rFonts w:asciiTheme="minorHAnsi" w:eastAsia="Times New Roman" w:hAnsiTheme="minorHAnsi" w:cstheme="minorHAnsi"/>
                <w:sz w:val="14"/>
                <w:szCs w:val="14"/>
                <w:lang w:eastAsia="cs-CZ"/>
              </w:rPr>
              <w:t>la podána žádost o SP.</w:t>
            </w:r>
          </w:p>
          <w:p w:rsidR="00EF382B" w:rsidRPr="00795817" w:rsidRDefault="000865D6" w:rsidP="008F40A3">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16.</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7.</w:t>
            </w:r>
            <w:r w:rsidR="00E038E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2019 byla podepsána smlouva o odkupu pozemku </w:t>
            </w:r>
            <w:r w:rsidR="00E038E8">
              <w:rPr>
                <w:rFonts w:asciiTheme="minorHAnsi" w:eastAsia="Times New Roman" w:hAnsiTheme="minorHAnsi" w:cstheme="minorHAnsi"/>
                <w:sz w:val="14"/>
                <w:szCs w:val="14"/>
                <w:lang w:eastAsia="cs-CZ"/>
              </w:rPr>
              <w:t>PO</w:t>
            </w:r>
            <w:r w:rsidRPr="00795817">
              <w:rPr>
                <w:rFonts w:asciiTheme="minorHAnsi" w:eastAsia="Times New Roman" w:hAnsiTheme="minorHAnsi" w:cstheme="minorHAnsi"/>
                <w:sz w:val="14"/>
                <w:szCs w:val="14"/>
                <w:lang w:eastAsia="cs-CZ"/>
              </w:rPr>
              <w:t xml:space="preserve">.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I/53 Lechovice obchvat  </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V průběhu majetkoprávní přípravy stavby se ukázalo, že objekt </w:t>
            </w:r>
            <w:r w:rsidR="00413B42">
              <w:rPr>
                <w:rFonts w:asciiTheme="minorHAnsi" w:eastAsia="Times New Roman" w:hAnsiTheme="minorHAnsi" w:cstheme="minorHAnsi"/>
                <w:sz w:val="14"/>
                <w:szCs w:val="14"/>
                <w:lang w:eastAsia="cs-CZ"/>
              </w:rPr>
              <w:t>x</w:t>
            </w:r>
            <w:r w:rsidRPr="00795817">
              <w:rPr>
                <w:rFonts w:asciiTheme="minorHAnsi" w:eastAsia="Times New Roman" w:hAnsiTheme="minorHAnsi" w:cstheme="minorHAnsi"/>
                <w:sz w:val="14"/>
                <w:szCs w:val="14"/>
                <w:lang w:eastAsia="cs-CZ"/>
              </w:rPr>
              <w:t xml:space="preserve"> nemůže být proveden v plném rozsahu, protože nelze získat souhlasy vlastníků se stavbou případně získat dotčené pozemky. Vznikl tak nový objekt </w:t>
            </w:r>
            <w:r w:rsidR="00413B42">
              <w:rPr>
                <w:rFonts w:asciiTheme="minorHAnsi" w:eastAsia="Times New Roman" w:hAnsiTheme="minorHAnsi" w:cstheme="minorHAnsi"/>
                <w:sz w:val="14"/>
                <w:szCs w:val="14"/>
                <w:lang w:eastAsia="cs-CZ"/>
              </w:rPr>
              <w:t>xx</w:t>
            </w:r>
            <w:r w:rsidRPr="00795817">
              <w:rPr>
                <w:rFonts w:asciiTheme="minorHAnsi" w:eastAsia="Times New Roman" w:hAnsiTheme="minorHAnsi" w:cstheme="minorHAnsi"/>
                <w:sz w:val="14"/>
                <w:szCs w:val="14"/>
                <w:lang w:eastAsia="cs-CZ"/>
              </w:rPr>
              <w:t>, který zajistí potřebný přístup k zemědělským pozemkům. V 08/2015 vydáno ÚR, v 07/2016 vydáno pravomocné SP.</w:t>
            </w:r>
            <w:r w:rsidRPr="00795817">
              <w:rPr>
                <w:rFonts w:asciiTheme="minorHAnsi" w:eastAsia="Times New Roman" w:hAnsiTheme="minorHAnsi" w:cstheme="minorHAnsi"/>
                <w:sz w:val="14"/>
                <w:szCs w:val="14"/>
                <w:lang w:eastAsia="cs-CZ"/>
              </w:rPr>
              <w:t xml:space="preserve">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I/55 Břeclav obchvat </w:t>
            </w:r>
          </w:p>
        </w:tc>
        <w:tc>
          <w:tcPr>
            <w:tcW w:w="7938" w:type="dxa"/>
            <w:tcMar>
              <w:left w:w="57" w:type="dxa"/>
              <w:right w:w="57" w:type="dxa"/>
            </w:tcMar>
            <w:vAlign w:val="center"/>
            <w:hideMark/>
          </w:tcPr>
          <w:p w:rsidR="005A1F5C" w:rsidRPr="00795817" w:rsidRDefault="000865D6" w:rsidP="00554A2C">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 xml:space="preserve">09/2019 - </w:t>
            </w:r>
            <w:r w:rsidR="00EE427D" w:rsidRPr="00EE427D">
              <w:rPr>
                <w:rFonts w:asciiTheme="minorHAnsi" w:eastAsia="Times New Roman" w:hAnsiTheme="minorHAnsi" w:cstheme="minorHAnsi"/>
                <w:sz w:val="14"/>
                <w:szCs w:val="14"/>
                <w:lang w:eastAsia="cs-CZ"/>
              </w:rPr>
              <w:t>Trase musí ustoupit léta fungující betonárna.</w:t>
            </w:r>
            <w:r w:rsidR="00EE427D">
              <w:rPr>
                <w:rFonts w:asciiTheme="minorHAnsi" w:eastAsia="Times New Roman" w:hAnsiTheme="minorHAnsi" w:cstheme="minorHAnsi"/>
                <w:sz w:val="14"/>
                <w:szCs w:val="14"/>
                <w:lang w:eastAsia="cs-CZ"/>
              </w:rPr>
              <w:t xml:space="preserve"> </w:t>
            </w:r>
            <w:r w:rsidR="00EE427D" w:rsidRPr="00EE427D">
              <w:rPr>
                <w:rFonts w:asciiTheme="minorHAnsi" w:eastAsia="Times New Roman" w:hAnsiTheme="minorHAnsi" w:cstheme="minorHAnsi"/>
                <w:sz w:val="14"/>
                <w:szCs w:val="14"/>
                <w:lang w:eastAsia="cs-CZ"/>
              </w:rPr>
              <w:t xml:space="preserve">ŘSD se jako investor obchvatu zavázalo firmě Cemex Czech Republic, že do pěti let postaví novou fabriku. Současná betonárna stojí v areálu společnosti Fosfa. Nově se má přesunout jen o pár set metrů dál, směrem k místní části Poštorná. ŘSD si vytyčilo termín „startu“ mezi lety 2022 a 2025. </w:t>
            </w:r>
            <w:r w:rsidR="00EE427D">
              <w:rPr>
                <w:rFonts w:asciiTheme="minorHAnsi" w:eastAsia="Times New Roman" w:hAnsiTheme="minorHAnsi" w:cstheme="minorHAnsi"/>
                <w:sz w:val="14"/>
                <w:szCs w:val="14"/>
                <w:lang w:eastAsia="cs-CZ"/>
              </w:rPr>
              <w:t>H</w:t>
            </w:r>
            <w:r w:rsidR="00EE427D" w:rsidRPr="00EE427D">
              <w:rPr>
                <w:rFonts w:asciiTheme="minorHAnsi" w:eastAsia="Times New Roman" w:hAnsiTheme="minorHAnsi" w:cstheme="minorHAnsi"/>
                <w:sz w:val="14"/>
                <w:szCs w:val="14"/>
                <w:lang w:eastAsia="cs-CZ"/>
              </w:rPr>
              <w:t>otovo musí mít do roka od zahájení výstavby.</w:t>
            </w:r>
            <w:r w:rsidR="00EE427D">
              <w:rPr>
                <w:rFonts w:asciiTheme="minorHAnsi" w:eastAsia="Times New Roman" w:hAnsiTheme="minorHAnsi" w:cstheme="minorHAnsi"/>
                <w:sz w:val="14"/>
                <w:szCs w:val="14"/>
                <w:lang w:eastAsia="cs-CZ"/>
              </w:rPr>
              <w:t xml:space="preserve"> </w:t>
            </w:r>
            <w:r w:rsidR="00EE427D" w:rsidRPr="00EE427D">
              <w:rPr>
                <w:rFonts w:asciiTheme="minorHAnsi" w:eastAsia="Times New Roman" w:hAnsiTheme="minorHAnsi" w:cstheme="minorHAnsi"/>
                <w:sz w:val="14"/>
                <w:szCs w:val="14"/>
                <w:lang w:eastAsia="cs-CZ"/>
              </w:rPr>
              <w:t>„Jde o jediný průmyslový objekt, který obchvatu ustoupí. Náklady na řešení betonárny jsou zhruba 17 milionů korun a půjdou na vrub ŘSD.</w:t>
            </w:r>
            <w:r w:rsidR="00EE427D">
              <w:rPr>
                <w:rFonts w:asciiTheme="minorHAnsi" w:eastAsia="Times New Roman" w:hAnsiTheme="minorHAnsi" w:cstheme="minorHAnsi"/>
                <w:sz w:val="14"/>
                <w:szCs w:val="14"/>
                <w:lang w:eastAsia="cs-CZ"/>
              </w:rPr>
              <w:t>“</w:t>
            </w:r>
            <w:r w:rsidR="00F3253A">
              <w:rPr>
                <w:rFonts w:asciiTheme="minorHAnsi" w:eastAsia="Times New Roman" w:hAnsiTheme="minorHAnsi" w:cstheme="minorHAnsi"/>
                <w:sz w:val="14"/>
                <w:szCs w:val="14"/>
                <w:lang w:eastAsia="cs-CZ"/>
              </w:rPr>
              <w:t>…</w:t>
            </w:r>
            <w:r w:rsidR="00EE427D" w:rsidRPr="00EE427D">
              <w:rPr>
                <w:rFonts w:asciiTheme="minorHAnsi" w:eastAsia="Times New Roman" w:hAnsiTheme="minorHAnsi" w:cstheme="minorHAnsi"/>
                <w:sz w:val="14"/>
                <w:szCs w:val="14"/>
                <w:lang w:eastAsia="cs-CZ"/>
              </w:rPr>
              <w:t xml:space="preserve">Vykoupeny už jsou také tři čtvrtiny pozemků. </w:t>
            </w:r>
            <w:r>
              <w:rPr>
                <w:rFonts w:asciiTheme="minorHAnsi" w:eastAsia="Times New Roman" w:hAnsiTheme="minorHAnsi" w:cstheme="minorHAnsi"/>
                <w:sz w:val="14"/>
                <w:szCs w:val="14"/>
                <w:lang w:eastAsia="cs-CZ"/>
              </w:rPr>
              <w:t>…</w:t>
            </w:r>
            <w:r w:rsidR="00EE427D" w:rsidRPr="00EE427D">
              <w:rPr>
                <w:rFonts w:asciiTheme="minorHAnsi" w:eastAsia="Times New Roman" w:hAnsiTheme="minorHAnsi" w:cstheme="minorHAnsi"/>
                <w:sz w:val="14"/>
                <w:szCs w:val="14"/>
                <w:lang w:eastAsia="cs-CZ"/>
              </w:rPr>
              <w:t>Velký otazník tak nad stavbou visí už „jen“ v souvislosti s žalobami knížecího rodu Lichtenštejnů. Ti se u českých soudů domáhají vrácení svého někdejšího majetku, včetně některých pozemků v trase obchvatu.</w:t>
            </w:r>
            <w:r>
              <w:rPr>
                <w:rFonts w:asciiTheme="minorHAnsi" w:eastAsia="Times New Roman" w:hAnsiTheme="minorHAnsi" w:cstheme="minorHAnsi"/>
                <w:sz w:val="14"/>
                <w:szCs w:val="14"/>
                <w:lang w:eastAsia="cs-CZ"/>
              </w:rPr>
              <w:t xml:space="preserve"> </w:t>
            </w:r>
            <w:r w:rsidR="00EE427D" w:rsidRPr="00EE427D">
              <w:rPr>
                <w:rFonts w:asciiTheme="minorHAnsi" w:eastAsia="Times New Roman" w:hAnsiTheme="minorHAnsi" w:cstheme="minorHAnsi"/>
                <w:sz w:val="14"/>
                <w:szCs w:val="14"/>
                <w:lang w:eastAsia="cs-CZ"/>
              </w:rPr>
              <w:t>Kvůli tomu jsou parcely v katastru zaplombované. Vedení Břeclavi se už spojilo s právními zástupci knížecího rodu a věří, že u zhruba deseti hektarů klíčových pozemků vyjedná dohodu.</w:t>
            </w:r>
            <w:r>
              <w:rPr>
                <w:rFonts w:asciiTheme="minorHAnsi" w:eastAsia="Times New Roman" w:hAnsiTheme="minorHAnsi" w:cstheme="minorHAnsi"/>
                <w:sz w:val="14"/>
                <w:szCs w:val="14"/>
                <w:lang w:eastAsia="cs-CZ"/>
              </w:rPr>
              <w:t xml:space="preserve"> </w:t>
            </w:r>
            <w:r w:rsidR="00EE427D" w:rsidRPr="00554A2C">
              <w:rPr>
                <w:rFonts w:asciiTheme="minorHAnsi" w:eastAsia="Times New Roman" w:hAnsiTheme="minorHAnsi" w:cstheme="minorHAnsi"/>
                <w:i/>
                <w:iCs/>
                <w:sz w:val="14"/>
                <w:szCs w:val="14"/>
                <w:lang w:eastAsia="cs-CZ"/>
              </w:rPr>
              <w:t>Zdroj: https://www.idnes.cz/brno/zpravy/obchvat-stavba-zahajeni-breclav-znojmo.A190830_498750_brno-zpravy_mos1</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I/57 Krnov SV obchvat</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K úspěšnému zahájení realizace </w:t>
            </w:r>
            <w:r w:rsidR="00C76128">
              <w:rPr>
                <w:rFonts w:asciiTheme="minorHAnsi" w:eastAsia="Times New Roman" w:hAnsiTheme="minorHAnsi" w:cstheme="minorHAnsi"/>
                <w:sz w:val="14"/>
                <w:szCs w:val="14"/>
                <w:lang w:eastAsia="cs-CZ"/>
              </w:rPr>
              <w:t>bylo</w:t>
            </w:r>
            <w:r w:rsidRPr="00795817">
              <w:rPr>
                <w:rFonts w:asciiTheme="minorHAnsi" w:eastAsia="Times New Roman" w:hAnsiTheme="minorHAnsi" w:cstheme="minorHAnsi"/>
                <w:sz w:val="14"/>
                <w:szCs w:val="14"/>
                <w:lang w:eastAsia="cs-CZ"/>
              </w:rPr>
              <w:t xml:space="preserve"> potřeba mimo jiné dořešit výkup obytného domu v těsném sousedství budoucí </w:t>
            </w:r>
            <w:r w:rsidR="00194044" w:rsidRPr="00795817">
              <w:rPr>
                <w:rFonts w:asciiTheme="minorHAnsi" w:eastAsia="Times New Roman" w:hAnsiTheme="minorHAnsi" w:cstheme="minorHAnsi"/>
                <w:sz w:val="14"/>
                <w:szCs w:val="14"/>
                <w:lang w:eastAsia="cs-CZ"/>
              </w:rPr>
              <w:t>stavby – město</w:t>
            </w:r>
            <w:r w:rsidRPr="00795817">
              <w:rPr>
                <w:rFonts w:asciiTheme="minorHAnsi" w:eastAsia="Times New Roman" w:hAnsiTheme="minorHAnsi" w:cstheme="minorHAnsi"/>
                <w:sz w:val="14"/>
                <w:szCs w:val="14"/>
                <w:lang w:eastAsia="cs-CZ"/>
              </w:rPr>
              <w:t xml:space="preserve"> Krnov dům vykoupilo koncem roku 2014 - </w:t>
            </w:r>
            <w:r w:rsidR="00C76128">
              <w:rPr>
                <w:rFonts w:asciiTheme="minorHAnsi" w:eastAsia="Times New Roman" w:hAnsiTheme="minorHAnsi" w:cstheme="minorHAnsi"/>
                <w:sz w:val="14"/>
                <w:szCs w:val="14"/>
                <w:lang w:eastAsia="cs-CZ"/>
              </w:rPr>
              <w:t>poté</w:t>
            </w:r>
            <w:r w:rsidRPr="00795817">
              <w:rPr>
                <w:rFonts w:asciiTheme="minorHAnsi" w:eastAsia="Times New Roman" w:hAnsiTheme="minorHAnsi" w:cstheme="minorHAnsi"/>
                <w:sz w:val="14"/>
                <w:szCs w:val="14"/>
                <w:lang w:eastAsia="cs-CZ"/>
              </w:rPr>
              <w:t xml:space="preserve"> </w:t>
            </w:r>
            <w:r w:rsidR="00C76128">
              <w:rPr>
                <w:rFonts w:asciiTheme="minorHAnsi" w:eastAsia="Times New Roman" w:hAnsiTheme="minorHAnsi" w:cstheme="minorHAnsi"/>
                <w:sz w:val="14"/>
                <w:szCs w:val="14"/>
                <w:lang w:eastAsia="cs-CZ"/>
              </w:rPr>
              <w:t>následovala</w:t>
            </w:r>
            <w:r w:rsidRPr="00795817">
              <w:rPr>
                <w:rFonts w:asciiTheme="minorHAnsi" w:eastAsia="Times New Roman" w:hAnsiTheme="minorHAnsi" w:cstheme="minorHAnsi"/>
                <w:sz w:val="14"/>
                <w:szCs w:val="14"/>
                <w:lang w:eastAsia="cs-CZ"/>
              </w:rPr>
              <w:t xml:space="preserve"> demolice.</w:t>
            </w:r>
            <w:r w:rsidR="00C7612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Vyskytl se </w:t>
            </w:r>
            <w:r w:rsidR="00C76128">
              <w:rPr>
                <w:rFonts w:asciiTheme="minorHAnsi" w:eastAsia="Times New Roman" w:hAnsiTheme="minorHAnsi" w:cstheme="minorHAnsi"/>
                <w:sz w:val="14"/>
                <w:szCs w:val="14"/>
                <w:lang w:eastAsia="cs-CZ"/>
              </w:rPr>
              <w:t xml:space="preserve">však </w:t>
            </w:r>
            <w:r w:rsidRPr="00795817">
              <w:rPr>
                <w:rFonts w:asciiTheme="minorHAnsi" w:eastAsia="Times New Roman" w:hAnsiTheme="minorHAnsi" w:cstheme="minorHAnsi"/>
                <w:sz w:val="14"/>
                <w:szCs w:val="14"/>
                <w:lang w:eastAsia="cs-CZ"/>
              </w:rPr>
              <w:t>další problém z hlediska zákona o navrácení církevních restitucí</w:t>
            </w:r>
            <w:r w:rsidR="00C76128">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kdy Konvent minoritů v Krnově sděl</w:t>
            </w:r>
            <w:r w:rsidR="00C76128">
              <w:rPr>
                <w:rFonts w:asciiTheme="minorHAnsi" w:eastAsia="Times New Roman" w:hAnsiTheme="minorHAnsi" w:cstheme="minorHAnsi"/>
                <w:sz w:val="14"/>
                <w:szCs w:val="14"/>
                <w:lang w:eastAsia="cs-CZ"/>
              </w:rPr>
              <w:t>il</w:t>
            </w:r>
            <w:r w:rsidRPr="00795817">
              <w:rPr>
                <w:rFonts w:asciiTheme="minorHAnsi" w:eastAsia="Times New Roman" w:hAnsiTheme="minorHAnsi" w:cstheme="minorHAnsi"/>
                <w:sz w:val="14"/>
                <w:szCs w:val="14"/>
                <w:lang w:eastAsia="cs-CZ"/>
              </w:rPr>
              <w:t>, že část pozemků pro výstavbu</w:t>
            </w:r>
            <w:r w:rsidR="00C76128">
              <w:rPr>
                <w:rFonts w:asciiTheme="minorHAnsi" w:eastAsia="Times New Roman" w:hAnsiTheme="minorHAnsi" w:cstheme="minorHAnsi"/>
                <w:sz w:val="14"/>
                <w:szCs w:val="14"/>
                <w:lang w:eastAsia="cs-CZ"/>
              </w:rPr>
              <w:t xml:space="preserve"> byla</w:t>
            </w:r>
            <w:r w:rsidRPr="00795817">
              <w:rPr>
                <w:rFonts w:asciiTheme="minorHAnsi" w:eastAsia="Times New Roman" w:hAnsiTheme="minorHAnsi" w:cstheme="minorHAnsi"/>
                <w:sz w:val="14"/>
                <w:szCs w:val="14"/>
                <w:lang w:eastAsia="cs-CZ"/>
              </w:rPr>
              <w:t xml:space="preserve"> získ</w:t>
            </w:r>
            <w:r w:rsidR="00C76128">
              <w:rPr>
                <w:rFonts w:asciiTheme="minorHAnsi" w:eastAsia="Times New Roman" w:hAnsiTheme="minorHAnsi" w:cstheme="minorHAnsi"/>
                <w:sz w:val="14"/>
                <w:szCs w:val="14"/>
                <w:lang w:eastAsia="cs-CZ"/>
              </w:rPr>
              <w:t>ána</w:t>
            </w:r>
            <w:r w:rsidRPr="00795817">
              <w:rPr>
                <w:rFonts w:asciiTheme="minorHAnsi" w:eastAsia="Times New Roman" w:hAnsiTheme="minorHAnsi" w:cstheme="minorHAnsi"/>
                <w:sz w:val="14"/>
                <w:szCs w:val="14"/>
                <w:lang w:eastAsia="cs-CZ"/>
              </w:rPr>
              <w:t xml:space="preserve"> od nevlastníků</w:t>
            </w:r>
            <w:r w:rsidR="00C76128">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a tudíž neb</w:t>
            </w:r>
            <w:r w:rsidRPr="00795817">
              <w:rPr>
                <w:rFonts w:asciiTheme="minorHAnsi" w:eastAsia="Times New Roman" w:hAnsiTheme="minorHAnsi" w:cstheme="minorHAnsi"/>
                <w:sz w:val="14"/>
                <w:szCs w:val="14"/>
                <w:lang w:eastAsia="cs-CZ"/>
              </w:rPr>
              <w:t>ylo postupováno podle zákona.</w:t>
            </w:r>
            <w:r w:rsidR="00C76128">
              <w:rPr>
                <w:rFonts w:asciiTheme="minorHAnsi" w:eastAsia="Times New Roman" w:hAnsiTheme="minorHAnsi" w:cstheme="minorHAnsi"/>
                <w:sz w:val="14"/>
                <w:szCs w:val="14"/>
                <w:lang w:eastAsia="cs-CZ"/>
              </w:rPr>
              <w:t xml:space="preserve">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I/53 </w:t>
            </w:r>
            <w:r w:rsidR="00194044" w:rsidRPr="00795817">
              <w:rPr>
                <w:rFonts w:asciiTheme="minorHAnsi" w:eastAsia="Times New Roman" w:hAnsiTheme="minorHAnsi" w:cstheme="minorHAnsi"/>
                <w:sz w:val="14"/>
                <w:szCs w:val="14"/>
                <w:lang w:eastAsia="cs-CZ"/>
              </w:rPr>
              <w:t>Znojmo – Lechovice</w:t>
            </w:r>
            <w:r w:rsidRPr="00795817">
              <w:rPr>
                <w:rFonts w:asciiTheme="minorHAnsi" w:eastAsia="Times New Roman" w:hAnsiTheme="minorHAnsi" w:cstheme="minorHAnsi"/>
                <w:sz w:val="14"/>
                <w:szCs w:val="14"/>
                <w:lang w:eastAsia="cs-CZ"/>
              </w:rPr>
              <w:t xml:space="preserve"> </w:t>
            </w:r>
          </w:p>
        </w:tc>
        <w:tc>
          <w:tcPr>
            <w:tcW w:w="7938" w:type="dxa"/>
            <w:tcMar>
              <w:left w:w="57" w:type="dxa"/>
              <w:right w:w="57" w:type="dxa"/>
            </w:tcMar>
            <w:vAlign w:val="center"/>
            <w:hideMark/>
          </w:tcPr>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V důsledku digitalizace katastru nemovitostí došlo ke změnám, které vyvolaly změny v záboru vlastnických vztahů.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D6 Řevničov, obchvat </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1</w:t>
            </w:r>
            <w:r w:rsidR="007C7976">
              <w:rPr>
                <w:rFonts w:asciiTheme="minorHAnsi" w:eastAsia="Times New Roman" w:hAnsiTheme="minorHAnsi" w:cstheme="minorHAnsi"/>
                <w:sz w:val="14"/>
                <w:szCs w:val="14"/>
                <w:lang w:eastAsia="cs-CZ"/>
              </w:rPr>
              <w:t xml:space="preserve"> list vlastnictví (</w:t>
            </w:r>
            <w:r w:rsidRPr="00795817">
              <w:rPr>
                <w:rFonts w:asciiTheme="minorHAnsi" w:eastAsia="Times New Roman" w:hAnsiTheme="minorHAnsi" w:cstheme="minorHAnsi"/>
                <w:sz w:val="14"/>
                <w:szCs w:val="14"/>
                <w:lang w:eastAsia="cs-CZ"/>
              </w:rPr>
              <w:t>LV</w:t>
            </w:r>
            <w:r w:rsidR="007C7976">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(1 vlastník) v jednání </w:t>
            </w:r>
            <w:r w:rsidR="007C7976">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w:t>
            </w:r>
            <w:r w:rsidR="007C7976">
              <w:rPr>
                <w:rFonts w:asciiTheme="minorHAnsi" w:eastAsia="Times New Roman" w:hAnsiTheme="minorHAnsi" w:cstheme="minorHAnsi"/>
                <w:sz w:val="14"/>
                <w:szCs w:val="14"/>
                <w:lang w:eastAsia="cs-CZ"/>
              </w:rPr>
              <w:t xml:space="preserve">pro </w:t>
            </w:r>
            <w:r w:rsidRPr="00795817">
              <w:rPr>
                <w:rFonts w:asciiTheme="minorHAnsi" w:eastAsia="Times New Roman" w:hAnsiTheme="minorHAnsi" w:cstheme="minorHAnsi"/>
                <w:sz w:val="14"/>
                <w:szCs w:val="14"/>
                <w:lang w:eastAsia="cs-CZ"/>
              </w:rPr>
              <w:t>podíl 1/2</w:t>
            </w:r>
            <w:r w:rsidRPr="00795817">
              <w:rPr>
                <w:rFonts w:asciiTheme="minorHAnsi" w:eastAsia="Times New Roman" w:hAnsiTheme="minorHAnsi" w:cstheme="minorHAnsi"/>
                <w:sz w:val="14"/>
                <w:szCs w:val="14"/>
                <w:lang w:eastAsia="cs-CZ"/>
              </w:rPr>
              <w:t xml:space="preserve"> neukončené dědické řízení</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D6 Krupá, přeložka</w:t>
            </w:r>
          </w:p>
        </w:tc>
        <w:tc>
          <w:tcPr>
            <w:tcW w:w="7938" w:type="dxa"/>
            <w:tcMar>
              <w:left w:w="57" w:type="dxa"/>
              <w:right w:w="57" w:type="dxa"/>
            </w:tcMar>
            <w:vAlign w:val="center"/>
            <w:hideMark/>
          </w:tcPr>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S</w:t>
            </w:r>
            <w:r w:rsidRPr="00795817">
              <w:rPr>
                <w:rFonts w:asciiTheme="minorHAnsi" w:eastAsia="Times New Roman" w:hAnsiTheme="minorHAnsi" w:cstheme="minorHAnsi"/>
                <w:sz w:val="14"/>
                <w:szCs w:val="14"/>
                <w:lang w:eastAsia="cs-CZ"/>
              </w:rPr>
              <w:t xml:space="preserve"> vlastníky je průběžně jednáno</w:t>
            </w:r>
            <w:r>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3 LV žádají směnu</w:t>
            </w:r>
            <w:r>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2 </w:t>
            </w:r>
            <w:r w:rsidR="00194044" w:rsidRPr="00795817">
              <w:rPr>
                <w:rFonts w:asciiTheme="minorHAnsi" w:eastAsia="Times New Roman" w:hAnsiTheme="minorHAnsi" w:cstheme="minorHAnsi"/>
                <w:sz w:val="14"/>
                <w:szCs w:val="14"/>
                <w:lang w:eastAsia="cs-CZ"/>
              </w:rPr>
              <w:t xml:space="preserve">LV </w:t>
            </w:r>
            <w:r w:rsidR="00194044">
              <w:rPr>
                <w:rFonts w:asciiTheme="minorHAnsi" w:eastAsia="Times New Roman" w:hAnsiTheme="minorHAnsi" w:cstheme="minorHAnsi"/>
                <w:sz w:val="14"/>
                <w:szCs w:val="14"/>
                <w:lang w:eastAsia="cs-CZ"/>
              </w:rPr>
              <w:t>– spoluvlastníci</w:t>
            </w:r>
            <w:r w:rsidRPr="00795817">
              <w:rPr>
                <w:rFonts w:asciiTheme="minorHAnsi" w:eastAsia="Times New Roman" w:hAnsiTheme="minorHAnsi" w:cstheme="minorHAnsi"/>
                <w:sz w:val="14"/>
                <w:szCs w:val="14"/>
                <w:lang w:eastAsia="cs-CZ"/>
              </w:rPr>
              <w:t xml:space="preserve"> se nemohou dohodnout o výkupu</w:t>
            </w:r>
            <w:r>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6 LV (omezená práva – exekuce, zástavní a předkupní práva atp.)</w:t>
            </w:r>
            <w:r>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12 vlastníků vykoupeno</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D7 Postoloprty </w:t>
            </w:r>
            <w:r w:rsidRPr="00795817">
              <w:rPr>
                <w:rFonts w:asciiTheme="minorHAnsi" w:eastAsia="Times New Roman" w:hAnsiTheme="minorHAnsi" w:cstheme="minorHAnsi"/>
                <w:sz w:val="14"/>
                <w:szCs w:val="14"/>
                <w:lang w:eastAsia="cs-CZ"/>
              </w:rPr>
              <w:t>zkapacitnění obchvatu</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Město Postoloprty </w:t>
            </w:r>
            <w:r w:rsidR="007C7976">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w:t>
            </w:r>
            <w:r w:rsidR="007C7976">
              <w:rPr>
                <w:rFonts w:asciiTheme="minorHAnsi" w:eastAsia="Times New Roman" w:hAnsiTheme="minorHAnsi" w:cstheme="minorHAnsi"/>
                <w:sz w:val="14"/>
                <w:szCs w:val="14"/>
                <w:lang w:eastAsia="cs-CZ"/>
              </w:rPr>
              <w:t xml:space="preserve">řešena </w:t>
            </w:r>
            <w:r w:rsidRPr="00795817">
              <w:rPr>
                <w:rFonts w:asciiTheme="minorHAnsi" w:eastAsia="Times New Roman" w:hAnsiTheme="minorHAnsi" w:cstheme="minorHAnsi"/>
                <w:sz w:val="14"/>
                <w:szCs w:val="14"/>
                <w:lang w:eastAsia="cs-CZ"/>
              </w:rPr>
              <w:t>náhrada škody za budovy dotčené stavbou komunikace (zázemí fotbalového klubu)</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D11 1107 </w:t>
            </w:r>
            <w:r w:rsidR="00194044" w:rsidRPr="00795817">
              <w:rPr>
                <w:rFonts w:asciiTheme="minorHAnsi" w:eastAsia="Times New Roman" w:hAnsiTheme="minorHAnsi" w:cstheme="minorHAnsi"/>
                <w:sz w:val="14"/>
                <w:szCs w:val="14"/>
                <w:lang w:eastAsia="cs-CZ"/>
              </w:rPr>
              <w:t>Smiřice – Jaroměř</w:t>
            </w:r>
            <w:r w:rsidRPr="00795817">
              <w:rPr>
                <w:rFonts w:asciiTheme="minorHAnsi" w:eastAsia="Times New Roman" w:hAnsiTheme="minorHAnsi" w:cstheme="minorHAnsi"/>
                <w:sz w:val="14"/>
                <w:szCs w:val="14"/>
                <w:lang w:eastAsia="cs-CZ"/>
              </w:rPr>
              <w:t xml:space="preserve"> </w:t>
            </w:r>
          </w:p>
        </w:tc>
        <w:tc>
          <w:tcPr>
            <w:tcW w:w="7938" w:type="dxa"/>
            <w:tcMar>
              <w:left w:w="57" w:type="dxa"/>
              <w:right w:w="57" w:type="dxa"/>
            </w:tcMar>
            <w:vAlign w:val="center"/>
            <w:hideMark/>
          </w:tcPr>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U</w:t>
            </w:r>
            <w:r w:rsidRPr="00795817">
              <w:rPr>
                <w:rFonts w:asciiTheme="minorHAnsi" w:eastAsia="Times New Roman" w:hAnsiTheme="minorHAnsi" w:cstheme="minorHAnsi"/>
                <w:sz w:val="14"/>
                <w:szCs w:val="14"/>
                <w:lang w:eastAsia="cs-CZ"/>
              </w:rPr>
              <w:t xml:space="preserve"> 2 LV byl blokován převod z</w:t>
            </w:r>
            <w:r>
              <w:rPr>
                <w:rFonts w:asciiTheme="minorHAnsi" w:eastAsia="Times New Roman" w:hAnsiTheme="minorHAnsi" w:cstheme="minorHAnsi"/>
                <w:sz w:val="14"/>
                <w:szCs w:val="14"/>
                <w:lang w:eastAsia="cs-CZ"/>
              </w:rPr>
              <w:t>e Státního pozemkového úřadu</w:t>
            </w:r>
            <w:r w:rsidRPr="00795817">
              <w:rPr>
                <w:rFonts w:asciiTheme="minorHAnsi" w:eastAsia="Times New Roman" w:hAnsiTheme="minorHAnsi" w:cstheme="minorHAnsi"/>
                <w:sz w:val="14"/>
                <w:szCs w:val="14"/>
                <w:lang w:eastAsia="cs-CZ"/>
              </w:rPr>
              <w:t xml:space="preserve"> </w:t>
            </w:r>
            <w:r>
              <w:rPr>
                <w:rFonts w:asciiTheme="minorHAnsi" w:eastAsia="Times New Roman" w:hAnsiTheme="minorHAnsi" w:cstheme="minorHAnsi"/>
                <w:sz w:val="14"/>
                <w:szCs w:val="14"/>
                <w:lang w:eastAsia="cs-CZ"/>
              </w:rPr>
              <w:t xml:space="preserve">(SPÚ) </w:t>
            </w:r>
            <w:r w:rsidRPr="00795817">
              <w:rPr>
                <w:rFonts w:asciiTheme="minorHAnsi" w:eastAsia="Times New Roman" w:hAnsiTheme="minorHAnsi" w:cstheme="minorHAnsi"/>
                <w:sz w:val="14"/>
                <w:szCs w:val="14"/>
                <w:lang w:eastAsia="cs-CZ"/>
              </w:rPr>
              <w:t>žalobou podanou v souvislosti s nevyd</w:t>
            </w:r>
            <w:r w:rsidRPr="00795817">
              <w:rPr>
                <w:rFonts w:asciiTheme="minorHAnsi" w:eastAsia="Times New Roman" w:hAnsiTheme="minorHAnsi" w:cstheme="minorHAnsi"/>
                <w:sz w:val="14"/>
                <w:szCs w:val="14"/>
                <w:lang w:eastAsia="cs-CZ"/>
              </w:rPr>
              <w:t xml:space="preserve">áním pozemků dle zákona o majetkovém vyrovnání s církvemi. S Římskokatolickou farností – děkanství Jaroměř I. má ŘSD podepsanou Smlouvu o právu provést stavbu a s SPÚ Smlouvu o předání majetku státu a o změně příslušnosti hospodařit s tímto majetkem. Všem </w:t>
            </w:r>
            <w:r w:rsidRPr="00795817">
              <w:rPr>
                <w:rFonts w:asciiTheme="minorHAnsi" w:eastAsia="Times New Roman" w:hAnsiTheme="minorHAnsi" w:cstheme="minorHAnsi"/>
                <w:sz w:val="14"/>
                <w:szCs w:val="14"/>
                <w:lang w:eastAsia="cs-CZ"/>
              </w:rPr>
              <w:t>vlastníkům byly předloženy smlouvy o věcných břemenech (služebnosti) a smlouvy o nájmech.</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D3 0309/I </w:t>
            </w:r>
            <w:r w:rsidR="00194044" w:rsidRPr="00795817">
              <w:rPr>
                <w:rFonts w:asciiTheme="minorHAnsi" w:eastAsia="Times New Roman" w:hAnsiTheme="minorHAnsi" w:cstheme="minorHAnsi"/>
                <w:sz w:val="14"/>
                <w:szCs w:val="14"/>
                <w:lang w:eastAsia="cs-CZ"/>
              </w:rPr>
              <w:t>Bošilec – Ševětín</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B94595">
              <w:rPr>
                <w:rFonts w:asciiTheme="minorHAnsi" w:eastAsia="Times New Roman" w:hAnsiTheme="minorHAnsi" w:cstheme="minorHAnsi"/>
                <w:sz w:val="14"/>
                <w:szCs w:val="14"/>
                <w:lang w:eastAsia="cs-CZ"/>
              </w:rPr>
              <w:t>Majetkoprávní příprav</w:t>
            </w:r>
            <w:r>
              <w:rPr>
                <w:rFonts w:asciiTheme="minorHAnsi" w:eastAsia="Times New Roman" w:hAnsiTheme="minorHAnsi" w:cstheme="minorHAnsi"/>
                <w:sz w:val="14"/>
                <w:szCs w:val="14"/>
                <w:lang w:eastAsia="cs-CZ"/>
              </w:rPr>
              <w:t>u</w:t>
            </w:r>
            <w:r w:rsidRPr="00B94595">
              <w:rPr>
                <w:rFonts w:asciiTheme="minorHAnsi" w:eastAsia="Times New Roman" w:hAnsiTheme="minorHAnsi" w:cstheme="minorHAnsi"/>
                <w:sz w:val="14"/>
                <w:szCs w:val="14"/>
                <w:lang w:eastAsia="cs-CZ"/>
              </w:rPr>
              <w:t xml:space="preserve"> </w:t>
            </w:r>
            <w:r w:rsidR="007C7976">
              <w:rPr>
                <w:rFonts w:asciiTheme="minorHAnsi" w:eastAsia="Times New Roman" w:hAnsiTheme="minorHAnsi" w:cstheme="minorHAnsi"/>
                <w:sz w:val="14"/>
                <w:szCs w:val="14"/>
                <w:lang w:eastAsia="cs-CZ"/>
              </w:rPr>
              <w:t>řešil</w:t>
            </w:r>
            <w:r w:rsidRPr="00795817">
              <w:rPr>
                <w:rFonts w:asciiTheme="minorHAnsi" w:eastAsia="Times New Roman" w:hAnsiTheme="minorHAnsi" w:cstheme="minorHAnsi"/>
                <w:sz w:val="14"/>
                <w:szCs w:val="14"/>
                <w:lang w:eastAsia="cs-CZ"/>
              </w:rPr>
              <w:t xml:space="preserve"> </w:t>
            </w:r>
            <w:r w:rsidR="00194044" w:rsidRPr="00795817">
              <w:rPr>
                <w:rFonts w:asciiTheme="minorHAnsi" w:eastAsia="Times New Roman" w:hAnsiTheme="minorHAnsi" w:cstheme="minorHAnsi"/>
                <w:sz w:val="14"/>
                <w:szCs w:val="14"/>
                <w:lang w:eastAsia="cs-CZ"/>
              </w:rPr>
              <w:t>Pragoprojekt</w:t>
            </w:r>
            <w:r w:rsidR="00194044">
              <w:rPr>
                <w:rFonts w:asciiTheme="minorHAnsi" w:eastAsia="Times New Roman" w:hAnsiTheme="minorHAnsi" w:cstheme="minorHAnsi"/>
                <w:sz w:val="14"/>
                <w:szCs w:val="14"/>
                <w:lang w:eastAsia="cs-CZ"/>
              </w:rPr>
              <w:t xml:space="preserve"> – trvalý</w:t>
            </w:r>
            <w:r w:rsidRPr="00795817">
              <w:rPr>
                <w:rFonts w:asciiTheme="minorHAnsi" w:eastAsia="Times New Roman" w:hAnsiTheme="minorHAnsi" w:cstheme="minorHAnsi"/>
                <w:sz w:val="14"/>
                <w:szCs w:val="14"/>
                <w:lang w:eastAsia="cs-CZ"/>
              </w:rPr>
              <w:t xml:space="preserve"> zábor 164 LV</w:t>
            </w:r>
            <w:r w:rsidR="007C7976">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věcná břemena 113 LV</w:t>
            </w:r>
            <w:r w:rsidR="007C7976">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nájemní smlouvy</w:t>
            </w:r>
            <w:r w:rsidR="007C7976">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D3 0310/I </w:t>
            </w:r>
            <w:r w:rsidR="00194044" w:rsidRPr="00795817">
              <w:rPr>
                <w:rFonts w:asciiTheme="minorHAnsi" w:eastAsia="Times New Roman" w:hAnsiTheme="minorHAnsi" w:cstheme="minorHAnsi"/>
                <w:sz w:val="14"/>
                <w:szCs w:val="14"/>
                <w:lang w:eastAsia="cs-CZ"/>
              </w:rPr>
              <w:t>Úsilné – Hodějovice</w:t>
            </w:r>
            <w:r w:rsidRPr="00795817">
              <w:rPr>
                <w:rFonts w:asciiTheme="minorHAnsi" w:eastAsia="Times New Roman" w:hAnsiTheme="minorHAnsi" w:cstheme="minorHAnsi"/>
                <w:sz w:val="14"/>
                <w:szCs w:val="14"/>
                <w:lang w:eastAsia="cs-CZ"/>
              </w:rPr>
              <w:t xml:space="preserve"> </w:t>
            </w:r>
          </w:p>
        </w:tc>
        <w:tc>
          <w:tcPr>
            <w:tcW w:w="7938" w:type="dxa"/>
            <w:tcMar>
              <w:left w:w="57" w:type="dxa"/>
              <w:right w:w="57" w:type="dxa"/>
            </w:tcMar>
            <w:vAlign w:val="center"/>
            <w:hideMark/>
          </w:tcPr>
          <w:p w:rsidR="00BE08CA"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BE08CA">
              <w:rPr>
                <w:rFonts w:asciiTheme="minorHAnsi" w:eastAsia="Times New Roman" w:hAnsiTheme="minorHAnsi" w:cstheme="minorHAnsi"/>
                <w:sz w:val="14"/>
                <w:szCs w:val="14"/>
                <w:lang w:eastAsia="cs-CZ"/>
              </w:rPr>
              <w:t xml:space="preserve">29. 1. 2019 - zásadní problém vyvlastnění spol. OBB Střechy (požadavek na směnu areálu) - vydáno rozhodnutí o vyvlastnění (odvolání vyvlastňovaného i ŘSD), vyvlastnění bylo s výjimkou náhrady škody za pronájem ze strany KÚ Jčk </w:t>
            </w:r>
            <w:r w:rsidR="00194044" w:rsidRPr="00BE08CA">
              <w:rPr>
                <w:rFonts w:asciiTheme="minorHAnsi" w:eastAsia="Times New Roman" w:hAnsiTheme="minorHAnsi" w:cstheme="minorHAnsi"/>
                <w:sz w:val="14"/>
                <w:szCs w:val="14"/>
                <w:lang w:eastAsia="cs-CZ"/>
              </w:rPr>
              <w:t>potvrzeno – podána</w:t>
            </w:r>
            <w:r w:rsidRPr="00BE08CA">
              <w:rPr>
                <w:rFonts w:asciiTheme="minorHAnsi" w:eastAsia="Times New Roman" w:hAnsiTheme="minorHAnsi" w:cstheme="minorHAnsi"/>
                <w:sz w:val="14"/>
                <w:szCs w:val="14"/>
                <w:lang w:eastAsia="cs-CZ"/>
              </w:rPr>
              <w:t xml:space="preserve"> soudní žal</w:t>
            </w:r>
            <w:r w:rsidRPr="00BE08CA">
              <w:rPr>
                <w:rFonts w:asciiTheme="minorHAnsi" w:eastAsia="Times New Roman" w:hAnsiTheme="minorHAnsi" w:cstheme="minorHAnsi"/>
                <w:sz w:val="14"/>
                <w:szCs w:val="14"/>
                <w:lang w:eastAsia="cs-CZ"/>
              </w:rPr>
              <w:t>oba</w:t>
            </w:r>
            <w:r>
              <w:rPr>
                <w:rFonts w:asciiTheme="minorHAnsi" w:eastAsia="Times New Roman" w:hAnsiTheme="minorHAnsi" w:cstheme="minorHAnsi"/>
                <w:sz w:val="14"/>
                <w:szCs w:val="14"/>
                <w:lang w:eastAsia="cs-CZ"/>
              </w:rPr>
              <w:t xml:space="preserve"> </w:t>
            </w:r>
          </w:p>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BE08CA">
              <w:rPr>
                <w:rFonts w:asciiTheme="minorHAnsi" w:eastAsia="Times New Roman" w:hAnsiTheme="minorHAnsi" w:cstheme="minorHAnsi"/>
                <w:i/>
                <w:iCs/>
                <w:sz w:val="14"/>
                <w:szCs w:val="14"/>
                <w:lang w:eastAsia="cs-CZ"/>
              </w:rPr>
              <w:t>Zdroj: https://zpravy.aktualne.cz/ekonomika/zablokovane-stavby-novych-dalnic/r~488942f2cbb611e89f96ac1f6b220ee8/v~sl:b5ca667e2f6c503a41f3e75fcf1e6d5b/</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D1 0136 Říkovice-Přerov </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Někteří majitelé pozemků potřebných pro výstavbu odmítají pozemky prodat n</w:t>
            </w:r>
            <w:r w:rsidRPr="00795817">
              <w:rPr>
                <w:rFonts w:asciiTheme="minorHAnsi" w:eastAsia="Times New Roman" w:hAnsiTheme="minorHAnsi" w:cstheme="minorHAnsi"/>
                <w:sz w:val="14"/>
                <w:szCs w:val="14"/>
                <w:lang w:eastAsia="cs-CZ"/>
              </w:rPr>
              <w:t>ebo nejsou dosažitelní, a proto byly podány návrhy pro vyvlastnění nebo se návrhy připravují. Počet případů, u kterých se předpoklád</w:t>
            </w:r>
            <w:r w:rsidR="00EE494B">
              <w:rPr>
                <w:rFonts w:asciiTheme="minorHAnsi" w:eastAsia="Times New Roman" w:hAnsiTheme="minorHAnsi" w:cstheme="minorHAnsi"/>
                <w:sz w:val="14"/>
                <w:szCs w:val="14"/>
                <w:lang w:eastAsia="cs-CZ"/>
              </w:rPr>
              <w:t>alo</w:t>
            </w:r>
            <w:r w:rsidRPr="00795817">
              <w:rPr>
                <w:rFonts w:asciiTheme="minorHAnsi" w:eastAsia="Times New Roman" w:hAnsiTheme="minorHAnsi" w:cstheme="minorHAnsi"/>
                <w:sz w:val="14"/>
                <w:szCs w:val="14"/>
                <w:lang w:eastAsia="cs-CZ"/>
              </w:rPr>
              <w:t xml:space="preserve"> zahájení vyvlastňovacího řízení</w:t>
            </w:r>
            <w:r w:rsidR="00EE494B">
              <w:rPr>
                <w:rFonts w:asciiTheme="minorHAnsi" w:eastAsia="Times New Roman" w:hAnsiTheme="minorHAnsi" w:cstheme="minorHAnsi"/>
                <w:sz w:val="14"/>
                <w:szCs w:val="14"/>
                <w:lang w:eastAsia="cs-CZ"/>
              </w:rPr>
              <w:t>, bylo</w:t>
            </w:r>
            <w:r w:rsidRPr="00795817">
              <w:rPr>
                <w:rFonts w:asciiTheme="minorHAnsi" w:eastAsia="Times New Roman" w:hAnsiTheme="minorHAnsi" w:cstheme="minorHAnsi"/>
                <w:sz w:val="14"/>
                <w:szCs w:val="14"/>
                <w:lang w:eastAsia="cs-CZ"/>
              </w:rPr>
              <w:t xml:space="preserve"> 25.</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D7 MÚK </w:t>
            </w:r>
            <w:r w:rsidR="00194044" w:rsidRPr="00795817">
              <w:rPr>
                <w:rFonts w:asciiTheme="minorHAnsi" w:eastAsia="Times New Roman" w:hAnsiTheme="minorHAnsi" w:cstheme="minorHAnsi"/>
                <w:sz w:val="14"/>
                <w:szCs w:val="14"/>
                <w:lang w:eastAsia="cs-CZ"/>
              </w:rPr>
              <w:t>Aviatická – MÚK</w:t>
            </w:r>
            <w:r w:rsidRPr="00795817">
              <w:rPr>
                <w:rFonts w:asciiTheme="minorHAnsi" w:eastAsia="Times New Roman" w:hAnsiTheme="minorHAnsi" w:cstheme="minorHAnsi"/>
                <w:sz w:val="14"/>
                <w:szCs w:val="14"/>
                <w:lang w:eastAsia="cs-CZ"/>
              </w:rPr>
              <w:t xml:space="preserve"> Ruzyně </w:t>
            </w:r>
          </w:p>
        </w:tc>
        <w:tc>
          <w:tcPr>
            <w:tcW w:w="7938" w:type="dxa"/>
            <w:tcMar>
              <w:left w:w="57" w:type="dxa"/>
              <w:right w:w="57" w:type="dxa"/>
            </w:tcMar>
            <w:vAlign w:val="center"/>
            <w:hideMark/>
          </w:tcPr>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Ulice Lipská přechází na R7. Stávající část komunikace je v současné době ve vlastnictví hl. m. Prahy. </w:t>
            </w:r>
            <w:r w:rsidR="00B94595">
              <w:rPr>
                <w:rFonts w:asciiTheme="minorHAnsi" w:eastAsia="Times New Roman" w:hAnsiTheme="minorHAnsi" w:cstheme="minorHAnsi"/>
                <w:sz w:val="14"/>
                <w:szCs w:val="14"/>
                <w:lang w:eastAsia="cs-CZ"/>
              </w:rPr>
              <w:t>Je n</w:t>
            </w:r>
            <w:r w:rsidRPr="00795817">
              <w:rPr>
                <w:rFonts w:asciiTheme="minorHAnsi" w:eastAsia="Times New Roman" w:hAnsiTheme="minorHAnsi" w:cstheme="minorHAnsi"/>
                <w:sz w:val="14"/>
                <w:szCs w:val="14"/>
                <w:lang w:eastAsia="cs-CZ"/>
              </w:rPr>
              <w:t xml:space="preserve">utno </w:t>
            </w:r>
            <w:r w:rsidR="00B94595">
              <w:rPr>
                <w:rFonts w:asciiTheme="minorHAnsi" w:eastAsia="Times New Roman" w:hAnsiTheme="minorHAnsi" w:cstheme="minorHAnsi"/>
                <w:sz w:val="14"/>
                <w:szCs w:val="14"/>
                <w:lang w:eastAsia="cs-CZ"/>
              </w:rPr>
              <w:t xml:space="preserve">ji </w:t>
            </w:r>
            <w:r w:rsidRPr="00795817">
              <w:rPr>
                <w:rFonts w:asciiTheme="minorHAnsi" w:eastAsia="Times New Roman" w:hAnsiTheme="minorHAnsi" w:cstheme="minorHAnsi"/>
                <w:sz w:val="14"/>
                <w:szCs w:val="14"/>
                <w:lang w:eastAsia="cs-CZ"/>
              </w:rPr>
              <w:t xml:space="preserve">převést na Českou republiku, s právem hospodaření ŘSD, aby mohlo ŘSD s tímto majetkem nakládat.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D10 MÚK Kosmonosy </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Majetkoprávní příprava: </w:t>
            </w:r>
            <w:r w:rsidR="00B94595">
              <w:rPr>
                <w:rFonts w:asciiTheme="minorHAnsi" w:eastAsia="Times New Roman" w:hAnsiTheme="minorHAnsi" w:cstheme="minorHAnsi"/>
                <w:sz w:val="14"/>
                <w:szCs w:val="14"/>
                <w:lang w:eastAsia="cs-CZ"/>
              </w:rPr>
              <w:t>p</w:t>
            </w:r>
            <w:r w:rsidRPr="00795817">
              <w:rPr>
                <w:rFonts w:asciiTheme="minorHAnsi" w:eastAsia="Times New Roman" w:hAnsiTheme="minorHAnsi" w:cstheme="minorHAnsi"/>
                <w:sz w:val="14"/>
                <w:szCs w:val="14"/>
                <w:lang w:eastAsia="cs-CZ"/>
              </w:rPr>
              <w:t xml:space="preserve">očet vlastníků 78, počet LV 34, trvalý zábor 48,504 ha, dočasný zábor 2,766 ha. </w:t>
            </w:r>
            <w:r w:rsidR="00B94595">
              <w:rPr>
                <w:rFonts w:asciiTheme="minorHAnsi" w:eastAsia="Times New Roman" w:hAnsiTheme="minorHAnsi" w:cstheme="minorHAnsi"/>
                <w:sz w:val="14"/>
                <w:szCs w:val="14"/>
                <w:lang w:eastAsia="cs-CZ"/>
              </w:rPr>
              <w:t xml:space="preserve">Pro </w:t>
            </w:r>
            <w:r w:rsidRPr="00795817">
              <w:rPr>
                <w:rFonts w:asciiTheme="minorHAnsi" w:eastAsia="Times New Roman" w:hAnsiTheme="minorHAnsi" w:cstheme="minorHAnsi"/>
                <w:sz w:val="14"/>
                <w:szCs w:val="14"/>
                <w:lang w:eastAsia="cs-CZ"/>
              </w:rPr>
              <w:t xml:space="preserve">výkup pozemků předpoklad 101 mil. Kč.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D35 </w:t>
            </w:r>
            <w:r w:rsidR="00194044" w:rsidRPr="00795817">
              <w:rPr>
                <w:rFonts w:asciiTheme="minorHAnsi" w:eastAsia="Times New Roman" w:hAnsiTheme="minorHAnsi" w:cstheme="minorHAnsi"/>
                <w:sz w:val="14"/>
                <w:szCs w:val="14"/>
                <w:lang w:eastAsia="cs-CZ"/>
              </w:rPr>
              <w:t>Hořice – Sadová</w:t>
            </w:r>
            <w:r w:rsidRPr="00795817">
              <w:rPr>
                <w:rFonts w:asciiTheme="minorHAnsi" w:eastAsia="Times New Roman" w:hAnsiTheme="minorHAnsi" w:cstheme="minorHAnsi"/>
                <w:sz w:val="14"/>
                <w:szCs w:val="14"/>
                <w:lang w:eastAsia="cs-CZ"/>
              </w:rPr>
              <w:t xml:space="preserve">  </w:t>
            </w:r>
          </w:p>
        </w:tc>
        <w:tc>
          <w:tcPr>
            <w:tcW w:w="7938" w:type="dxa"/>
            <w:tcMar>
              <w:left w:w="57" w:type="dxa"/>
              <w:right w:w="57" w:type="dxa"/>
            </w:tcMar>
            <w:vAlign w:val="center"/>
            <w:hideMark/>
          </w:tcPr>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Pr>
                <w:rFonts w:asciiTheme="minorHAnsi" w:eastAsia="Times New Roman" w:hAnsiTheme="minorHAnsi" w:cstheme="minorHAnsi"/>
                <w:sz w:val="14"/>
                <w:szCs w:val="14"/>
                <w:lang w:eastAsia="cs-CZ"/>
              </w:rPr>
              <w:t>P</w:t>
            </w:r>
            <w:r w:rsidRPr="00795817">
              <w:rPr>
                <w:rFonts w:asciiTheme="minorHAnsi" w:eastAsia="Times New Roman" w:hAnsiTheme="minorHAnsi" w:cstheme="minorHAnsi"/>
                <w:sz w:val="14"/>
                <w:szCs w:val="14"/>
                <w:lang w:eastAsia="cs-CZ"/>
              </w:rPr>
              <w:t xml:space="preserve">roblémy se vstupy na pozemky kvůli zpracování </w:t>
            </w:r>
            <w:r>
              <w:rPr>
                <w:rFonts w:asciiTheme="minorHAnsi" w:eastAsia="Times New Roman" w:hAnsiTheme="minorHAnsi" w:cstheme="minorHAnsi"/>
                <w:sz w:val="14"/>
                <w:szCs w:val="14"/>
                <w:lang w:eastAsia="cs-CZ"/>
              </w:rPr>
              <w:t>geologických průzkumů</w:t>
            </w:r>
            <w:r w:rsidRPr="00795817">
              <w:rPr>
                <w:rFonts w:asciiTheme="minorHAnsi" w:eastAsia="Times New Roman" w:hAnsiTheme="minorHAnsi" w:cstheme="minorHAnsi"/>
                <w:sz w:val="14"/>
                <w:szCs w:val="14"/>
                <w:lang w:eastAsia="cs-CZ"/>
              </w:rPr>
              <w:t>, zemědělci nechtěli povolovat vstupy pře</w:t>
            </w:r>
            <w:r w:rsidRPr="00795817">
              <w:rPr>
                <w:rFonts w:asciiTheme="minorHAnsi" w:eastAsia="Times New Roman" w:hAnsiTheme="minorHAnsi" w:cstheme="minorHAnsi"/>
                <w:sz w:val="14"/>
                <w:szCs w:val="14"/>
                <w:lang w:eastAsia="cs-CZ"/>
              </w:rPr>
              <w:t>d sklizněmi.</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 xml:space="preserve">D35 Časy </w:t>
            </w:r>
            <w:r w:rsidR="00D42F6F" w:rsidRPr="00795817">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w:t>
            </w:r>
            <w:r w:rsidR="00194044" w:rsidRPr="00795817">
              <w:rPr>
                <w:rFonts w:asciiTheme="minorHAnsi" w:eastAsia="Times New Roman" w:hAnsiTheme="minorHAnsi" w:cstheme="minorHAnsi"/>
                <w:sz w:val="14"/>
                <w:szCs w:val="14"/>
                <w:lang w:eastAsia="cs-CZ"/>
              </w:rPr>
              <w:t>Ostrov; D</w:t>
            </w:r>
            <w:r w:rsidR="00D42F6F" w:rsidRPr="00795817">
              <w:rPr>
                <w:rFonts w:asciiTheme="minorHAnsi" w:eastAsia="Times New Roman" w:hAnsiTheme="minorHAnsi" w:cstheme="minorHAnsi"/>
                <w:sz w:val="14"/>
                <w:szCs w:val="14"/>
                <w:lang w:eastAsia="cs-CZ"/>
              </w:rPr>
              <w:t xml:space="preserve">35 Opatovice nad </w:t>
            </w:r>
            <w:r w:rsidR="00194044" w:rsidRPr="00795817">
              <w:rPr>
                <w:rFonts w:asciiTheme="minorHAnsi" w:eastAsia="Times New Roman" w:hAnsiTheme="minorHAnsi" w:cstheme="minorHAnsi"/>
                <w:sz w:val="14"/>
                <w:szCs w:val="14"/>
                <w:lang w:eastAsia="cs-CZ"/>
              </w:rPr>
              <w:t>Labem – Časy</w:t>
            </w:r>
          </w:p>
        </w:tc>
        <w:tc>
          <w:tcPr>
            <w:tcW w:w="7938" w:type="dxa"/>
            <w:tcMar>
              <w:left w:w="57" w:type="dxa"/>
              <w:right w:w="57" w:type="dxa"/>
            </w:tcMar>
            <w:vAlign w:val="center"/>
            <w:hideMark/>
          </w:tcPr>
          <w:p w:rsidR="005A1F5C" w:rsidRPr="00795817" w:rsidRDefault="000865D6" w:rsidP="00374948">
            <w:pPr>
              <w:spacing w:before="0" w:after="0"/>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Dokončuje se majetkoprávní příprava stavby. Byly problémy s nájemci, přerušeny archeologické práce do sklizně</w:t>
            </w:r>
            <w:r w:rsidR="002D0E48">
              <w:rPr>
                <w:rFonts w:asciiTheme="minorHAnsi" w:eastAsia="Times New Roman" w:hAnsiTheme="minorHAnsi" w:cstheme="minorHAnsi"/>
                <w:sz w:val="14"/>
                <w:szCs w:val="14"/>
                <w:lang w:eastAsia="cs-CZ"/>
              </w:rPr>
              <w:t>,</w:t>
            </w:r>
            <w:r w:rsidRPr="00795817">
              <w:rPr>
                <w:rFonts w:asciiTheme="minorHAnsi" w:eastAsia="Times New Roman" w:hAnsiTheme="minorHAnsi" w:cstheme="minorHAnsi"/>
                <w:sz w:val="14"/>
                <w:szCs w:val="14"/>
                <w:lang w:eastAsia="cs-CZ"/>
              </w:rPr>
              <w:t xml:space="preserve"> po sklizni práce obnoveny.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191" w:type="dxa"/>
            <w:tcMar>
              <w:left w:w="57" w:type="dxa"/>
              <w:right w:w="57" w:type="dxa"/>
            </w:tcMar>
            <w:vAlign w:val="center"/>
            <w:hideMark/>
          </w:tcPr>
          <w:p w:rsidR="005A1F5C" w:rsidRPr="00795817" w:rsidRDefault="000865D6" w:rsidP="00897AE7">
            <w:pPr>
              <w:spacing w:before="0" w:after="0"/>
              <w:jc w:val="left"/>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lastRenderedPageBreak/>
              <w:t xml:space="preserve">I/45 Nové </w:t>
            </w:r>
            <w:r w:rsidR="00194044" w:rsidRPr="00795817">
              <w:rPr>
                <w:rFonts w:asciiTheme="minorHAnsi" w:eastAsia="Times New Roman" w:hAnsiTheme="minorHAnsi" w:cstheme="minorHAnsi"/>
                <w:sz w:val="14"/>
                <w:szCs w:val="14"/>
                <w:lang w:eastAsia="cs-CZ"/>
              </w:rPr>
              <w:t>Heřminovy – Zátor</w:t>
            </w:r>
            <w:r w:rsidRPr="00795817">
              <w:rPr>
                <w:rFonts w:asciiTheme="minorHAnsi" w:eastAsia="Times New Roman" w:hAnsiTheme="minorHAnsi" w:cstheme="minorHAnsi"/>
                <w:sz w:val="14"/>
                <w:szCs w:val="14"/>
                <w:lang w:eastAsia="cs-CZ"/>
              </w:rPr>
              <w:t xml:space="preserve">, I. etapa  </w:t>
            </w:r>
          </w:p>
        </w:tc>
        <w:tc>
          <w:tcPr>
            <w:tcW w:w="7938" w:type="dxa"/>
            <w:tcMar>
              <w:left w:w="57" w:type="dxa"/>
              <w:right w:w="57" w:type="dxa"/>
            </w:tcMar>
            <w:vAlign w:val="center"/>
            <w:hideMark/>
          </w:tcPr>
          <w:p w:rsidR="005A1F5C" w:rsidRPr="00795817" w:rsidRDefault="000865D6" w:rsidP="00374948">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795817">
              <w:rPr>
                <w:rFonts w:asciiTheme="minorHAnsi" w:eastAsia="Times New Roman" w:hAnsiTheme="minorHAnsi" w:cstheme="minorHAnsi"/>
                <w:sz w:val="14"/>
                <w:szCs w:val="14"/>
                <w:lang w:eastAsia="cs-CZ"/>
              </w:rPr>
              <w:t>Povodí vykup</w:t>
            </w:r>
            <w:r w:rsidRPr="00795817">
              <w:rPr>
                <w:rFonts w:asciiTheme="minorHAnsi" w:eastAsia="Times New Roman" w:hAnsiTheme="minorHAnsi" w:cstheme="minorHAnsi"/>
                <w:sz w:val="14"/>
                <w:szCs w:val="14"/>
                <w:lang w:eastAsia="cs-CZ"/>
              </w:rPr>
              <w:t>uje pozemky pod I/45 na základě odsouhlaseného záborového elaborátu. Ze strany Povodí probíhá projednávání s jednotlivými vlastníky pozemků</w:t>
            </w:r>
            <w:r w:rsidR="002D0E48">
              <w:rPr>
                <w:rFonts w:asciiTheme="minorHAnsi" w:eastAsia="Times New Roman" w:hAnsiTheme="minorHAnsi" w:cstheme="minorHAnsi"/>
                <w:sz w:val="14"/>
                <w:szCs w:val="14"/>
                <w:lang w:eastAsia="cs-CZ"/>
              </w:rPr>
              <w:t xml:space="preserve"> </w:t>
            </w:r>
            <w:r w:rsidRPr="00795817">
              <w:rPr>
                <w:rFonts w:asciiTheme="minorHAnsi" w:eastAsia="Times New Roman" w:hAnsiTheme="minorHAnsi" w:cstheme="minorHAnsi"/>
                <w:sz w:val="14"/>
                <w:szCs w:val="14"/>
                <w:lang w:eastAsia="cs-CZ"/>
              </w:rPr>
              <w:t xml:space="preserve">a výkupy do konce roku 2019 (dle </w:t>
            </w:r>
            <w:r w:rsidR="008D2B23">
              <w:rPr>
                <w:rFonts w:asciiTheme="minorHAnsi" w:eastAsia="Times New Roman" w:hAnsiTheme="minorHAnsi" w:cstheme="minorHAnsi"/>
                <w:sz w:val="14"/>
                <w:szCs w:val="14"/>
                <w:lang w:eastAsia="cs-CZ"/>
              </w:rPr>
              <w:t>v</w:t>
            </w:r>
            <w:r w:rsidRPr="00795817">
              <w:rPr>
                <w:rFonts w:asciiTheme="minorHAnsi" w:eastAsia="Times New Roman" w:hAnsiTheme="minorHAnsi" w:cstheme="minorHAnsi"/>
                <w:sz w:val="14"/>
                <w:szCs w:val="14"/>
                <w:lang w:eastAsia="cs-CZ"/>
              </w:rPr>
              <w:t>ládního usnesení), ŘSD poté vyvlastní.</w:t>
            </w:r>
          </w:p>
        </w:tc>
      </w:tr>
    </w:tbl>
    <w:p w:rsidR="005A1F5C" w:rsidRPr="00795817" w:rsidRDefault="000865D6" w:rsidP="001824A8">
      <w:pPr>
        <w:pStyle w:val="Normln-tun"/>
      </w:pPr>
      <w:r w:rsidRPr="00795817">
        <w:t xml:space="preserve">Obdobné problémy se týkají v menší míře i </w:t>
      </w:r>
      <w:r w:rsidRPr="00795817">
        <w:t>SŽ, protože SŽ se týkají především rekonstrukce stávajících staveb v původní stopě. Ve chvíli, kdy by bylo třeba započít řízení ve věci výstavby vysokorychlostních tratí, problémy by samozřejmě nabraly na větším významu.</w:t>
      </w:r>
    </w:p>
    <w:p w:rsidR="00665155" w:rsidRPr="001824A8" w:rsidRDefault="000865D6" w:rsidP="001824A8">
      <w:pPr>
        <w:pStyle w:val="Normln-tun"/>
        <w:rPr>
          <w:u w:val="single"/>
        </w:rPr>
      </w:pPr>
      <w:r w:rsidRPr="001824A8">
        <w:rPr>
          <w:u w:val="single"/>
        </w:rPr>
        <w:t>Zástupc</w:t>
      </w:r>
      <w:r w:rsidR="00185D2D" w:rsidRPr="001824A8">
        <w:rPr>
          <w:u w:val="single"/>
        </w:rPr>
        <w:t>i</w:t>
      </w:r>
      <w:r w:rsidRPr="001824A8">
        <w:rPr>
          <w:u w:val="single"/>
        </w:rPr>
        <w:t xml:space="preserve"> </w:t>
      </w:r>
      <w:r w:rsidR="00885B07" w:rsidRPr="001824A8">
        <w:rPr>
          <w:u w:val="single"/>
        </w:rPr>
        <w:t>energetick</w:t>
      </w:r>
      <w:r w:rsidR="00C34A15" w:rsidRPr="001824A8">
        <w:rPr>
          <w:u w:val="single"/>
        </w:rPr>
        <w:t>ých</w:t>
      </w:r>
      <w:r w:rsidRPr="001824A8">
        <w:rPr>
          <w:u w:val="single"/>
        </w:rPr>
        <w:t xml:space="preserve"> společnost</w:t>
      </w:r>
      <w:r w:rsidR="00C34A15" w:rsidRPr="001824A8">
        <w:rPr>
          <w:u w:val="single"/>
        </w:rPr>
        <w:t>í</w:t>
      </w:r>
    </w:p>
    <w:p w:rsidR="00E77BB0" w:rsidRPr="001824A8" w:rsidRDefault="000865D6" w:rsidP="001824A8">
      <w:pPr>
        <w:pStyle w:val="Normln-tun"/>
        <w:rPr>
          <w:i/>
          <w:iCs/>
        </w:rPr>
      </w:pPr>
      <w:r w:rsidRPr="001824A8">
        <w:rPr>
          <w:i/>
          <w:iCs/>
        </w:rPr>
        <w:t>ES1</w:t>
      </w:r>
    </w:p>
    <w:p w:rsidR="00D042F8" w:rsidRPr="00795817" w:rsidRDefault="000865D6" w:rsidP="001824A8">
      <w:pPr>
        <w:pStyle w:val="Normln-tun"/>
      </w:pPr>
      <w:r>
        <w:rPr>
          <w:lang w:eastAsia="cs-CZ"/>
        </w:rPr>
        <w:t>Následujíc</w:t>
      </w:r>
      <w:r w:rsidR="00355CAA">
        <w:rPr>
          <w:lang w:eastAsia="cs-CZ"/>
        </w:rPr>
        <w:t>í</w:t>
      </w:r>
      <w:r>
        <w:rPr>
          <w:lang w:eastAsia="cs-CZ"/>
        </w:rPr>
        <w:t xml:space="preserve"> tabulka uvádí údaje za </w:t>
      </w:r>
      <w:r w:rsidRPr="00D042F8">
        <w:rPr>
          <w:lang w:eastAsia="cs-CZ"/>
        </w:rPr>
        <w:t>poslední vyvlastňovací řízení</w:t>
      </w:r>
      <w:r w:rsidR="00D94FED">
        <w:rPr>
          <w:lang w:eastAsia="cs-CZ"/>
        </w:rPr>
        <w:t xml:space="preserve"> do r. 2020, kdy byla data sbírána</w:t>
      </w:r>
      <w:r>
        <w:rPr>
          <w:lang w:eastAsia="cs-CZ"/>
        </w:rPr>
        <w:t xml:space="preserve">. </w:t>
      </w:r>
      <w:r w:rsidRPr="00795817">
        <w:rPr>
          <w:lang w:eastAsia="cs-CZ"/>
        </w:rPr>
        <w:t xml:space="preserve">Účel vyvlastnění </w:t>
      </w:r>
      <w:r>
        <w:rPr>
          <w:lang w:eastAsia="cs-CZ"/>
        </w:rPr>
        <w:t xml:space="preserve">je vždy </w:t>
      </w:r>
      <w:r w:rsidRPr="00D042F8">
        <w:rPr>
          <w:lang w:eastAsia="cs-CZ"/>
        </w:rPr>
        <w:t>dán zákonem č. 458/2000 Sb</w:t>
      </w:r>
      <w:r>
        <w:rPr>
          <w:lang w:eastAsia="cs-CZ"/>
        </w:rPr>
        <w:t>., předmětem vyvlastnění vždy pozemek, ve všech uvedených případech se jednalo o o</w:t>
      </w:r>
      <w:r w:rsidRPr="00795817">
        <w:t xml:space="preserve">mezení vlastnického práva </w:t>
      </w:r>
      <w:r>
        <w:t>a v žádném z případů nebyla podána žaloba.</w:t>
      </w:r>
    </w:p>
    <w:p w:rsidR="00FA5FD0" w:rsidRDefault="000865D6" w:rsidP="00FA5FD0">
      <w:pPr>
        <w:pStyle w:val="Titulek"/>
        <w:keepNext/>
      </w:pPr>
      <w:r>
        <w:t xml:space="preserve">Tabulka </w:t>
      </w:r>
      <w:r w:rsidR="00D644CC">
        <w:fldChar w:fldCharType="begin"/>
      </w:r>
      <w:r>
        <w:instrText xml:space="preserve"> SEQ Tabulka \* ARABIC </w:instrText>
      </w:r>
      <w:r w:rsidR="00D644CC">
        <w:fldChar w:fldCharType="separate"/>
      </w:r>
      <w:r>
        <w:t>12</w:t>
      </w:r>
      <w:r w:rsidR="00D644CC">
        <w:rPr>
          <w:noProof/>
        </w:rPr>
        <w:fldChar w:fldCharType="end"/>
      </w:r>
      <w:r>
        <w:t xml:space="preserve">: Údaje za poslední vyvlastňovací řízení </w:t>
      </w:r>
    </w:p>
    <w:tbl>
      <w:tblPr>
        <w:tblStyle w:val="Svtlstnovn1"/>
        <w:tblW w:w="9067" w:type="dxa"/>
        <w:tblLayout w:type="fixed"/>
        <w:tblLook w:val="04A0" w:firstRow="1" w:lastRow="0" w:firstColumn="1" w:lastColumn="0" w:noHBand="0" w:noVBand="1"/>
      </w:tblPr>
      <w:tblGrid>
        <w:gridCol w:w="1555"/>
        <w:gridCol w:w="939"/>
        <w:gridCol w:w="939"/>
        <w:gridCol w:w="939"/>
        <w:gridCol w:w="939"/>
        <w:gridCol w:w="939"/>
        <w:gridCol w:w="939"/>
        <w:gridCol w:w="939"/>
        <w:gridCol w:w="939"/>
      </w:tblGrid>
      <w:tr w:rsidR="00FC72A1" w:rsidTr="00FC72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FEFCBE" w:themeFill="text2" w:themeFillTint="33"/>
            <w:vAlign w:val="center"/>
            <w:hideMark/>
          </w:tcPr>
          <w:p w:rsidR="00E77BB0" w:rsidRPr="00FA5FD0" w:rsidRDefault="00E77BB0" w:rsidP="00FA5FD0">
            <w:pPr>
              <w:spacing w:before="60" w:after="60"/>
              <w:rPr>
                <w:rFonts w:asciiTheme="minorHAnsi" w:eastAsia="Times New Roman" w:hAnsiTheme="minorHAnsi" w:cstheme="minorHAnsi"/>
                <w:sz w:val="14"/>
                <w:szCs w:val="14"/>
                <w:lang w:eastAsia="cs-CZ"/>
              </w:rPr>
            </w:pP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Záměr1 (Z1)</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Z1</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Z2</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vAlign w:val="center"/>
            <w:hideMark/>
          </w:tcPr>
          <w:p w:rsidR="00355CAA" w:rsidRPr="00FA5FD0" w:rsidRDefault="000865D6" w:rsidP="00355CAA">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Záměr</w:t>
            </w:r>
          </w:p>
        </w:tc>
        <w:tc>
          <w:tcPr>
            <w:tcW w:w="939" w:type="dxa"/>
            <w:tcBorders>
              <w:top w:val="single" w:sz="4" w:space="0" w:color="auto"/>
            </w:tcBorders>
            <w:vAlign w:val="center"/>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5316D">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5316D">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5316D">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5316D">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5316D">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5316D">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95316D">
              <w:rPr>
                <w:rFonts w:asciiTheme="minorHAnsi" w:eastAsia="Times New Roman" w:hAnsiTheme="minorHAnsi" w:cstheme="minorHAnsi"/>
                <w:sz w:val="14"/>
                <w:szCs w:val="14"/>
                <w:lang w:eastAsia="cs-CZ"/>
              </w:rPr>
              <w:t>Technická infr.</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Předmět vyvlastnění</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vodní plocha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les</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zahrada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Počet vlastníků</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3</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3</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3</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Důvod pro vyvlastňovací řízení </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B</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C</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B</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B</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Proč se </w:t>
            </w:r>
            <w:r w:rsidRPr="00FA5FD0">
              <w:rPr>
                <w:rFonts w:asciiTheme="minorHAnsi" w:eastAsia="Times New Roman" w:hAnsiTheme="minorHAnsi" w:cstheme="minorHAnsi"/>
                <w:sz w:val="14"/>
                <w:szCs w:val="14"/>
                <w:lang w:eastAsia="cs-CZ"/>
              </w:rPr>
              <w:t>nepodařilo uzavřít smlouvu?</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nečinnost vyvlastňované</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nečinnost 1.vyvlastňované</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exekuce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úmrtí 3. vyvl. v průběhu VŘ</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nedohoda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nedohoda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úmrtí 3. vyvl. v průběhu VŘ</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Výše </w:t>
            </w:r>
            <w:r w:rsidR="00C34644" w:rsidRPr="00FA5FD0">
              <w:rPr>
                <w:rFonts w:asciiTheme="minorHAnsi" w:eastAsia="Times New Roman" w:hAnsiTheme="minorHAnsi" w:cstheme="minorHAnsi"/>
                <w:sz w:val="14"/>
                <w:szCs w:val="14"/>
                <w:lang w:eastAsia="cs-CZ"/>
              </w:rPr>
              <w:t>náhrady – dle</w:t>
            </w:r>
            <w:r w:rsidRPr="00FA5FD0">
              <w:rPr>
                <w:rFonts w:asciiTheme="minorHAnsi" w:eastAsia="Times New Roman" w:hAnsiTheme="minorHAnsi" w:cstheme="minorHAnsi"/>
                <w:sz w:val="14"/>
                <w:szCs w:val="14"/>
                <w:lang w:eastAsia="cs-CZ"/>
              </w:rPr>
              <w:t xml:space="preserve"> § 10 odst. 1 VyvlZ (Kč)</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3</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17 360</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4 490</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570</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19 182</w:t>
            </w: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Náhrada dalších nákladů dle § 10 od. 2, § 11 a § 12 VyvlZ </w:t>
            </w:r>
          </w:p>
        </w:tc>
        <w:tc>
          <w:tcPr>
            <w:tcW w:w="7512" w:type="dxa"/>
            <w:gridSpan w:val="8"/>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Byl poskytnut jiný pozemek nebo stavba dle VyvlZ </w:t>
            </w:r>
          </w:p>
        </w:tc>
        <w:tc>
          <w:tcPr>
            <w:tcW w:w="7512" w:type="dxa"/>
            <w:gridSpan w:val="8"/>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podání žádosti o zahájení vyvlast. řízení</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10.09.2019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19.07.2019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ústního jednání</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15.10.2019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03.01.2019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20.02.2019</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03.01.2019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03.01.2019</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zastavení řízení</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11.12.2019</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18.01.2019</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18.01.2019</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Důvod zastavení</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dohoda-uzavření SoVB</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dohoda-uzavření SoVB</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dohoda-uzavření SoVB</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vydání rozhodnutí</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01.11.2019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16.01.2019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25.02.2019</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16.01.2019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09.01.2019</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Odvolání </w:t>
            </w:r>
          </w:p>
        </w:tc>
        <w:tc>
          <w:tcPr>
            <w:tcW w:w="7512" w:type="dxa"/>
            <w:gridSpan w:val="8"/>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nabytí právní moci rozhodnutí</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27.12.2019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19.11.2019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07.02.2019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21.03.2019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08.02.2019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07.02.2019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05.02.2019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08.02.2019</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tcBorders>
              <w:bottom w:val="single" w:sz="4" w:space="0" w:color="auto"/>
            </w:tcBorders>
            <w:vAlign w:val="center"/>
            <w:hideMark/>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KOMENTÁŘ</w:t>
            </w:r>
          </w:p>
        </w:tc>
        <w:tc>
          <w:tcPr>
            <w:tcW w:w="939" w:type="dxa"/>
            <w:tcBorders>
              <w:bottom w:val="single" w:sz="4" w:space="0" w:color="auto"/>
            </w:tcBorders>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doručování do zahraničí (USA)</w:t>
            </w:r>
          </w:p>
        </w:tc>
        <w:tc>
          <w:tcPr>
            <w:tcW w:w="939" w:type="dxa"/>
            <w:tcBorders>
              <w:bottom w:val="single" w:sz="4" w:space="0" w:color="auto"/>
            </w:tcBorders>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tcBorders>
              <w:bottom w:val="single" w:sz="4" w:space="0" w:color="auto"/>
            </w:tcBorders>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tcBorders>
              <w:bottom w:val="single" w:sz="4" w:space="0" w:color="auto"/>
            </w:tcBorders>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tcBorders>
              <w:bottom w:val="single" w:sz="4" w:space="0" w:color="auto"/>
            </w:tcBorders>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tcBorders>
              <w:bottom w:val="single" w:sz="4" w:space="0" w:color="auto"/>
            </w:tcBorders>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tcBorders>
              <w:bottom w:val="single" w:sz="4" w:space="0" w:color="auto"/>
            </w:tcBorders>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tcBorders>
              <w:bottom w:val="single" w:sz="4" w:space="0" w:color="auto"/>
            </w:tcBorders>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bottom w:val="single" w:sz="4" w:space="0" w:color="auto"/>
            </w:tcBorders>
            <w:shd w:val="clear" w:color="auto" w:fill="FEFCBE" w:themeFill="text2" w:themeFillTint="33"/>
            <w:vAlign w:val="center"/>
          </w:tcPr>
          <w:p w:rsidR="00E77BB0" w:rsidRPr="00FA5FD0" w:rsidRDefault="00E77BB0" w:rsidP="00FA5FD0">
            <w:pPr>
              <w:spacing w:before="60" w:after="60"/>
              <w:jc w:val="left"/>
              <w:rPr>
                <w:rFonts w:asciiTheme="minorHAnsi" w:eastAsia="Times New Roman" w:hAnsiTheme="minorHAnsi" w:cstheme="minorHAnsi"/>
                <w:sz w:val="14"/>
                <w:szCs w:val="14"/>
                <w:lang w:eastAsia="cs-CZ"/>
              </w:rPr>
            </w:pP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b/>
                <w:bCs/>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b/>
                <w:bCs/>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b/>
                <w:bCs/>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b/>
                <w:bCs/>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b/>
                <w:bCs/>
                <w:sz w:val="14"/>
                <w:szCs w:val="14"/>
                <w:lang w:eastAsia="cs-CZ"/>
              </w:rPr>
              <w:t>Z2</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b/>
                <w:bCs/>
                <w:sz w:val="14"/>
                <w:szCs w:val="14"/>
                <w:lang w:eastAsia="cs-CZ"/>
              </w:rPr>
              <w:t>Z3</w:t>
            </w:r>
          </w:p>
        </w:tc>
        <w:tc>
          <w:tcPr>
            <w:tcW w:w="939" w:type="dxa"/>
            <w:tcBorders>
              <w:top w:val="single" w:sz="4" w:space="0" w:color="auto"/>
              <w:bottom w:val="single" w:sz="4" w:space="0" w:color="auto"/>
            </w:tcBorders>
            <w:shd w:val="clear" w:color="auto" w:fill="FEFCBE" w:themeFill="text2" w:themeFillTint="33"/>
            <w:vAlign w:val="center"/>
            <w:hideMark/>
          </w:tcPr>
          <w:p w:rsidR="00E77BB0" w:rsidRPr="00FA5FD0" w:rsidRDefault="000865D6"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b/>
                <w:bCs/>
                <w:sz w:val="14"/>
                <w:szCs w:val="14"/>
                <w:lang w:eastAsia="cs-CZ"/>
              </w:rPr>
              <w:t>Z3</w:t>
            </w:r>
          </w:p>
        </w:tc>
        <w:tc>
          <w:tcPr>
            <w:tcW w:w="939" w:type="dxa"/>
            <w:tcBorders>
              <w:top w:val="single" w:sz="4" w:space="0" w:color="auto"/>
              <w:bottom w:val="single" w:sz="4" w:space="0" w:color="auto"/>
            </w:tcBorders>
            <w:shd w:val="clear" w:color="auto" w:fill="FEFCBE" w:themeFill="text2" w:themeFillTint="33"/>
            <w:vAlign w:val="center"/>
          </w:tcPr>
          <w:p w:rsidR="00E77BB0" w:rsidRPr="00FA5FD0" w:rsidRDefault="00E77BB0" w:rsidP="00FA5FD0">
            <w:pPr>
              <w:spacing w:before="60" w:after="6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tcBorders>
            <w:vAlign w:val="center"/>
          </w:tcPr>
          <w:p w:rsidR="00355CAA" w:rsidRPr="00FA5FD0" w:rsidRDefault="000865D6" w:rsidP="00355CAA">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Záměr</w:t>
            </w:r>
          </w:p>
        </w:tc>
        <w:tc>
          <w:tcPr>
            <w:tcW w:w="939" w:type="dxa"/>
            <w:tcBorders>
              <w:top w:val="single" w:sz="4" w:space="0" w:color="auto"/>
            </w:tcBorders>
          </w:tcPr>
          <w:p w:rsidR="00355CAA" w:rsidRPr="00FA5FD0" w:rsidRDefault="000865D6"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E21361">
              <w:rPr>
                <w:rFonts w:asciiTheme="minorHAnsi" w:eastAsia="Times New Roman" w:hAnsiTheme="minorHAnsi" w:cstheme="minorHAnsi"/>
                <w:sz w:val="14"/>
                <w:szCs w:val="14"/>
                <w:lang w:eastAsia="cs-CZ"/>
              </w:rPr>
              <w:t>Technická infr.</w:t>
            </w:r>
          </w:p>
        </w:tc>
        <w:tc>
          <w:tcPr>
            <w:tcW w:w="939" w:type="dxa"/>
            <w:tcBorders>
              <w:top w:val="single" w:sz="4" w:space="0" w:color="auto"/>
            </w:tcBorders>
          </w:tcPr>
          <w:p w:rsidR="00355CAA" w:rsidRPr="00FA5FD0" w:rsidRDefault="000865D6"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E21361">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E21361">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E21361">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E21361">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E21361">
              <w:rPr>
                <w:rFonts w:asciiTheme="minorHAnsi" w:eastAsia="Times New Roman" w:hAnsiTheme="minorHAnsi" w:cstheme="minorHAnsi"/>
                <w:sz w:val="14"/>
                <w:szCs w:val="14"/>
                <w:lang w:eastAsia="cs-CZ"/>
              </w:rPr>
              <w:t>Technická infr.</w:t>
            </w:r>
          </w:p>
        </w:tc>
        <w:tc>
          <w:tcPr>
            <w:tcW w:w="939" w:type="dxa"/>
            <w:tcBorders>
              <w:top w:val="single" w:sz="4" w:space="0" w:color="auto"/>
            </w:tcBorders>
            <w:hideMark/>
          </w:tcPr>
          <w:p w:rsidR="00355CAA" w:rsidRPr="00FA5FD0" w:rsidRDefault="000865D6"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E21361">
              <w:rPr>
                <w:rFonts w:asciiTheme="minorHAnsi" w:eastAsia="Times New Roman" w:hAnsiTheme="minorHAnsi" w:cstheme="minorHAnsi"/>
                <w:sz w:val="14"/>
                <w:szCs w:val="14"/>
                <w:lang w:eastAsia="cs-CZ"/>
              </w:rPr>
              <w:t>Technická infr.</w:t>
            </w:r>
          </w:p>
        </w:tc>
        <w:tc>
          <w:tcPr>
            <w:tcW w:w="939" w:type="dxa"/>
            <w:tcBorders>
              <w:top w:val="single" w:sz="4" w:space="0" w:color="auto"/>
            </w:tcBorders>
            <w:vAlign w:val="center"/>
          </w:tcPr>
          <w:p w:rsidR="00355CAA" w:rsidRPr="00FA5FD0" w:rsidRDefault="00355CAA" w:rsidP="00355CAA">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Předmět vyvlastnění</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ostatní plocha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zahrada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orná půda</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Počet vlastníků</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3</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25</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4</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w:t>
            </w: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Důvod pro vyvlastňovací řízení </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B</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B</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B</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A</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B</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FA5FD0">
              <w:rPr>
                <w:rFonts w:asciiTheme="minorHAnsi" w:eastAsia="Times New Roman" w:hAnsiTheme="minorHAnsi" w:cstheme="minorHAnsi"/>
                <w:sz w:val="14"/>
                <w:szCs w:val="14"/>
                <w:lang w:eastAsia="cs-CZ"/>
              </w:rPr>
              <w:t>B</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Proč se nepodařilo uzavřít smlouvu?</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nedohoda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úmrtí 3. vyvl. v průběhu VŘ</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neznámí dědici po 2 zemřelých</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neznámí dědici po 1 zemřelém</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nedohoda</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neznámý vyvl.</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neznámý vyvl.</w:t>
            </w: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Výše </w:t>
            </w:r>
            <w:r w:rsidR="00C34644" w:rsidRPr="00FA5FD0">
              <w:rPr>
                <w:rFonts w:asciiTheme="minorHAnsi" w:eastAsia="Times New Roman" w:hAnsiTheme="minorHAnsi" w:cstheme="minorHAnsi"/>
                <w:sz w:val="14"/>
                <w:szCs w:val="14"/>
                <w:lang w:eastAsia="cs-CZ"/>
              </w:rPr>
              <w:t>náhrady – dle</w:t>
            </w:r>
            <w:r w:rsidRPr="00FA5FD0">
              <w:rPr>
                <w:rFonts w:asciiTheme="minorHAnsi" w:eastAsia="Times New Roman" w:hAnsiTheme="minorHAnsi" w:cstheme="minorHAnsi"/>
                <w:sz w:val="14"/>
                <w:szCs w:val="14"/>
                <w:lang w:eastAsia="cs-CZ"/>
              </w:rPr>
              <w:t xml:space="preserve"> § 10 odst. 1 VyvlZ (Kč)</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25 465</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14 227</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6 410</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990</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4</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Náhrada dalších nákladů dle § 10 od. 2, § 11 a § 12 VyvlZ </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Byl poskytnut jiný pozemek nebo stavba dle VyvlZ </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lastRenderedPageBreak/>
              <w:t xml:space="preserve">Datum podání žádosti o zahájení vyvlast. </w:t>
            </w:r>
            <w:r w:rsidRPr="00FA5FD0">
              <w:rPr>
                <w:rFonts w:asciiTheme="minorHAnsi" w:eastAsia="Times New Roman" w:hAnsiTheme="minorHAnsi" w:cstheme="minorHAnsi"/>
                <w:sz w:val="14"/>
                <w:szCs w:val="14"/>
                <w:lang w:eastAsia="cs-CZ"/>
              </w:rPr>
              <w:t>řízení</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29.06.2018</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02.07.2018</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21.05.2018</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21.05.2018</w:t>
            </w: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ústního jednání</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xxx</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xxx</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13.03.2019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20.02.2019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03.01.2019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10.07.2019</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10.07.2019</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zastavení řízení</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26.02.2019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17.01.2019</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Důvod zastavení</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dohoda-uzavření</w:t>
            </w:r>
            <w:r w:rsidRPr="00FA5FD0">
              <w:rPr>
                <w:rFonts w:asciiTheme="minorHAnsi" w:eastAsia="Times New Roman" w:hAnsiTheme="minorHAnsi" w:cstheme="minorHAnsi"/>
                <w:sz w:val="14"/>
                <w:szCs w:val="14"/>
                <w:lang w:eastAsia="cs-CZ"/>
              </w:rPr>
              <w:t xml:space="preserve"> SoVB</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dohoda-uzavření SoVB</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vydání rozhodnutí</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18.03.2019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25.02.2019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10.01.2019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14.08.2019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14.08.2019</w:t>
            </w: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Odvolání</w:t>
            </w:r>
          </w:p>
        </w:tc>
        <w:tc>
          <w:tcPr>
            <w:tcW w:w="3756" w:type="dxa"/>
            <w:gridSpan w:val="4"/>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Odvolání proti oběma výrokům</w:t>
            </w:r>
          </w:p>
        </w:tc>
        <w:tc>
          <w:tcPr>
            <w:tcW w:w="1878" w:type="dxa"/>
            <w:gridSpan w:val="2"/>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NE</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podání/ vydání rozhodnutí o odvolání</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26.01.2019/02.04.2019</w:t>
            </w: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Původní rozhodnutí </w:t>
            </w:r>
            <w:r w:rsidRPr="00FA5FD0">
              <w:rPr>
                <w:rFonts w:asciiTheme="minorHAnsi" w:eastAsia="Times New Roman" w:hAnsiTheme="minorHAnsi" w:cstheme="minorHAnsi"/>
                <w:sz w:val="14"/>
                <w:szCs w:val="14"/>
                <w:lang w:eastAsia="cs-CZ"/>
              </w:rPr>
              <w:t>potvrzen</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ANO (zastavení OŘ-zpětvzetí odvolání)</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Datum nabytí právní moci rozhodnutí</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15.03.2019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12.02.2019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29.05.2019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16.03.2019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29.03.2019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30.08.2019</w:t>
            </w:r>
          </w:p>
        </w:tc>
        <w:tc>
          <w:tcPr>
            <w:tcW w:w="939" w:type="dxa"/>
            <w:vAlign w:val="center"/>
            <w:hideMark/>
          </w:tcPr>
          <w:p w:rsidR="00E77BB0" w:rsidRPr="00FA5FD0" w:rsidRDefault="000865D6"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30.08.2019</w:t>
            </w:r>
          </w:p>
        </w:tc>
        <w:tc>
          <w:tcPr>
            <w:tcW w:w="939" w:type="dxa"/>
            <w:vAlign w:val="center"/>
          </w:tcPr>
          <w:p w:rsidR="00E77BB0" w:rsidRPr="00FA5FD0" w:rsidRDefault="00E77BB0" w:rsidP="00FA5FD0">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4"/>
                <w:szCs w:val="14"/>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55" w:type="dxa"/>
            <w:vAlign w:val="center"/>
          </w:tcPr>
          <w:p w:rsidR="00E77BB0" w:rsidRPr="00FA5FD0" w:rsidRDefault="000865D6" w:rsidP="00FA5FD0">
            <w:pPr>
              <w:spacing w:before="0" w:after="0"/>
              <w:jc w:val="left"/>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KOMENTÁŘ</w:t>
            </w: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939" w:type="dxa"/>
            <w:vAlign w:val="center"/>
            <w:hideMark/>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c>
          <w:tcPr>
            <w:tcW w:w="1878" w:type="dxa"/>
            <w:gridSpan w:val="2"/>
            <w:vAlign w:val="center"/>
            <w:hideMark/>
          </w:tcPr>
          <w:p w:rsidR="00E77BB0" w:rsidRPr="00FA5FD0" w:rsidRDefault="000865D6"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r w:rsidRPr="00FA5FD0">
              <w:rPr>
                <w:rFonts w:asciiTheme="minorHAnsi" w:eastAsia="Times New Roman" w:hAnsiTheme="minorHAnsi" w:cstheme="minorHAnsi"/>
                <w:sz w:val="14"/>
                <w:szCs w:val="14"/>
                <w:lang w:eastAsia="cs-CZ"/>
              </w:rPr>
              <w:t xml:space="preserve">Poznamenáno sporem VÚ a znalce (zrušení ustanovení x odvolání znalce x </w:t>
            </w:r>
            <w:r w:rsidRPr="00FA5FD0">
              <w:rPr>
                <w:rFonts w:asciiTheme="minorHAnsi" w:eastAsia="Times New Roman" w:hAnsiTheme="minorHAnsi" w:cstheme="minorHAnsi"/>
                <w:sz w:val="14"/>
                <w:szCs w:val="14"/>
                <w:lang w:eastAsia="cs-CZ"/>
              </w:rPr>
              <w:t>rozhodnutí KÚPK o zrušení rozhodnutí VÚ)</w:t>
            </w:r>
          </w:p>
        </w:tc>
        <w:tc>
          <w:tcPr>
            <w:tcW w:w="939" w:type="dxa"/>
            <w:vAlign w:val="center"/>
          </w:tcPr>
          <w:p w:rsidR="00E77BB0" w:rsidRPr="00FA5FD0" w:rsidRDefault="00E77BB0" w:rsidP="00FA5FD0">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4"/>
                <w:szCs w:val="14"/>
                <w:lang w:eastAsia="cs-CZ"/>
              </w:rPr>
            </w:pPr>
          </w:p>
        </w:tc>
      </w:tr>
    </w:tbl>
    <w:p w:rsidR="00D042F8" w:rsidRPr="0056586B" w:rsidRDefault="000865D6" w:rsidP="00D042F8">
      <w:pPr>
        <w:pStyle w:val="Citt"/>
      </w:pPr>
      <w:r>
        <w:t xml:space="preserve">Pozn.: </w:t>
      </w:r>
      <w:r w:rsidRPr="0056586B">
        <w:t>A/ Nepodařilo se uzavřít smlouvu; B/ Vyvlastň. není znám aj. dle § 5 odst. 5a); C/ Vyvlastň. je omezen ve smluvní volnosti dle § 5 odst. 5b)</w:t>
      </w:r>
    </w:p>
    <w:p w:rsidR="00D042F8" w:rsidRPr="00D042F8" w:rsidRDefault="000865D6" w:rsidP="00B2260E">
      <w:pPr>
        <w:pStyle w:val="Normln-tun"/>
      </w:pPr>
      <w:r>
        <w:t xml:space="preserve">K výše uvedeným problémům byly dále při konzultacích uvedeny </w:t>
      </w:r>
      <w:r>
        <w:t>následující:</w:t>
      </w:r>
    </w:p>
    <w:p w:rsidR="00E77BB0" w:rsidRPr="00D042F8" w:rsidRDefault="000865D6">
      <w:pPr>
        <w:pStyle w:val="Normln-tun"/>
        <w:numPr>
          <w:ilvl w:val="0"/>
          <w:numId w:val="88"/>
        </w:numPr>
        <w:rPr>
          <w:bCs/>
        </w:rPr>
      </w:pPr>
      <w:r w:rsidRPr="00D042F8">
        <w:rPr>
          <w:bCs/>
        </w:rPr>
        <w:t xml:space="preserve">časová zdržení </w:t>
      </w:r>
      <w:r w:rsidR="00D042F8" w:rsidRPr="00D042F8">
        <w:rPr>
          <w:bCs/>
        </w:rPr>
        <w:t>v průběhu vyvlastňovacích řízení</w:t>
      </w:r>
      <w:r w:rsidRPr="00D042F8">
        <w:rPr>
          <w:bCs/>
        </w:rPr>
        <w:t xml:space="preserve">: vymezení účastenství dle § 17 </w:t>
      </w:r>
      <w:r w:rsidR="00D042F8" w:rsidRPr="00D042F8">
        <w:rPr>
          <w:bCs/>
        </w:rPr>
        <w:t>VyvlZ</w:t>
      </w:r>
      <w:r w:rsidRPr="00D042F8">
        <w:rPr>
          <w:bCs/>
        </w:rPr>
        <w:t xml:space="preserve"> </w:t>
      </w:r>
      <w:r w:rsidR="00D042F8" w:rsidRPr="00D042F8">
        <w:rPr>
          <w:bCs/>
        </w:rPr>
        <w:t>–</w:t>
      </w:r>
      <w:r w:rsidRPr="00D042F8">
        <w:rPr>
          <w:bCs/>
        </w:rPr>
        <w:t xml:space="preserve"> </w:t>
      </w:r>
      <w:r w:rsidR="00D042F8" w:rsidRPr="00D042F8">
        <w:rPr>
          <w:bCs/>
        </w:rPr>
        <w:t>vyvlastňovací úřad</w:t>
      </w:r>
      <w:r w:rsidRPr="00D042F8">
        <w:rPr>
          <w:bCs/>
        </w:rPr>
        <w:t xml:space="preserve"> se u zemřelých dotazuje soudů na stav </w:t>
      </w:r>
      <w:r w:rsidR="00D042F8" w:rsidRPr="00D042F8">
        <w:rPr>
          <w:bCs/>
        </w:rPr>
        <w:t>dědického řízení</w:t>
      </w:r>
      <w:r w:rsidRPr="00D042F8">
        <w:rPr>
          <w:bCs/>
        </w:rPr>
        <w:t xml:space="preserve"> a vymezení okruhu potencionálních dědic</w:t>
      </w:r>
      <w:r w:rsidR="00D042F8" w:rsidRPr="00D042F8">
        <w:rPr>
          <w:bCs/>
        </w:rPr>
        <w:t>;</w:t>
      </w:r>
      <w:r w:rsidRPr="00D042F8">
        <w:rPr>
          <w:bCs/>
        </w:rPr>
        <w:t xml:space="preserve"> </w:t>
      </w:r>
      <w:r w:rsidR="00D042F8" w:rsidRPr="00D042F8">
        <w:rPr>
          <w:bCs/>
        </w:rPr>
        <w:t>s</w:t>
      </w:r>
      <w:r w:rsidRPr="00D042F8">
        <w:rPr>
          <w:bCs/>
        </w:rPr>
        <w:t>oud není vázán žádnou lhůtou, často odpo</w:t>
      </w:r>
      <w:r w:rsidRPr="00D042F8">
        <w:rPr>
          <w:bCs/>
        </w:rPr>
        <w:t xml:space="preserve">vídá s odstupem 1-4 měsíce od dotazu </w:t>
      </w:r>
      <w:r w:rsidR="00D042F8" w:rsidRPr="00D042F8">
        <w:rPr>
          <w:bCs/>
        </w:rPr>
        <w:t xml:space="preserve">úřadu </w:t>
      </w:r>
      <w:r w:rsidR="00D042F8">
        <w:rPr>
          <w:bCs/>
        </w:rPr>
        <w:t>–</w:t>
      </w:r>
      <w:r w:rsidR="00D042F8" w:rsidRPr="00D042F8">
        <w:rPr>
          <w:bCs/>
        </w:rPr>
        <w:t xml:space="preserve"> </w:t>
      </w:r>
      <w:r w:rsidR="00D042F8">
        <w:rPr>
          <w:bCs/>
        </w:rPr>
        <w:t xml:space="preserve">řešením by bylo </w:t>
      </w:r>
      <w:r w:rsidRPr="00D042F8">
        <w:rPr>
          <w:bCs/>
        </w:rPr>
        <w:t xml:space="preserve">zavázat soud lhůtou pro odpověď </w:t>
      </w:r>
      <w:r w:rsidR="00355CAA">
        <w:rPr>
          <w:bCs/>
        </w:rPr>
        <w:t>vyvlastňovacímu úřadu</w:t>
      </w:r>
      <w:r w:rsidR="00D042F8">
        <w:rPr>
          <w:bCs/>
        </w:rPr>
        <w:t>;</w:t>
      </w:r>
    </w:p>
    <w:p w:rsidR="00E77BB0" w:rsidRPr="00D042F8" w:rsidRDefault="000865D6">
      <w:pPr>
        <w:pStyle w:val="Normln-tun"/>
        <w:numPr>
          <w:ilvl w:val="0"/>
          <w:numId w:val="88"/>
        </w:numPr>
        <w:rPr>
          <w:bCs/>
        </w:rPr>
      </w:pPr>
      <w:r w:rsidRPr="00D042F8">
        <w:rPr>
          <w:bCs/>
        </w:rPr>
        <w:t xml:space="preserve">časová zdržení </w:t>
      </w:r>
      <w:r w:rsidR="00D042F8" w:rsidRPr="00D042F8">
        <w:rPr>
          <w:bCs/>
        </w:rPr>
        <w:t>v průběhu vyvlastňovacích řízení</w:t>
      </w:r>
      <w:r w:rsidRPr="00D042F8">
        <w:rPr>
          <w:bCs/>
        </w:rPr>
        <w:t xml:space="preserve">: </w:t>
      </w:r>
      <w:r w:rsidR="00D042F8" w:rsidRPr="00D042F8">
        <w:rPr>
          <w:bCs/>
        </w:rPr>
        <w:t>vyvlastňovací úřad</w:t>
      </w:r>
      <w:r w:rsidRPr="00D042F8">
        <w:rPr>
          <w:bCs/>
        </w:rPr>
        <w:t xml:space="preserve"> bývá v úzkých s výběrem znalce, znalci odmítají vypracovat </w:t>
      </w:r>
      <w:r w:rsidR="00D042F8" w:rsidRPr="00D042F8">
        <w:rPr>
          <w:bCs/>
        </w:rPr>
        <w:t>znalecké posudky</w:t>
      </w:r>
      <w:r w:rsidRPr="00D042F8">
        <w:rPr>
          <w:bCs/>
        </w:rPr>
        <w:t xml:space="preserve">, které by pak museli obhajovat při </w:t>
      </w:r>
      <w:r w:rsidR="00D042F8" w:rsidRPr="00D042F8">
        <w:rPr>
          <w:bCs/>
        </w:rPr>
        <w:t>vyvlastňovacím řízení</w:t>
      </w:r>
      <w:r w:rsidRPr="00D042F8">
        <w:rPr>
          <w:bCs/>
        </w:rPr>
        <w:t xml:space="preserve">, případně žádají zbytečně dlouhé lhůty pro vypracování </w:t>
      </w:r>
      <w:r w:rsidR="00D042F8" w:rsidRPr="00D042F8">
        <w:rPr>
          <w:bCs/>
        </w:rPr>
        <w:t>znaleckého posudku</w:t>
      </w:r>
      <w:r w:rsidRPr="00D042F8">
        <w:rPr>
          <w:bCs/>
        </w:rPr>
        <w:t xml:space="preserve"> (2 měsíce)</w:t>
      </w:r>
      <w:r w:rsidRPr="00D042F8">
        <w:rPr>
          <w:bCs/>
        </w:rPr>
        <w:tab/>
      </w:r>
      <w:r w:rsidR="00D042F8" w:rsidRPr="00D042F8">
        <w:rPr>
          <w:bCs/>
        </w:rPr>
        <w:t xml:space="preserve"> - </w:t>
      </w:r>
      <w:r w:rsidRPr="00D042F8">
        <w:rPr>
          <w:bCs/>
        </w:rPr>
        <w:t xml:space="preserve">částečně </w:t>
      </w:r>
      <w:r w:rsidR="00D042F8">
        <w:rPr>
          <w:bCs/>
        </w:rPr>
        <w:t xml:space="preserve">bylo </w:t>
      </w:r>
      <w:r w:rsidRPr="00D042F8">
        <w:rPr>
          <w:bCs/>
        </w:rPr>
        <w:t>řešeno návrhem novely zákona o urychlení výstavby</w:t>
      </w:r>
      <w:r w:rsidRPr="00D042F8">
        <w:rPr>
          <w:bCs/>
        </w:rPr>
        <w:tab/>
      </w:r>
      <w:r w:rsidRPr="00D042F8">
        <w:rPr>
          <w:bCs/>
        </w:rPr>
        <w:tab/>
      </w:r>
      <w:r w:rsidRPr="00D042F8">
        <w:rPr>
          <w:bCs/>
        </w:rPr>
        <w:tab/>
      </w:r>
      <w:r w:rsidR="00D042F8">
        <w:rPr>
          <w:bCs/>
        </w:rPr>
        <w:t>;</w:t>
      </w:r>
    </w:p>
    <w:p w:rsidR="00E77BB0" w:rsidRPr="008840FA" w:rsidRDefault="000865D6">
      <w:pPr>
        <w:pStyle w:val="Normln-tun"/>
        <w:numPr>
          <w:ilvl w:val="0"/>
          <w:numId w:val="88"/>
        </w:numPr>
        <w:rPr>
          <w:bCs/>
        </w:rPr>
      </w:pPr>
      <w:r w:rsidRPr="008840FA">
        <w:rPr>
          <w:bCs/>
        </w:rPr>
        <w:t>doručování do zahraničí: zejména do</w:t>
      </w:r>
      <w:r w:rsidRPr="008840FA">
        <w:rPr>
          <w:bCs/>
        </w:rPr>
        <w:t xml:space="preserve"> anglosaských zemí, kde místní pošta (např. Royal Mail) vh</w:t>
      </w:r>
      <w:r w:rsidR="00355CAA">
        <w:rPr>
          <w:bCs/>
        </w:rPr>
        <w:t>a</w:t>
      </w:r>
      <w:r w:rsidRPr="008840FA">
        <w:rPr>
          <w:bCs/>
        </w:rPr>
        <w:t>zuje výhradně do schránky na určené adrese, neodpovídá za doručení do vlastních rukou. Česká pošta není následně schopna</w:t>
      </w:r>
      <w:r w:rsidR="00D042F8" w:rsidRPr="008840FA">
        <w:rPr>
          <w:bCs/>
        </w:rPr>
        <w:t xml:space="preserve"> </w:t>
      </w:r>
      <w:r w:rsidRPr="008840FA">
        <w:rPr>
          <w:bCs/>
        </w:rPr>
        <w:t xml:space="preserve">vyřídit reklamaci nevrácené </w:t>
      </w:r>
      <w:r w:rsidR="000B2309" w:rsidRPr="008840FA">
        <w:rPr>
          <w:bCs/>
        </w:rPr>
        <w:t>dodejk</w:t>
      </w:r>
      <w:r w:rsidR="000B2309">
        <w:rPr>
          <w:bCs/>
        </w:rPr>
        <w:t>y</w:t>
      </w:r>
      <w:r w:rsidR="000B2309" w:rsidRPr="008840FA">
        <w:rPr>
          <w:bCs/>
        </w:rPr>
        <w:t xml:space="preserve"> </w:t>
      </w:r>
      <w:r w:rsidR="000B2309">
        <w:rPr>
          <w:bCs/>
        </w:rPr>
        <w:t>– návrh</w:t>
      </w:r>
      <w:r w:rsidRPr="008840FA">
        <w:rPr>
          <w:bCs/>
        </w:rPr>
        <w:t xml:space="preserve"> novely zákona o urychlení výstav</w:t>
      </w:r>
      <w:r w:rsidRPr="008840FA">
        <w:rPr>
          <w:bCs/>
        </w:rPr>
        <w:t>by řeší popsaný problém pouze při pokusu o dohodu</w:t>
      </w:r>
      <w:r w:rsidR="008840FA">
        <w:rPr>
          <w:bCs/>
        </w:rPr>
        <w:t xml:space="preserve"> </w:t>
      </w:r>
      <w:r w:rsidRPr="008840FA">
        <w:rPr>
          <w:bCs/>
        </w:rPr>
        <w:t>(odes</w:t>
      </w:r>
      <w:r w:rsidR="008840FA">
        <w:rPr>
          <w:bCs/>
        </w:rPr>
        <w:t>í</w:t>
      </w:r>
      <w:r w:rsidRPr="008840FA">
        <w:rPr>
          <w:bCs/>
        </w:rPr>
        <w:t>latel je vyvlastnitel), ale neřeší doručování vyvlastňovacího úřadu</w:t>
      </w:r>
      <w:r w:rsidR="008840FA">
        <w:rPr>
          <w:bCs/>
        </w:rPr>
        <w:t>.</w:t>
      </w:r>
      <w:r w:rsidRPr="008840FA">
        <w:rPr>
          <w:bCs/>
        </w:rPr>
        <w:tab/>
      </w:r>
      <w:r w:rsidRPr="008840FA">
        <w:rPr>
          <w:bCs/>
        </w:rPr>
        <w:tab/>
      </w:r>
      <w:r w:rsidRPr="008840FA">
        <w:rPr>
          <w:bCs/>
        </w:rPr>
        <w:tab/>
      </w:r>
    </w:p>
    <w:p w:rsidR="00C34A15" w:rsidRPr="00B2260E" w:rsidRDefault="000865D6" w:rsidP="00B2260E">
      <w:pPr>
        <w:pStyle w:val="Normln-tun"/>
        <w:rPr>
          <w:i/>
          <w:iCs/>
        </w:rPr>
      </w:pPr>
      <w:r w:rsidRPr="00B2260E">
        <w:rPr>
          <w:i/>
          <w:iCs/>
        </w:rPr>
        <w:t>ES</w:t>
      </w:r>
      <w:r w:rsidR="00355CAA" w:rsidRPr="00B2260E">
        <w:rPr>
          <w:i/>
          <w:iCs/>
        </w:rPr>
        <w:t>2</w:t>
      </w:r>
    </w:p>
    <w:p w:rsidR="00D86919" w:rsidRPr="00B2260E" w:rsidRDefault="000865D6" w:rsidP="00B2260E">
      <w:pPr>
        <w:pStyle w:val="Normln-tun"/>
        <w:rPr>
          <w:i/>
          <w:iCs/>
        </w:rPr>
      </w:pPr>
      <w:r w:rsidRPr="00B2260E">
        <w:t>Největší problémy v současné době, které pozorují v souvislosti s vyvlastňovacím řízením, jsou v oblasti znaleckých posudků.</w:t>
      </w:r>
      <w:r w:rsidRPr="00B2260E">
        <w:t xml:space="preserve"> </w:t>
      </w:r>
      <w:r w:rsidRPr="00B2260E">
        <w:rPr>
          <w:i/>
          <w:iCs/>
        </w:rPr>
        <w:t xml:space="preserve">„Chybějící transparentní pravidla pro stanovení ocenění věcného břemene pro naše stavby jsou výraznou brzdou celého procesu výstavby našich staveb. Řešením daného stavu vidíme ve stanovení transparentního postupu oceňování věcného břemene pro naše stavby </w:t>
      </w:r>
      <w:r w:rsidRPr="00B2260E">
        <w:rPr>
          <w:i/>
          <w:iCs/>
        </w:rPr>
        <w:t xml:space="preserve">(resp. pro stavby energetické infrastruktury) přímo v právním předpisu (zákon o oceňování majetku a jeho prováděcím právním předpisu). </w:t>
      </w:r>
    </w:p>
    <w:p w:rsidR="00D86919" w:rsidRPr="00B2260E" w:rsidRDefault="000865D6">
      <w:pPr>
        <w:pStyle w:val="Normln-tun"/>
        <w:numPr>
          <w:ilvl w:val="0"/>
          <w:numId w:val="87"/>
        </w:numPr>
        <w:rPr>
          <w:i/>
          <w:iCs/>
          <w:lang w:eastAsia="cs-CZ"/>
        </w:rPr>
      </w:pPr>
      <w:r w:rsidRPr="00B2260E">
        <w:rPr>
          <w:b/>
          <w:bCs/>
          <w:i/>
          <w:iCs/>
        </w:rPr>
        <w:t xml:space="preserve">Chybná interpretace pojmu „ochranné pásmo“ a jeho zaměňování za věcné břemeno. </w:t>
      </w:r>
      <w:r w:rsidRPr="00B2260E">
        <w:rPr>
          <w:i/>
          <w:iCs/>
        </w:rPr>
        <w:t xml:space="preserve">Bylo by vhodné konstatovat, že ochranné pásmo není věcným břemenem, nelze jej oceňovat jako věcné břemeno. Jedná se o zcela odlišné a nezávislé instituty. Územní rozsah věcného břemene je zcela nezávislý na rozsahu ochranného pásma a </w:t>
      </w:r>
      <w:r w:rsidRPr="00B2260E">
        <w:rPr>
          <w:i/>
          <w:iCs/>
        </w:rPr>
        <w:lastRenderedPageBreak/>
        <w:t>měl by odpovídat konkr</w:t>
      </w:r>
      <w:r w:rsidRPr="00B2260E">
        <w:rPr>
          <w:i/>
          <w:iCs/>
        </w:rPr>
        <w:t xml:space="preserve">étní situaci na daném místě tak, aby umožňoval uložení zařízení distribuční soustavy, přístup k tomuto zařízení a jeho opravy. </w:t>
      </w:r>
    </w:p>
    <w:p w:rsidR="00D86919" w:rsidRPr="00B2260E" w:rsidRDefault="000865D6">
      <w:pPr>
        <w:pStyle w:val="Normln-tun"/>
        <w:numPr>
          <w:ilvl w:val="0"/>
          <w:numId w:val="87"/>
        </w:numPr>
        <w:rPr>
          <w:i/>
          <w:iCs/>
        </w:rPr>
      </w:pPr>
      <w:r w:rsidRPr="00B2260E">
        <w:rPr>
          <w:b/>
          <w:bCs/>
          <w:i/>
          <w:iCs/>
        </w:rPr>
        <w:t>Chybný rozsah věcného břemene při oceňování.</w:t>
      </w:r>
      <w:r w:rsidRPr="00B2260E">
        <w:rPr>
          <w:i/>
          <w:iCs/>
        </w:rPr>
        <w:t xml:space="preserve"> Při zřizování věcného břemene respektovat geometrický plán a oceňovat věcné břemeno</w:t>
      </w:r>
      <w:r w:rsidRPr="00B2260E">
        <w:rPr>
          <w:i/>
          <w:iCs/>
        </w:rPr>
        <w:t xml:space="preserve"> v rozsahu geometrického plánu. V praxi mnohdy dochází k ocenění celého pozemku, ke kterému má být věcné břemeno zřízeno, aniž je respektováno, že není zabřemeněn celý pozemek. Případně znalec ohodnotí zatížení pozemku 100 %, a to i v případech, kdy jde o </w:t>
      </w:r>
      <w:r w:rsidRPr="00B2260E">
        <w:rPr>
          <w:i/>
          <w:iCs/>
        </w:rPr>
        <w:t>podzemní kabelové vedení, navíc mnohdy umístěné v chodnících či přilehlých pásech zeleně. Jaké je tedy pak omezení v užívání takového pozemku? Někdy jsou výsledné ceny za věcné břemeno vyšší</w:t>
      </w:r>
      <w:r w:rsidR="00C34A15" w:rsidRPr="00B2260E">
        <w:rPr>
          <w:i/>
          <w:iCs/>
        </w:rPr>
        <w:t>,</w:t>
      </w:r>
      <w:r w:rsidRPr="00B2260E">
        <w:rPr>
          <w:i/>
          <w:iCs/>
        </w:rPr>
        <w:t xml:space="preserve"> než by byla kupní cena dotčeného pozemku.</w:t>
      </w:r>
    </w:p>
    <w:p w:rsidR="00D86919" w:rsidRPr="00B2260E" w:rsidRDefault="000865D6">
      <w:pPr>
        <w:pStyle w:val="Normln-tun"/>
        <w:numPr>
          <w:ilvl w:val="0"/>
          <w:numId w:val="87"/>
        </w:numPr>
        <w:rPr>
          <w:i/>
          <w:iCs/>
        </w:rPr>
      </w:pPr>
      <w:r w:rsidRPr="00B2260E">
        <w:rPr>
          <w:b/>
          <w:bCs/>
          <w:i/>
          <w:iCs/>
        </w:rPr>
        <w:t>Chybné používání metod</w:t>
      </w:r>
      <w:r w:rsidRPr="00B2260E">
        <w:rPr>
          <w:b/>
          <w:bCs/>
          <w:i/>
          <w:iCs/>
        </w:rPr>
        <w:t xml:space="preserve">y </w:t>
      </w:r>
    </w:p>
    <w:p w:rsidR="00D86919" w:rsidRPr="00B2260E" w:rsidRDefault="000865D6">
      <w:pPr>
        <w:pStyle w:val="Normln-tun"/>
        <w:numPr>
          <w:ilvl w:val="0"/>
          <w:numId w:val="87"/>
        </w:numPr>
        <w:rPr>
          <w:i/>
          <w:iCs/>
        </w:rPr>
      </w:pPr>
      <w:r w:rsidRPr="00B2260E">
        <w:rPr>
          <w:i/>
          <w:iCs/>
        </w:rPr>
        <w:t>Metody jsou různé a je jen na rozhodnutí znalců, kterou použijí, přestože jde stále o tutéž věc, resp. ocenění věcného břemene. Největší problém vidíme v již výše zmíněném</w:t>
      </w:r>
      <w:r w:rsidR="00C34644" w:rsidRPr="00B2260E">
        <w:rPr>
          <w:i/>
          <w:iCs/>
        </w:rPr>
        <w:t>,</w:t>
      </w:r>
      <w:r w:rsidRPr="00B2260E">
        <w:rPr>
          <w:i/>
          <w:iCs/>
        </w:rPr>
        <w:t xml:space="preserve"> problematickém a často neobjektivní</w:t>
      </w:r>
      <w:r w:rsidR="00C34644" w:rsidRPr="00B2260E">
        <w:rPr>
          <w:i/>
          <w:iCs/>
        </w:rPr>
        <w:t>m,</w:t>
      </w:r>
      <w:r w:rsidRPr="00B2260E">
        <w:rPr>
          <w:i/>
          <w:iCs/>
        </w:rPr>
        <w:t xml:space="preserve"> hodnocení znalce z hlediska stanovení míry</w:t>
      </w:r>
      <w:r w:rsidRPr="00B2260E">
        <w:rPr>
          <w:i/>
          <w:iCs/>
        </w:rPr>
        <w:t xml:space="preserve"> omezení v užívání nemovité věci a nesprávném použití či opomenutí použití příslušných koeficientů, které výslednou cenu VB upravují. </w:t>
      </w:r>
    </w:p>
    <w:p w:rsidR="00D86919" w:rsidRPr="00B2260E" w:rsidRDefault="000865D6">
      <w:pPr>
        <w:pStyle w:val="Normln-tun"/>
        <w:numPr>
          <w:ilvl w:val="0"/>
          <w:numId w:val="87"/>
        </w:numPr>
        <w:rPr>
          <w:i/>
          <w:iCs/>
          <w:lang w:eastAsia="cs-CZ"/>
        </w:rPr>
      </w:pPr>
      <w:r w:rsidRPr="00B2260E">
        <w:rPr>
          <w:b/>
          <w:bCs/>
          <w:i/>
          <w:iCs/>
        </w:rPr>
        <w:t>Ve znaleckých posudcích chybí „odůvodnění stanovení“ a „odůvodnění aplikace“ hodnot konkrétních jednotlivých koeficientů</w:t>
      </w:r>
      <w:r w:rsidRPr="00B2260E">
        <w:rPr>
          <w:i/>
          <w:iCs/>
        </w:rPr>
        <w:t xml:space="preserve"> </w:t>
      </w:r>
      <w:r w:rsidRPr="00B2260E">
        <w:rPr>
          <w:b/>
          <w:bCs/>
          <w:i/>
          <w:iCs/>
        </w:rPr>
        <w:t>(případně dalších faktorů) se vlivem na zvýšení či snížení oceňovaných složek, z nichž se následně sestává celková cena věcného břemene.</w:t>
      </w:r>
      <w:r w:rsidRPr="00B2260E">
        <w:rPr>
          <w:i/>
          <w:iCs/>
        </w:rPr>
        <w:t xml:space="preserve"> Znalec podá výčet charakterů a vlastností pozemku, následně napíše vyčíslené x% snížení/zvýšení hodnoty pozemku, ale: m</w:t>
      </w:r>
      <w:r w:rsidRPr="00B2260E">
        <w:rPr>
          <w:i/>
          <w:iCs/>
        </w:rPr>
        <w:t>ezi těmito znaleckými informacemi nelze nalézt vztah, resp. konkrétní odůvodnění, proč to je nutně x% a nikoli xy% plus či mínus ocenění. Znalec podá výčet obsahu věcného břemene (zpravidla neúplný či nadsazený o ochranné pásmo), většinou plave ve výčtu ro</w:t>
      </w:r>
      <w:r w:rsidRPr="00B2260E">
        <w:rPr>
          <w:i/>
          <w:iCs/>
        </w:rPr>
        <w:t>zsahu omezení konkrétního vlastnického práva majitele pozemku,  znalci v poslední době podávají výčet toho, co by eventuálně obecně mohl vlastník konat podnikatelsky na předmětném pozemku, ale co z toho je reálné již pomíjí,  ale: znalec zpravidla vůbec ne</w:t>
      </w:r>
      <w:r w:rsidRPr="00B2260E">
        <w:rPr>
          <w:i/>
          <w:iCs/>
        </w:rPr>
        <w:t>určí hodnotu vlastnického práva mínus hodnotu odpovídající právu věcného břemene, resp. mínus hodnotu oč přichází vlastník - břemeno zatěžuje/omezuje vlastníka "nikoli dává vývar oprávněnému z břemene". T</w:t>
      </w:r>
      <w:r w:rsidR="00F4061A" w:rsidRPr="00B2260E">
        <w:rPr>
          <w:i/>
          <w:iCs/>
        </w:rPr>
        <w:t>j</w:t>
      </w:r>
      <w:r w:rsidRPr="00B2260E">
        <w:rPr>
          <w:i/>
          <w:iCs/>
        </w:rPr>
        <w:t>. znalec pracuje s hodnotou pozemku (věci), a nikol</w:t>
      </w:r>
      <w:r w:rsidRPr="00B2260E">
        <w:rPr>
          <w:i/>
          <w:iCs/>
        </w:rPr>
        <w:t xml:space="preserve">i už s hodnotami spektra vlastnického práva. Potom mnohdy nastává zkreslení situace tak, že vlastník pozemku pro naše břemeno svůj pozemek nemůže užívat vůbec, což ale není pravda. </w:t>
      </w:r>
    </w:p>
    <w:p w:rsidR="00D86919" w:rsidRPr="00B2260E" w:rsidRDefault="000865D6">
      <w:pPr>
        <w:pStyle w:val="Normln-tun"/>
        <w:numPr>
          <w:ilvl w:val="0"/>
          <w:numId w:val="87"/>
        </w:numPr>
        <w:rPr>
          <w:i/>
          <w:iCs/>
        </w:rPr>
      </w:pPr>
      <w:r w:rsidRPr="00B2260E">
        <w:rPr>
          <w:b/>
          <w:bCs/>
          <w:i/>
          <w:iCs/>
        </w:rPr>
        <w:t>Existence omylu z pojmosloví „ocenění věcného břemene“, přičemž by mělo bý</w:t>
      </w:r>
      <w:r w:rsidRPr="00B2260E">
        <w:rPr>
          <w:b/>
          <w:bCs/>
          <w:i/>
          <w:iCs/>
        </w:rPr>
        <w:t xml:space="preserve">t spíše oceňováno „právo, které vlastníku pozemku ušlo“ z důvodu zřízení našeho věcného břemene. </w:t>
      </w:r>
      <w:r w:rsidRPr="00B2260E">
        <w:rPr>
          <w:i/>
          <w:iCs/>
        </w:rPr>
        <w:t>Tato práva nejsou totožná. To je ocenit ten konkrétní výsek práva vlastníka příp. jeho výkonu, který nemůže konzumovat sám, že se jej vzdal ve prospěch užití j</w:t>
      </w:r>
      <w:r w:rsidRPr="00B2260E">
        <w:rPr>
          <w:i/>
          <w:iCs/>
        </w:rPr>
        <w:t>iným subjektem. Jak efektivně či regulovaně (např. za kolik apod.) jej užije?</w:t>
      </w:r>
    </w:p>
    <w:p w:rsidR="00D86919" w:rsidRPr="00B2260E" w:rsidRDefault="000865D6">
      <w:pPr>
        <w:pStyle w:val="Normln-tun"/>
        <w:numPr>
          <w:ilvl w:val="0"/>
          <w:numId w:val="87"/>
        </w:numPr>
        <w:rPr>
          <w:i/>
          <w:iCs/>
        </w:rPr>
      </w:pPr>
      <w:r w:rsidRPr="00B2260E">
        <w:rPr>
          <w:b/>
          <w:bCs/>
          <w:i/>
          <w:iCs/>
        </w:rPr>
        <w:t xml:space="preserve">Tam, kde je zákonem stanoveno, že se věcné břemeno oceňuje znaleckým posudkem, ocenění provádí znalec. Nikoli odhadce.“ </w:t>
      </w:r>
    </w:p>
    <w:p w:rsidR="00C34A15" w:rsidRPr="001824A8" w:rsidRDefault="000865D6" w:rsidP="001824A8">
      <w:pPr>
        <w:pStyle w:val="Normln-tun"/>
        <w:rPr>
          <w:i/>
          <w:iCs/>
        </w:rPr>
      </w:pPr>
      <w:r w:rsidRPr="001824A8">
        <w:rPr>
          <w:i/>
          <w:iCs/>
        </w:rPr>
        <w:t>ES</w:t>
      </w:r>
      <w:r w:rsidR="00355CAA" w:rsidRPr="001824A8">
        <w:rPr>
          <w:i/>
          <w:iCs/>
        </w:rPr>
        <w:t>3</w:t>
      </w:r>
    </w:p>
    <w:p w:rsidR="00110EE7" w:rsidRPr="001824A8" w:rsidRDefault="000865D6" w:rsidP="001824A8">
      <w:pPr>
        <w:pStyle w:val="Normln-tun"/>
      </w:pPr>
      <w:r w:rsidRPr="001824A8">
        <w:t>Ze společností skupiny se s problematikou vyvlastňová</w:t>
      </w:r>
      <w:r w:rsidRPr="001824A8">
        <w:t>ní v praktické rovině setkává zejména provozovatel distribuční soustavy. Dochází k tomu v rámci plnění zákonné povinnosti zřídit věcné břemeno s vlastníky pozemků dotčených stavbami distribuční soustavy na svém vymezeném distribučním území. Jedná se o 65 v</w:t>
      </w:r>
      <w:r w:rsidRPr="001824A8">
        <w:t xml:space="preserve">yvlastňovacích úřadů a </w:t>
      </w:r>
      <w:r w:rsidRPr="001824A8">
        <w:lastRenderedPageBreak/>
        <w:t xml:space="preserve">stovky případů ročně. Předmětem vyvlastnění je omezení vlastnického práva zřízením věcného břemene. </w:t>
      </w:r>
    </w:p>
    <w:p w:rsidR="00110EE7" w:rsidRPr="001824A8" w:rsidRDefault="000865D6" w:rsidP="001824A8">
      <w:pPr>
        <w:pStyle w:val="Normln-tun"/>
      </w:pPr>
      <w:r w:rsidRPr="001824A8">
        <w:t>Největší problém představují lhůty u vyvlastňovacích úřadů. Ve vyvlastňovacím zákoně nejsou lhůty konkrétně stanoveny a pouze podpůr</w:t>
      </w:r>
      <w:r w:rsidRPr="001824A8">
        <w:t>ně je užíván správní řád. Pro určité úkony by bylo vhodné tyto lhůty do nového zákona zanést – minimálně pro povinnost úřadu zahájit vyvlastňovací řízení alespoň do 30 dn</w:t>
      </w:r>
      <w:r w:rsidR="00D67AFF" w:rsidRPr="001824A8">
        <w:t>ů</w:t>
      </w:r>
      <w:r w:rsidRPr="001824A8">
        <w:t xml:space="preserve"> od podání návrhu včetně informování příslušného katastrálního úřadu ve stejné lhůtě,</w:t>
      </w:r>
      <w:r w:rsidRPr="001824A8">
        <w:t xml:space="preserve"> aby nedocházelo k účelovým převodům majetku ve snaze ztížit vyvlastňovací řízení. Další vhodná lhůta by mohla být stanovena k vypracování znaleckého posudku. Nyní je povinností vyvlastnitele poskytnout vyvlastňovanému znalecký posudek</w:t>
      </w:r>
      <w:r w:rsidR="005C6EE8" w:rsidRPr="001824A8">
        <w:t>,</w:t>
      </w:r>
      <w:r w:rsidRPr="001824A8">
        <w:t xml:space="preserve"> a pokud tento nesou</w:t>
      </w:r>
      <w:r w:rsidRPr="001824A8">
        <w:t>hlasí, má možnost nechat si zpracovat vlastní znalecký posudek. Nedojde-li k tomuto kroku, měl by znalecký posudek zadat bezodkladně úřad. Často dochází k tomu, že úřad opakovaně vlastníka vyzývá, ten nereaguje, stále se nic neděje a řízení se neúměrně pro</w:t>
      </w:r>
      <w:r w:rsidRPr="001824A8">
        <w:t>dlužuje. Poslední lhůtou, kterou bychom ocenili, je lhůta pro vydání rozhodnutí, která by měla být rovněž časově nastavena, např. úřad je povinen vydat rozhodnutí do 30 dn</w:t>
      </w:r>
      <w:r w:rsidR="00C34644" w:rsidRPr="001824A8">
        <w:t>ů</w:t>
      </w:r>
      <w:r w:rsidRPr="001824A8">
        <w:t xml:space="preserve"> od ústního jednání, kde platí koncentrace řízení a poslední námitky obou účastníků </w:t>
      </w:r>
      <w:r w:rsidRPr="001824A8">
        <w:t xml:space="preserve">jsou uplatněny právě tady. Pak není ani důvod řízení dále protahovat. Stejný problém se lhůtami je pak i v rámci odvolacího řízení a případné správní </w:t>
      </w:r>
      <w:r w:rsidR="00C34644" w:rsidRPr="001824A8">
        <w:t>žaloby – i</w:t>
      </w:r>
      <w:r w:rsidRPr="001824A8">
        <w:t xml:space="preserve"> tady se většinou řízení protahuje velmi dlouho. </w:t>
      </w:r>
    </w:p>
    <w:p w:rsidR="00110EE7" w:rsidRPr="001824A8" w:rsidRDefault="000865D6" w:rsidP="001824A8">
      <w:pPr>
        <w:pStyle w:val="Normln-tun"/>
      </w:pPr>
      <w:r w:rsidRPr="001824A8">
        <w:t>Nový vyvlastňovací zákon by měl aktualizovat p</w:t>
      </w:r>
      <w:r w:rsidRPr="001824A8">
        <w:t>řílohy, které se dávají s návrhem na vyvlastnění. Stále se například přikládají tři vyhotovení geometrického plánu. Nyní je toto zcela zbytečné, protože v návaznosti na změnu katastrálního zákona nespadá povinnost vložit rozhodnutí o vyvlastnění na úřad, a</w:t>
      </w:r>
      <w:r w:rsidRPr="001824A8">
        <w:t>le na vyvlastnitele. Tři geometrické plány jsou tak pro úřad zcela zbytečné a většinou zůstávají pouze založeny ve spisu.</w:t>
      </w:r>
    </w:p>
    <w:p w:rsidR="00110EE7" w:rsidRPr="001824A8" w:rsidRDefault="000865D6" w:rsidP="001824A8">
      <w:pPr>
        <w:pStyle w:val="Normln-tun"/>
      </w:pPr>
      <w:r w:rsidRPr="001824A8">
        <w:t>Do vyvlastňovacího zákona by bylo vhodné doplnit chybějící pasáže, např. u neidentifikovaného účastníka postup při ustanovení opatrovníka. Stejně tak do vyvlastňovacího zákona doplnit úpravu podobnou v zákoně o urychlení výstavby pro případ zemřelých vlast</w:t>
      </w:r>
      <w:r w:rsidRPr="001824A8">
        <w:t xml:space="preserve">níků. Velmi vhodnou se jeví úprava, kdy po dobu vyvlastňovacího řízení se staví běh lhůty platnosti územního rozhodnutí, aby nedocházelo v rámci probíhajícího vyvlastňovacího řízení k propadnutí platnosti titulu, na </w:t>
      </w:r>
      <w:r w:rsidR="00D67AFF" w:rsidRPr="001824A8">
        <w:t xml:space="preserve">jehož </w:t>
      </w:r>
      <w:r w:rsidRPr="001824A8">
        <w:t xml:space="preserve">základě bylo vyvlastňovací řízení </w:t>
      </w:r>
      <w:r w:rsidRPr="001824A8">
        <w:t>iniciováno. Ani toto stávající vyvlastňovací zákon neobsahuje.</w:t>
      </w:r>
    </w:p>
    <w:p w:rsidR="00110EE7" w:rsidRPr="001824A8" w:rsidRDefault="000865D6" w:rsidP="001824A8">
      <w:pPr>
        <w:pStyle w:val="Normln-tun"/>
      </w:pPr>
      <w:r w:rsidRPr="001824A8">
        <w:t>Pokud jde o náhrady za odnětí či omezení vlastnického práva je toto také často problematické, neboť každý znalec používá svůj vlastní výpočet a často dochází k tomu, že se výsledné částky výraz</w:t>
      </w:r>
      <w:r w:rsidRPr="001824A8">
        <w:t>ně liší. Bylo by dobré toto nastavit a sjednotit.</w:t>
      </w:r>
    </w:p>
    <w:p w:rsidR="00110EE7" w:rsidRPr="001824A8" w:rsidRDefault="000865D6" w:rsidP="001824A8">
      <w:pPr>
        <w:pStyle w:val="Normln-tun"/>
        <w:rPr>
          <w:i/>
          <w:iCs/>
        </w:rPr>
      </w:pPr>
      <w:r w:rsidRPr="001824A8">
        <w:rPr>
          <w:i/>
          <w:iCs/>
        </w:rPr>
        <w:t>ES</w:t>
      </w:r>
      <w:r w:rsidR="00355CAA" w:rsidRPr="001824A8">
        <w:rPr>
          <w:i/>
          <w:iCs/>
        </w:rPr>
        <w:t>4</w:t>
      </w:r>
    </w:p>
    <w:p w:rsidR="0022483C" w:rsidRPr="001824A8" w:rsidRDefault="000865D6" w:rsidP="001824A8">
      <w:pPr>
        <w:pStyle w:val="Normln-tun"/>
      </w:pPr>
      <w:r w:rsidRPr="001824A8">
        <w:t xml:space="preserve">V téměř všech případech </w:t>
      </w:r>
      <w:r w:rsidR="004D0631" w:rsidRPr="001824A8">
        <w:t xml:space="preserve">vyvlastňovacích řízení, které v závěru vedly k vyvlastnění práva věcného břemene, </w:t>
      </w:r>
      <w:r w:rsidRPr="001824A8">
        <w:t>se jednalo o umístění nadzemního vedení VVN. Od roku 2014</w:t>
      </w:r>
      <w:r w:rsidR="004D0631" w:rsidRPr="001824A8">
        <w:t xml:space="preserve"> společnost</w:t>
      </w:r>
      <w:r w:rsidRPr="001824A8">
        <w:t xml:space="preserve"> podával</w:t>
      </w:r>
      <w:r w:rsidR="004D0631" w:rsidRPr="001824A8">
        <w:t>a</w:t>
      </w:r>
      <w:r w:rsidRPr="001824A8">
        <w:t xml:space="preserve"> várku několika návrhů na vyvlastnění v řádu dvou </w:t>
      </w:r>
      <w:r w:rsidR="004D0631" w:rsidRPr="001824A8">
        <w:t xml:space="preserve">až </w:t>
      </w:r>
      <w:r w:rsidRPr="001824A8">
        <w:t>tří let</w:t>
      </w:r>
      <w:r w:rsidR="004D0631" w:rsidRPr="001824A8">
        <w:t>. V</w:t>
      </w:r>
      <w:r w:rsidRPr="001824A8">
        <w:t xml:space="preserve">ětšina těchto vyvlastňovacích řízení </w:t>
      </w:r>
      <w:r w:rsidR="004D0631" w:rsidRPr="001824A8">
        <w:t>nedošla do fáze vydání</w:t>
      </w:r>
      <w:r w:rsidRPr="001824A8">
        <w:t xml:space="preserve"> rozhodnutí o vyvlastnění, neboť </w:t>
      </w:r>
      <w:r w:rsidR="004D0631" w:rsidRPr="001824A8">
        <w:t>se společnost</w:t>
      </w:r>
      <w:r w:rsidRPr="001824A8">
        <w:t xml:space="preserve"> za pomoci vyvlastňovacího úřadu jako mediátora dokázal</w:t>
      </w:r>
      <w:r w:rsidR="004D0631" w:rsidRPr="001824A8">
        <w:t>a</w:t>
      </w:r>
      <w:r w:rsidRPr="001824A8">
        <w:t xml:space="preserve"> dohodnout na podmínkám smluvně </w:t>
      </w:r>
      <w:r w:rsidRPr="001824A8">
        <w:t xml:space="preserve">zřízeného </w:t>
      </w:r>
      <w:r w:rsidR="00E77BB0" w:rsidRPr="001824A8">
        <w:t>věcného břemene</w:t>
      </w:r>
      <w:r w:rsidRPr="001824A8">
        <w:t>.</w:t>
      </w:r>
    </w:p>
    <w:p w:rsidR="00E77BB0" w:rsidRDefault="000865D6" w:rsidP="00E77BB0">
      <w:pPr>
        <w:pStyle w:val="Titulek"/>
        <w:keepNext/>
      </w:pPr>
      <w:r>
        <w:t xml:space="preserve">Tabulka </w:t>
      </w:r>
      <w:r w:rsidR="00D644CC">
        <w:fldChar w:fldCharType="begin"/>
      </w:r>
      <w:r>
        <w:instrText xml:space="preserve"> SEQ Tabulka \* ARABIC </w:instrText>
      </w:r>
      <w:r w:rsidR="00D644CC">
        <w:fldChar w:fldCharType="separate"/>
      </w:r>
      <w:r>
        <w:t>13</w:t>
      </w:r>
      <w:r w:rsidR="00D644CC">
        <w:rPr>
          <w:noProof/>
        </w:rPr>
        <w:fldChar w:fldCharType="end"/>
      </w:r>
      <w:r>
        <w:t>: Délka vyvlastňovacích řízení dle dat distributora</w:t>
      </w:r>
    </w:p>
    <w:tbl>
      <w:tblPr>
        <w:tblStyle w:val="Svtlstnovn1"/>
        <w:tblW w:w="9072" w:type="dxa"/>
        <w:tblInd w:w="108" w:type="dxa"/>
        <w:tblLayout w:type="fixed"/>
        <w:tblLook w:val="04A0" w:firstRow="1" w:lastRow="0" w:firstColumn="1" w:lastColumn="0" w:noHBand="0" w:noVBand="1"/>
      </w:tblPr>
      <w:tblGrid>
        <w:gridCol w:w="1134"/>
        <w:gridCol w:w="2835"/>
        <w:gridCol w:w="5103"/>
      </w:tblGrid>
      <w:tr w:rsidR="00FC72A1" w:rsidTr="00FC72A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E77BB0" w:rsidP="004D0631">
            <w:pPr>
              <w:spacing w:before="0" w:after="0"/>
              <w:rPr>
                <w:rFonts w:ascii="Calibri" w:eastAsia="Times New Roman" w:hAnsi="Calibri" w:cs="Calibri"/>
                <w:sz w:val="18"/>
                <w:szCs w:val="18"/>
                <w:lang w:eastAsia="cs-CZ"/>
              </w:rPr>
            </w:pPr>
          </w:p>
        </w:tc>
        <w:tc>
          <w:tcPr>
            <w:tcW w:w="2835" w:type="dxa"/>
            <w:vAlign w:val="center"/>
          </w:tcPr>
          <w:p w:rsidR="00E77BB0" w:rsidRPr="008D7966" w:rsidRDefault="000865D6" w:rsidP="004D0631">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Fáze největšího zpoždění</w:t>
            </w:r>
          </w:p>
        </w:tc>
        <w:tc>
          <w:tcPr>
            <w:tcW w:w="5103" w:type="dxa"/>
            <w:vAlign w:val="center"/>
          </w:tcPr>
          <w:p w:rsidR="00E77BB0" w:rsidRPr="008D7966" w:rsidRDefault="00E77BB0" w:rsidP="004D0631">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w:t>
            </w:r>
          </w:p>
        </w:tc>
        <w:tc>
          <w:tcPr>
            <w:tcW w:w="2835"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Podaná žádost 16.7.2014</w:t>
            </w:r>
          </w:p>
        </w:tc>
        <w:tc>
          <w:tcPr>
            <w:tcW w:w="5103"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Vyvlastněno 22.4.2016</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Z2</w:t>
            </w:r>
          </w:p>
        </w:tc>
        <w:tc>
          <w:tcPr>
            <w:tcW w:w="2835" w:type="dxa"/>
            <w:vAlign w:val="center"/>
            <w:hideMark/>
          </w:tcPr>
          <w:p w:rsidR="00E77BB0" w:rsidRPr="008D7966" w:rsidRDefault="000865D6" w:rsidP="004D0631">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Podaná žádost 3.11.2011</w:t>
            </w:r>
          </w:p>
        </w:tc>
        <w:tc>
          <w:tcPr>
            <w:tcW w:w="5103" w:type="dxa"/>
            <w:vAlign w:val="center"/>
            <w:hideMark/>
          </w:tcPr>
          <w:p w:rsidR="00E77BB0" w:rsidRPr="008D7966" w:rsidRDefault="000865D6" w:rsidP="004D0631">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Vyvlastněno 26.7.2012</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Z3</w:t>
            </w:r>
          </w:p>
        </w:tc>
        <w:tc>
          <w:tcPr>
            <w:tcW w:w="2835"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 xml:space="preserve">Podaná </w:t>
            </w:r>
            <w:r w:rsidRPr="008D7966">
              <w:rPr>
                <w:rFonts w:ascii="Calibri" w:eastAsia="Times New Roman" w:hAnsi="Calibri" w:cs="Calibri"/>
                <w:sz w:val="18"/>
                <w:szCs w:val="18"/>
                <w:lang w:eastAsia="cs-CZ"/>
              </w:rPr>
              <w:t>žádost 31.10.2012</w:t>
            </w:r>
          </w:p>
        </w:tc>
        <w:tc>
          <w:tcPr>
            <w:tcW w:w="5103"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30.4.2018 IZ odložení spisu</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lastRenderedPageBreak/>
              <w:t>Z4</w:t>
            </w:r>
          </w:p>
        </w:tc>
        <w:tc>
          <w:tcPr>
            <w:tcW w:w="2835" w:type="dxa"/>
            <w:vAlign w:val="center"/>
            <w:hideMark/>
          </w:tcPr>
          <w:p w:rsidR="00E77BB0" w:rsidRPr="008D7966" w:rsidRDefault="000865D6" w:rsidP="004D0631">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Zahájení vyvlastnění 14.12.2012</w:t>
            </w:r>
          </w:p>
        </w:tc>
        <w:tc>
          <w:tcPr>
            <w:tcW w:w="5103" w:type="dxa"/>
            <w:vAlign w:val="center"/>
            <w:hideMark/>
          </w:tcPr>
          <w:p w:rsidR="00E77BB0" w:rsidRPr="008D7966" w:rsidRDefault="000865D6" w:rsidP="004D0631">
            <w:pPr>
              <w:spacing w:before="0"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4.6. 2015 ukončení řízení na základě rozhodnutí distributora</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Z5</w:t>
            </w:r>
          </w:p>
        </w:tc>
        <w:tc>
          <w:tcPr>
            <w:tcW w:w="2835" w:type="dxa"/>
            <w:vAlign w:val="center"/>
            <w:hideMark/>
          </w:tcPr>
          <w:p w:rsidR="00E77BB0" w:rsidRPr="008D7966" w:rsidRDefault="000865D6" w:rsidP="004D063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Zahájení vyvlastnění 1.2.2011</w:t>
            </w:r>
          </w:p>
        </w:tc>
        <w:tc>
          <w:tcPr>
            <w:tcW w:w="5103" w:type="dxa"/>
            <w:vAlign w:val="center"/>
            <w:hideMark/>
          </w:tcPr>
          <w:p w:rsidR="00E77BB0" w:rsidRPr="008D7966" w:rsidRDefault="000865D6" w:rsidP="004D063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Vyvlastněno 24.11.2011</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Z6</w:t>
            </w:r>
          </w:p>
        </w:tc>
        <w:tc>
          <w:tcPr>
            <w:tcW w:w="2835"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Rozhodnutí o vyvlastnění 20.3.2008</w:t>
            </w:r>
          </w:p>
        </w:tc>
        <w:tc>
          <w:tcPr>
            <w:tcW w:w="5103"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 xml:space="preserve">Potvrzení </w:t>
            </w:r>
            <w:r w:rsidRPr="008D7966">
              <w:rPr>
                <w:rFonts w:ascii="Calibri" w:eastAsia="Times New Roman" w:hAnsi="Calibri" w:cs="Calibri"/>
                <w:sz w:val="18"/>
                <w:szCs w:val="18"/>
                <w:lang w:eastAsia="cs-CZ"/>
              </w:rPr>
              <w:t>rozsudku 13.4.2015 (řešeno soudně)</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Z7</w:t>
            </w:r>
          </w:p>
        </w:tc>
        <w:tc>
          <w:tcPr>
            <w:tcW w:w="2835" w:type="dxa"/>
            <w:vAlign w:val="center"/>
            <w:hideMark/>
          </w:tcPr>
          <w:p w:rsidR="00E77BB0" w:rsidRPr="008D7966" w:rsidRDefault="000865D6" w:rsidP="004D063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Zahájení vyvlastnění 7.2.2012</w:t>
            </w:r>
          </w:p>
        </w:tc>
        <w:tc>
          <w:tcPr>
            <w:tcW w:w="5103" w:type="dxa"/>
            <w:vAlign w:val="center"/>
            <w:hideMark/>
          </w:tcPr>
          <w:p w:rsidR="00E77BB0" w:rsidRPr="008D7966" w:rsidRDefault="000865D6" w:rsidP="004D063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5.9.2012</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Z8</w:t>
            </w:r>
          </w:p>
        </w:tc>
        <w:tc>
          <w:tcPr>
            <w:tcW w:w="2835"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Rozhodnutí o vyvlastnění 13.7.2009</w:t>
            </w:r>
          </w:p>
        </w:tc>
        <w:tc>
          <w:tcPr>
            <w:tcW w:w="5103"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26.5.2010 - prodloužení termínu do 26.5.2014</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Z9</w:t>
            </w:r>
          </w:p>
        </w:tc>
        <w:tc>
          <w:tcPr>
            <w:tcW w:w="2835"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Zahájení vyvlastnění 12.2.2008</w:t>
            </w:r>
          </w:p>
        </w:tc>
        <w:tc>
          <w:tcPr>
            <w:tcW w:w="5103"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16.9.2015</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Z10</w:t>
            </w:r>
          </w:p>
        </w:tc>
        <w:tc>
          <w:tcPr>
            <w:tcW w:w="2835"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Rozhodnu</w:t>
            </w:r>
            <w:r w:rsidRPr="008D7966">
              <w:rPr>
                <w:rFonts w:ascii="Calibri" w:eastAsia="Times New Roman" w:hAnsi="Calibri" w:cs="Calibri"/>
                <w:sz w:val="18"/>
                <w:szCs w:val="18"/>
                <w:lang w:eastAsia="cs-CZ"/>
              </w:rPr>
              <w:t>tí o vyvlastnění 25.6.2008</w:t>
            </w:r>
          </w:p>
        </w:tc>
        <w:tc>
          <w:tcPr>
            <w:tcW w:w="5103"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9.4.2009 - prodloužení termínu do 9.4.2013</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Z11</w:t>
            </w:r>
          </w:p>
        </w:tc>
        <w:tc>
          <w:tcPr>
            <w:tcW w:w="2835" w:type="dxa"/>
            <w:vAlign w:val="center"/>
            <w:hideMark/>
          </w:tcPr>
          <w:p w:rsidR="00E77BB0" w:rsidRPr="008D7966" w:rsidRDefault="000865D6" w:rsidP="004D063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Rozhodnutí o vyvlastnění 13.8.2008</w:t>
            </w:r>
          </w:p>
        </w:tc>
        <w:tc>
          <w:tcPr>
            <w:tcW w:w="5103"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17.2.2009 - prodloužení termínu do 17.2.2013</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Z12</w:t>
            </w:r>
          </w:p>
        </w:tc>
        <w:tc>
          <w:tcPr>
            <w:tcW w:w="2835"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Rozhodnutí o vyvlastnění 3.3.2008</w:t>
            </w:r>
          </w:p>
        </w:tc>
        <w:tc>
          <w:tcPr>
            <w:tcW w:w="5103"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 xml:space="preserve">Vyvlastnění 4.4.2008 - prodloužení </w:t>
            </w:r>
            <w:r w:rsidRPr="008D7966">
              <w:rPr>
                <w:rFonts w:ascii="Calibri" w:eastAsia="Times New Roman" w:hAnsi="Calibri" w:cs="Calibri"/>
                <w:sz w:val="18"/>
                <w:szCs w:val="18"/>
                <w:lang w:eastAsia="cs-CZ"/>
              </w:rPr>
              <w:t>termínu do 4.4.2012</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Z13</w:t>
            </w:r>
          </w:p>
        </w:tc>
        <w:tc>
          <w:tcPr>
            <w:tcW w:w="2835"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Žádost o vyvlastnění 27.1.2009</w:t>
            </w:r>
          </w:p>
        </w:tc>
        <w:tc>
          <w:tcPr>
            <w:tcW w:w="5103"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27.1.2009 - prodloužení termínu do 27.1.2013</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Z14</w:t>
            </w:r>
          </w:p>
        </w:tc>
        <w:tc>
          <w:tcPr>
            <w:tcW w:w="2835"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Žádost o vyvlastnění 15.2.2008</w:t>
            </w:r>
          </w:p>
        </w:tc>
        <w:tc>
          <w:tcPr>
            <w:tcW w:w="5103"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12.1.2009</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Z15</w:t>
            </w:r>
          </w:p>
        </w:tc>
        <w:tc>
          <w:tcPr>
            <w:tcW w:w="2835"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Žádost o vyvlastnění 7.4.2008</w:t>
            </w:r>
          </w:p>
        </w:tc>
        <w:tc>
          <w:tcPr>
            <w:tcW w:w="5103" w:type="dxa"/>
            <w:vAlign w:val="center"/>
            <w:hideMark/>
          </w:tcPr>
          <w:p w:rsidR="00E77BB0" w:rsidRPr="008D7966" w:rsidRDefault="000865D6" w:rsidP="004D0631">
            <w:pPr>
              <w:spacing w:before="0"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 xml:space="preserve">Vyvlastnění 30.4.2009 - prodloužení termínu do </w:t>
            </w:r>
            <w:r w:rsidRPr="008D7966">
              <w:rPr>
                <w:rFonts w:ascii="Calibri" w:eastAsia="Times New Roman" w:hAnsi="Calibri" w:cs="Calibri"/>
                <w:sz w:val="18"/>
                <w:szCs w:val="18"/>
                <w:lang w:eastAsia="cs-CZ"/>
              </w:rPr>
              <w:t>30.4.2013</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4D0631">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Z16</w:t>
            </w:r>
          </w:p>
        </w:tc>
        <w:tc>
          <w:tcPr>
            <w:tcW w:w="2835"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Zahájení vyvlastnění 18.3.2008</w:t>
            </w:r>
          </w:p>
        </w:tc>
        <w:tc>
          <w:tcPr>
            <w:tcW w:w="5103" w:type="dxa"/>
            <w:vAlign w:val="center"/>
            <w:hideMark/>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Vyvlastnění 17.2.2009 - prodloužení termínu do 17.2.2013</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8E5DAB">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Z17</w:t>
            </w:r>
            <w:r w:rsidR="008E5DAB">
              <w:rPr>
                <w:rFonts w:ascii="Calibri" w:eastAsia="Times New Roman" w:hAnsi="Calibri" w:cs="Calibri"/>
                <w:sz w:val="18"/>
                <w:szCs w:val="18"/>
                <w:lang w:eastAsia="cs-CZ"/>
              </w:rPr>
              <w:t xml:space="preserve"> - </w:t>
            </w:r>
            <w:r w:rsidRPr="008D7966">
              <w:rPr>
                <w:rFonts w:ascii="Calibri" w:eastAsia="Times New Roman" w:hAnsi="Calibri" w:cs="Calibri"/>
                <w:sz w:val="18"/>
                <w:szCs w:val="18"/>
                <w:lang w:eastAsia="cs-CZ"/>
              </w:rPr>
              <w:t>kVN a optotrubka</w:t>
            </w:r>
          </w:p>
        </w:tc>
        <w:tc>
          <w:tcPr>
            <w:tcW w:w="2835" w:type="dxa"/>
            <w:vAlign w:val="center"/>
          </w:tcPr>
          <w:p w:rsidR="00E77BB0" w:rsidRPr="008D7966" w:rsidRDefault="000865D6" w:rsidP="004D063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Datum podání žádosti o zahájení vyvlastňovacího řízení: 4. 7. 2018</w:t>
            </w:r>
          </w:p>
        </w:tc>
        <w:tc>
          <w:tcPr>
            <w:tcW w:w="5103" w:type="dxa"/>
            <w:vAlign w:val="center"/>
          </w:tcPr>
          <w:p w:rsidR="00E77BB0" w:rsidRPr="008D7966" w:rsidRDefault="000865D6" w:rsidP="004D0631">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 xml:space="preserve">Oznámení o zahájení vyvlastňovacího řízení ze dne 28. 11. </w:t>
            </w:r>
            <w:r w:rsidRPr="008D7966">
              <w:rPr>
                <w:rFonts w:ascii="Calibri" w:eastAsia="Times New Roman" w:hAnsi="Calibri" w:cs="Calibri"/>
                <w:sz w:val="18"/>
                <w:szCs w:val="18"/>
                <w:lang w:eastAsia="cs-CZ"/>
              </w:rPr>
              <w:t>2018. Žádný další úkon ve věci nebyl dosud proveden.</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E77BB0" w:rsidRPr="008D7966" w:rsidRDefault="000865D6" w:rsidP="008E5DAB">
            <w:pPr>
              <w:spacing w:before="0" w:after="0"/>
              <w:jc w:val="left"/>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Z18</w:t>
            </w:r>
            <w:r w:rsidR="008E5DAB">
              <w:rPr>
                <w:rFonts w:ascii="Calibri" w:eastAsia="Times New Roman" w:hAnsi="Calibri" w:cs="Calibri"/>
                <w:sz w:val="18"/>
                <w:szCs w:val="18"/>
                <w:lang w:eastAsia="cs-CZ"/>
              </w:rPr>
              <w:t xml:space="preserve"> - </w:t>
            </w:r>
            <w:r w:rsidRPr="008D7966">
              <w:rPr>
                <w:rFonts w:ascii="Calibri" w:eastAsia="Times New Roman" w:hAnsi="Calibri" w:cs="Calibri"/>
                <w:sz w:val="18"/>
                <w:szCs w:val="18"/>
                <w:lang w:eastAsia="cs-CZ"/>
              </w:rPr>
              <w:t>kVN a optotrubka</w:t>
            </w:r>
          </w:p>
        </w:tc>
        <w:tc>
          <w:tcPr>
            <w:tcW w:w="2835" w:type="dxa"/>
            <w:vAlign w:val="center"/>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Datum podání žádosti o zahájení vyvlastňovacího řízení: 4. 7. 2018</w:t>
            </w:r>
          </w:p>
        </w:tc>
        <w:tc>
          <w:tcPr>
            <w:tcW w:w="5103" w:type="dxa"/>
            <w:vAlign w:val="center"/>
          </w:tcPr>
          <w:p w:rsidR="00E77BB0" w:rsidRPr="008D7966" w:rsidRDefault="000865D6" w:rsidP="004D0631">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cs-CZ"/>
              </w:rPr>
            </w:pPr>
            <w:r w:rsidRPr="008D7966">
              <w:rPr>
                <w:rFonts w:ascii="Calibri" w:eastAsia="Times New Roman" w:hAnsi="Calibri" w:cs="Calibri"/>
                <w:sz w:val="18"/>
                <w:szCs w:val="18"/>
                <w:lang w:eastAsia="cs-CZ"/>
              </w:rPr>
              <w:t>Oznámení o zahájení vyvlastňovacího řízení ze dne 28. 11. 2018. Žádný další úkon ve věci nebyl dosud proveden.</w:t>
            </w:r>
          </w:p>
        </w:tc>
      </w:tr>
    </w:tbl>
    <w:p w:rsidR="008840FA" w:rsidRDefault="008840FA" w:rsidP="00665155">
      <w:pPr>
        <w:pStyle w:val="Text-Normaln"/>
        <w:rPr>
          <w:b/>
          <w:i/>
        </w:rPr>
      </w:pPr>
    </w:p>
    <w:p w:rsidR="00D86919" w:rsidRPr="001824A8" w:rsidRDefault="000865D6" w:rsidP="001824A8">
      <w:pPr>
        <w:pStyle w:val="Normln-tun"/>
        <w:rPr>
          <w:u w:val="single"/>
        </w:rPr>
      </w:pPr>
      <w:r w:rsidRPr="001824A8">
        <w:rPr>
          <w:u w:val="single"/>
        </w:rPr>
        <w:t>Investoři do budování elektronických sítí</w:t>
      </w:r>
    </w:p>
    <w:p w:rsidR="00647278" w:rsidRPr="001824A8" w:rsidRDefault="000865D6" w:rsidP="001824A8">
      <w:pPr>
        <w:pStyle w:val="Normln-tun"/>
        <w:rPr>
          <w:i/>
          <w:iCs/>
        </w:rPr>
      </w:pPr>
      <w:r w:rsidRPr="001824A8">
        <w:rPr>
          <w:i/>
          <w:iCs/>
        </w:rPr>
        <w:t>Duplicitní projednávání práva k cizím pozemkům</w:t>
      </w:r>
    </w:p>
    <w:p w:rsidR="00647278" w:rsidRPr="001824A8" w:rsidRDefault="000865D6">
      <w:pPr>
        <w:pStyle w:val="Normln-tun"/>
        <w:numPr>
          <w:ilvl w:val="0"/>
          <w:numId w:val="95"/>
        </w:numPr>
        <w:rPr>
          <w:i/>
          <w:iCs/>
        </w:rPr>
      </w:pPr>
      <w:r w:rsidRPr="001824A8">
        <w:rPr>
          <w:i/>
          <w:iCs/>
        </w:rPr>
        <w:t>V územním řízení se řeší umístění staveb takových sítí, kdy jsou práva vlastníků plně garantována</w:t>
      </w:r>
      <w:r w:rsidR="00885B07" w:rsidRPr="001824A8">
        <w:rPr>
          <w:i/>
          <w:iCs/>
        </w:rPr>
        <w:t xml:space="preserve"> </w:t>
      </w:r>
      <w:r w:rsidRPr="001824A8">
        <w:rPr>
          <w:i/>
          <w:iCs/>
        </w:rPr>
        <w:t>až po správní a soudní přezkum. Pravomocné územní rozhodnutí z územn</w:t>
      </w:r>
      <w:r w:rsidRPr="001824A8">
        <w:rPr>
          <w:i/>
          <w:iCs/>
        </w:rPr>
        <w:t>ího řízení vzešlé by tedy mělo být</w:t>
      </w:r>
      <w:r w:rsidR="00885B07" w:rsidRPr="001824A8">
        <w:rPr>
          <w:i/>
          <w:iCs/>
        </w:rPr>
        <w:t xml:space="preserve"> </w:t>
      </w:r>
      <w:r w:rsidRPr="001824A8">
        <w:rPr>
          <w:i/>
          <w:iCs/>
        </w:rPr>
        <w:t>pro investora zárukou, že stavba bude moci být realizována na konkrétních pozemcích, neboť případné námitky</w:t>
      </w:r>
      <w:r w:rsidR="00885B07" w:rsidRPr="001824A8">
        <w:rPr>
          <w:i/>
          <w:iCs/>
        </w:rPr>
        <w:t xml:space="preserve"> </w:t>
      </w:r>
      <w:r w:rsidRPr="001824A8">
        <w:rPr>
          <w:i/>
          <w:iCs/>
        </w:rPr>
        <w:t>vlastníků byly tímto rozhodnutím vypořádány.</w:t>
      </w:r>
      <w:r w:rsidR="002E377E" w:rsidRPr="001824A8">
        <w:rPr>
          <w:i/>
          <w:iCs/>
        </w:rPr>
        <w:t xml:space="preserve"> </w:t>
      </w:r>
      <w:r w:rsidRPr="001824A8">
        <w:rPr>
          <w:i/>
          <w:iCs/>
        </w:rPr>
        <w:t xml:space="preserve">Ve druhé etapě – přímém jednání s vlastníky dotčených nemovitostí – </w:t>
      </w:r>
      <w:r w:rsidRPr="001824A8">
        <w:rPr>
          <w:i/>
          <w:iCs/>
        </w:rPr>
        <w:t>už by mělo jít pouze o projednání</w:t>
      </w:r>
      <w:r w:rsidR="00885B07" w:rsidRPr="001824A8">
        <w:rPr>
          <w:i/>
          <w:iCs/>
        </w:rPr>
        <w:t xml:space="preserve"> </w:t>
      </w:r>
      <w:r w:rsidRPr="001824A8">
        <w:rPr>
          <w:i/>
          <w:iCs/>
        </w:rPr>
        <w:t>výše náhrady za omezení vlastnického práva. Výkon oprávnění vzniklých na základě pravomocného územního</w:t>
      </w:r>
      <w:r w:rsidR="00885B07" w:rsidRPr="001824A8">
        <w:rPr>
          <w:i/>
          <w:iCs/>
        </w:rPr>
        <w:t xml:space="preserve"> </w:t>
      </w:r>
      <w:r w:rsidRPr="001824A8">
        <w:rPr>
          <w:i/>
          <w:iCs/>
        </w:rPr>
        <w:t>rozhodnutí by tímto projednáváním neměl být omezen.</w:t>
      </w:r>
      <w:r w:rsidR="002E377E" w:rsidRPr="001824A8">
        <w:rPr>
          <w:i/>
          <w:iCs/>
        </w:rPr>
        <w:t xml:space="preserve"> </w:t>
      </w:r>
      <w:r w:rsidRPr="001824A8">
        <w:rPr>
          <w:i/>
          <w:iCs/>
        </w:rPr>
        <w:t>Skutečnost je však jiná. Zákon č. 127/2005 Sb., o elektronických ko</w:t>
      </w:r>
      <w:r w:rsidRPr="001824A8">
        <w:rPr>
          <w:i/>
          <w:iCs/>
        </w:rPr>
        <w:t>munikacích, (dále ZoeK) v § 104, popřípadě</w:t>
      </w:r>
      <w:r w:rsidR="00885B07" w:rsidRPr="001824A8">
        <w:rPr>
          <w:i/>
          <w:iCs/>
        </w:rPr>
        <w:t xml:space="preserve"> </w:t>
      </w:r>
      <w:r w:rsidRPr="001824A8">
        <w:rPr>
          <w:i/>
          <w:iCs/>
        </w:rPr>
        <w:t>§ 147 stanoví povinnost před zahájením výstavby na konkrétním pozemku znovu projednávat právo umístit na</w:t>
      </w:r>
      <w:r w:rsidR="00885B07" w:rsidRPr="001824A8">
        <w:rPr>
          <w:i/>
          <w:iCs/>
        </w:rPr>
        <w:t xml:space="preserve"> </w:t>
      </w:r>
      <w:r w:rsidRPr="001824A8">
        <w:rPr>
          <w:i/>
          <w:iCs/>
        </w:rPr>
        <w:t>něj síť (uzavřít písemnou smlouvu s vlastníkem nemovitosti) nebo před zahájením prací na něm vyvolat vyvlast</w:t>
      </w:r>
      <w:r w:rsidRPr="001824A8">
        <w:rPr>
          <w:i/>
          <w:iCs/>
        </w:rPr>
        <w:t>ňovací</w:t>
      </w:r>
      <w:r w:rsidR="00885B07" w:rsidRPr="001824A8">
        <w:rPr>
          <w:i/>
          <w:iCs/>
        </w:rPr>
        <w:t xml:space="preserve"> </w:t>
      </w:r>
      <w:r w:rsidRPr="001824A8">
        <w:rPr>
          <w:i/>
          <w:iCs/>
        </w:rPr>
        <w:t>řízení, opět s možností odvolání, příp. soudního přezkumu, tentokrát však již za situace, kdy na jiných</w:t>
      </w:r>
      <w:r w:rsidR="00885B07" w:rsidRPr="001824A8">
        <w:rPr>
          <w:i/>
          <w:iCs/>
        </w:rPr>
        <w:t xml:space="preserve"> </w:t>
      </w:r>
      <w:r w:rsidRPr="001824A8">
        <w:rPr>
          <w:i/>
          <w:iCs/>
        </w:rPr>
        <w:t>pozemcích došlo k dohodě a práce byly již zahájeny či provedeny. Do uzavření smlouvy, popř. vyvlastnění jsou</w:t>
      </w:r>
      <w:r w:rsidR="00885B07" w:rsidRPr="001824A8">
        <w:rPr>
          <w:i/>
          <w:iCs/>
        </w:rPr>
        <w:t xml:space="preserve"> </w:t>
      </w:r>
      <w:r w:rsidRPr="001824A8">
        <w:rPr>
          <w:i/>
          <w:iCs/>
        </w:rPr>
        <w:t xml:space="preserve">oprávnění investora vzniklá na </w:t>
      </w:r>
      <w:r w:rsidRPr="001824A8">
        <w:rPr>
          <w:i/>
          <w:iCs/>
        </w:rPr>
        <w:t>základě pravomocného územního rozhodnutí neuplatnitelná. Jde o duplicitu,</w:t>
      </w:r>
      <w:r w:rsidR="00885B07" w:rsidRPr="001824A8">
        <w:rPr>
          <w:i/>
          <w:iCs/>
        </w:rPr>
        <w:t xml:space="preserve"> </w:t>
      </w:r>
      <w:r w:rsidRPr="001824A8">
        <w:rPr>
          <w:i/>
          <w:iCs/>
        </w:rPr>
        <w:t>která nemá odůvodnění, neboť vlastně činí z pravomocného územního rozhodnutí nezávazný dokument.</w:t>
      </w:r>
      <w:r w:rsidR="002E377E" w:rsidRPr="001824A8">
        <w:rPr>
          <w:i/>
          <w:iCs/>
        </w:rPr>
        <w:t xml:space="preserve"> </w:t>
      </w:r>
      <w:r w:rsidRPr="001824A8">
        <w:rPr>
          <w:i/>
          <w:iCs/>
        </w:rPr>
        <w:t>Přitom nejde jen o problém nesouhlasících vlastníků, ale také o problém vlastníků ned</w:t>
      </w:r>
      <w:r w:rsidRPr="001824A8">
        <w:rPr>
          <w:i/>
          <w:iCs/>
        </w:rPr>
        <w:t>osažitelných, nekomunikujících,</w:t>
      </w:r>
      <w:r w:rsidR="00885B07" w:rsidRPr="001824A8">
        <w:rPr>
          <w:i/>
          <w:iCs/>
        </w:rPr>
        <w:t xml:space="preserve"> </w:t>
      </w:r>
      <w:r w:rsidRPr="001824A8">
        <w:rPr>
          <w:i/>
          <w:iCs/>
        </w:rPr>
        <w:t>dosud neznámých (pozemkové úpravy), duplicitních, v exekuci, problém neuzavřených dědických</w:t>
      </w:r>
      <w:r w:rsidR="00885B07" w:rsidRPr="001824A8">
        <w:rPr>
          <w:i/>
          <w:iCs/>
        </w:rPr>
        <w:t xml:space="preserve"> </w:t>
      </w:r>
      <w:r w:rsidRPr="001824A8">
        <w:rPr>
          <w:i/>
          <w:iCs/>
        </w:rPr>
        <w:t>řízení atd. Všude tam je uzavření smlouvy o smlouvě budoucí, která je uvedeným ustanovením vyžadována,</w:t>
      </w:r>
      <w:r w:rsidR="00885B07" w:rsidRPr="001824A8">
        <w:rPr>
          <w:i/>
          <w:iCs/>
        </w:rPr>
        <w:t xml:space="preserve"> </w:t>
      </w:r>
      <w:r w:rsidRPr="001824A8">
        <w:rPr>
          <w:i/>
          <w:iCs/>
        </w:rPr>
        <w:t>v rozumném čase právně či pra</w:t>
      </w:r>
      <w:r w:rsidRPr="001824A8">
        <w:rPr>
          <w:i/>
          <w:iCs/>
        </w:rPr>
        <w:t>kticky nereálné. Stavební úřady v řadě případů tento problém obcházejí tím, že vyžadují smlouvy s vlastníky dotčených nemovitostí</w:t>
      </w:r>
      <w:r w:rsidR="00885B07" w:rsidRPr="001824A8">
        <w:rPr>
          <w:i/>
          <w:iCs/>
        </w:rPr>
        <w:t xml:space="preserve"> </w:t>
      </w:r>
      <w:r w:rsidRPr="001824A8">
        <w:rPr>
          <w:i/>
          <w:iCs/>
        </w:rPr>
        <w:t>již v rámci územního řízení.</w:t>
      </w:r>
      <w:r w:rsidR="002E377E" w:rsidRPr="001824A8">
        <w:rPr>
          <w:i/>
          <w:iCs/>
        </w:rPr>
        <w:t xml:space="preserve"> </w:t>
      </w:r>
      <w:r w:rsidRPr="001824A8">
        <w:rPr>
          <w:i/>
          <w:iCs/>
        </w:rPr>
        <w:t>Podle § 104 odst. 3 ZoeK se vyžaduje: „Pro zajištění výkonu oprávnění uvedených v odstavcích 1</w:t>
      </w:r>
      <w:r w:rsidR="00885B07" w:rsidRPr="001824A8">
        <w:rPr>
          <w:i/>
          <w:iCs/>
        </w:rPr>
        <w:t xml:space="preserve"> </w:t>
      </w:r>
      <w:r w:rsidRPr="001824A8">
        <w:rPr>
          <w:i/>
          <w:iCs/>
        </w:rPr>
        <w:t xml:space="preserve">a </w:t>
      </w:r>
      <w:r w:rsidRPr="001824A8">
        <w:rPr>
          <w:i/>
          <w:iCs/>
        </w:rPr>
        <w:t>2 písm. b) a c) uzavře podnikatel zajišťující veřejnou komunikační síť s vlastníkem dotčené nemovitosti</w:t>
      </w:r>
      <w:r w:rsidR="00885B07" w:rsidRPr="001824A8">
        <w:rPr>
          <w:i/>
          <w:iCs/>
        </w:rPr>
        <w:t xml:space="preserve"> </w:t>
      </w:r>
      <w:r w:rsidRPr="001824A8">
        <w:rPr>
          <w:i/>
          <w:iCs/>
        </w:rPr>
        <w:lastRenderedPageBreak/>
        <w:t>písemnou smlouvu…“</w:t>
      </w:r>
      <w:r w:rsidR="00885B07" w:rsidRPr="001824A8">
        <w:rPr>
          <w:i/>
          <w:iCs/>
        </w:rPr>
        <w:t xml:space="preserve"> </w:t>
      </w:r>
      <w:r w:rsidRPr="001824A8">
        <w:rPr>
          <w:i/>
          <w:iCs/>
        </w:rPr>
        <w:t>Z toho vyplývá, že než k výkonu oprávnění realizovat podzemní komunikační vedení dojde, musí se uzavřít smlouva</w:t>
      </w:r>
      <w:r w:rsidR="00885B07" w:rsidRPr="001824A8">
        <w:rPr>
          <w:i/>
          <w:iCs/>
        </w:rPr>
        <w:t xml:space="preserve"> </w:t>
      </w:r>
      <w:r w:rsidRPr="001824A8">
        <w:rPr>
          <w:i/>
          <w:iCs/>
        </w:rPr>
        <w:t>o smlouvě budoucí, ta</w:t>
      </w:r>
      <w:r w:rsidRPr="001824A8">
        <w:rPr>
          <w:i/>
          <w:iCs/>
        </w:rPr>
        <w:t>k jak je v tomto ustanovení uvedeno. Nedojde-li k dohodě o ní, je podle odst. 4 téhož §</w:t>
      </w:r>
      <w:r w:rsidR="00885B07" w:rsidRPr="001824A8">
        <w:rPr>
          <w:i/>
          <w:iCs/>
        </w:rPr>
        <w:t xml:space="preserve"> </w:t>
      </w:r>
      <w:r w:rsidRPr="001824A8">
        <w:rPr>
          <w:i/>
          <w:iCs/>
        </w:rPr>
        <w:t>možno o zřízení takového titulu požádat vyvlastňovací úřad. Ten ale jedná vlastně (kromě výše náhrady) o tomtéž,</w:t>
      </w:r>
      <w:r w:rsidR="00885B07" w:rsidRPr="001824A8">
        <w:rPr>
          <w:i/>
          <w:iCs/>
        </w:rPr>
        <w:t xml:space="preserve"> </w:t>
      </w:r>
      <w:r w:rsidRPr="001824A8">
        <w:rPr>
          <w:i/>
          <w:iCs/>
        </w:rPr>
        <w:t>o čem bylo již rozhodnuto v územním řízení.</w:t>
      </w:r>
    </w:p>
    <w:p w:rsidR="00647278" w:rsidRPr="001824A8" w:rsidRDefault="000865D6" w:rsidP="001824A8">
      <w:pPr>
        <w:pStyle w:val="Normln-tun"/>
        <w:rPr>
          <w:i/>
          <w:iCs/>
        </w:rPr>
      </w:pPr>
      <w:r w:rsidRPr="001824A8">
        <w:rPr>
          <w:i/>
          <w:iCs/>
        </w:rPr>
        <w:t>Obtíže s ap</w:t>
      </w:r>
      <w:r w:rsidRPr="001824A8">
        <w:rPr>
          <w:i/>
          <w:iCs/>
        </w:rPr>
        <w:t>likací vyvlastňovacího zákona</w:t>
      </w:r>
    </w:p>
    <w:p w:rsidR="00647278" w:rsidRPr="001824A8" w:rsidRDefault="000865D6">
      <w:pPr>
        <w:pStyle w:val="Normln-tun"/>
        <w:numPr>
          <w:ilvl w:val="0"/>
          <w:numId w:val="95"/>
        </w:numPr>
        <w:rPr>
          <w:i/>
          <w:iCs/>
        </w:rPr>
      </w:pPr>
      <w:r w:rsidRPr="001824A8">
        <w:rPr>
          <w:i/>
          <w:iCs/>
        </w:rPr>
        <w:t>Podle § 147 v odst. 2 zákona o elektronických komunikacích může vyvlastňovací úřad – nedojde-li k dohodě –</w:t>
      </w:r>
      <w:r w:rsidR="00885B07" w:rsidRPr="001824A8">
        <w:rPr>
          <w:i/>
          <w:iCs/>
        </w:rPr>
        <w:t xml:space="preserve"> </w:t>
      </w:r>
      <w:r w:rsidRPr="001824A8">
        <w:rPr>
          <w:i/>
          <w:iCs/>
        </w:rPr>
        <w:t>rozhodnout jen do doby, než bylo s výkonem oprávnění započato. Není tedy možné na sporném pozemku stavbu</w:t>
      </w:r>
      <w:r w:rsidR="00885B07" w:rsidRPr="001824A8">
        <w:rPr>
          <w:i/>
          <w:iCs/>
        </w:rPr>
        <w:t xml:space="preserve"> </w:t>
      </w:r>
      <w:r w:rsidRPr="001824A8">
        <w:rPr>
          <w:i/>
          <w:iCs/>
        </w:rPr>
        <w:t>realizovat a p</w:t>
      </w:r>
      <w:r w:rsidRPr="001824A8">
        <w:rPr>
          <w:i/>
          <w:iCs/>
        </w:rPr>
        <w:t>oté, až vyvlastňovací úřad zjistí vlastníka, dořešit jeho prostřednictvím výši náhrady. Přitom však</w:t>
      </w:r>
      <w:r w:rsidR="00885B07" w:rsidRPr="001824A8">
        <w:rPr>
          <w:i/>
          <w:iCs/>
        </w:rPr>
        <w:t xml:space="preserve"> </w:t>
      </w:r>
      <w:r w:rsidRPr="001824A8">
        <w:rPr>
          <w:i/>
          <w:iCs/>
        </w:rPr>
        <w:t>řešení cestou vyvlastňovacího řízení není rovněž schůdné.</w:t>
      </w:r>
      <w:r w:rsidR="002E377E" w:rsidRPr="001824A8">
        <w:rPr>
          <w:i/>
          <w:iCs/>
        </w:rPr>
        <w:t xml:space="preserve"> </w:t>
      </w:r>
      <w:r w:rsidRPr="001824A8">
        <w:rPr>
          <w:i/>
          <w:iCs/>
        </w:rPr>
        <w:t>Poslední novela vyvlastňovacího zákona č.</w:t>
      </w:r>
      <w:r w:rsidR="00F02636" w:rsidRPr="001824A8">
        <w:rPr>
          <w:i/>
          <w:iCs/>
        </w:rPr>
        <w:t> </w:t>
      </w:r>
      <w:r w:rsidRPr="001824A8">
        <w:rPr>
          <w:i/>
          <w:iCs/>
        </w:rPr>
        <w:t>405/2012 Sb. uložila navrhovatelům vyvlastnění v § 18 od</w:t>
      </w:r>
      <w:r w:rsidRPr="001824A8">
        <w:rPr>
          <w:i/>
          <w:iCs/>
        </w:rPr>
        <w:t>st.</w:t>
      </w:r>
      <w:r w:rsidR="00885B07" w:rsidRPr="001824A8">
        <w:rPr>
          <w:i/>
          <w:iCs/>
        </w:rPr>
        <w:t xml:space="preserve"> </w:t>
      </w:r>
      <w:r w:rsidRPr="001824A8">
        <w:rPr>
          <w:i/>
          <w:iCs/>
        </w:rPr>
        <w:t>3 písm. a) in fine předkládat k návrhu v případech, že se s vlastníky nepodaří dojít k dohodě nebo – což</w:t>
      </w:r>
      <w:r w:rsidR="00885B07" w:rsidRPr="001824A8">
        <w:rPr>
          <w:i/>
          <w:iCs/>
        </w:rPr>
        <w:t xml:space="preserve"> </w:t>
      </w:r>
      <w:r w:rsidRPr="001824A8">
        <w:rPr>
          <w:i/>
          <w:iCs/>
        </w:rPr>
        <w:t>je častý případ shora uvedených komplikací – není-li dohoda z jiných důvodů možná, povinně geometrický</w:t>
      </w:r>
      <w:r w:rsidR="00885B07" w:rsidRPr="001824A8">
        <w:rPr>
          <w:i/>
          <w:iCs/>
        </w:rPr>
        <w:t xml:space="preserve"> </w:t>
      </w:r>
      <w:r w:rsidRPr="001824A8">
        <w:rPr>
          <w:i/>
          <w:iCs/>
        </w:rPr>
        <w:t>plán vymezující s geodetickou přesností rozs</w:t>
      </w:r>
      <w:r w:rsidRPr="001824A8">
        <w:rPr>
          <w:i/>
          <w:iCs/>
        </w:rPr>
        <w:t>ah věcného břemene. To je možné předložit u staveb</w:t>
      </w:r>
      <w:r w:rsidR="00885B07" w:rsidRPr="001824A8">
        <w:rPr>
          <w:i/>
          <w:iCs/>
        </w:rPr>
        <w:t xml:space="preserve"> </w:t>
      </w:r>
      <w:r w:rsidRPr="001824A8">
        <w:rPr>
          <w:i/>
          <w:iCs/>
        </w:rPr>
        <w:t>silnic, železnic, přehrad, kde je možné přesné vymezení pozemků, jež mají být plně vyvlastněny,</w:t>
      </w:r>
      <w:r w:rsidR="00885B07" w:rsidRPr="001824A8">
        <w:rPr>
          <w:i/>
          <w:iCs/>
        </w:rPr>
        <w:t xml:space="preserve"> </w:t>
      </w:r>
      <w:r w:rsidRPr="001824A8">
        <w:rPr>
          <w:i/>
          <w:iCs/>
        </w:rPr>
        <w:t>tj. má dojít k odnětí vlastnického práva předem. U podzemních komunikačních vedení je však vedení</w:t>
      </w:r>
      <w:r w:rsidR="00885B07" w:rsidRPr="001824A8">
        <w:rPr>
          <w:i/>
          <w:iCs/>
        </w:rPr>
        <w:t xml:space="preserve"> </w:t>
      </w:r>
      <w:r w:rsidRPr="001824A8">
        <w:rPr>
          <w:i/>
          <w:iCs/>
        </w:rPr>
        <w:t>konkrétní s</w:t>
      </w:r>
      <w:r w:rsidRPr="001824A8">
        <w:rPr>
          <w:i/>
          <w:iCs/>
        </w:rPr>
        <w:t>ítě možno upřesnit s geodetickou přesností až po výstavbě. Za této nové situace je využití</w:t>
      </w:r>
      <w:r w:rsidR="00885B07" w:rsidRPr="001824A8">
        <w:rPr>
          <w:i/>
          <w:iCs/>
        </w:rPr>
        <w:t xml:space="preserve"> </w:t>
      </w:r>
      <w:r w:rsidRPr="001824A8">
        <w:rPr>
          <w:i/>
          <w:iCs/>
        </w:rPr>
        <w:t>vyvlastňovacího zákona pro sítě technické infrastruktury po poslední novele zcela nepoužitelné.</w:t>
      </w:r>
    </w:p>
    <w:p w:rsidR="00647278" w:rsidRPr="001824A8" w:rsidRDefault="000865D6" w:rsidP="001824A8">
      <w:pPr>
        <w:pStyle w:val="Normln-tun"/>
        <w:rPr>
          <w:i/>
          <w:iCs/>
        </w:rPr>
      </w:pPr>
      <w:r w:rsidRPr="001824A8">
        <w:rPr>
          <w:i/>
          <w:iCs/>
        </w:rPr>
        <w:t>Spory o veřejný zájem</w:t>
      </w:r>
    </w:p>
    <w:p w:rsidR="00647278" w:rsidRPr="001824A8" w:rsidRDefault="000865D6">
      <w:pPr>
        <w:pStyle w:val="Normln-tun"/>
        <w:numPr>
          <w:ilvl w:val="0"/>
          <w:numId w:val="95"/>
        </w:numPr>
        <w:rPr>
          <w:i/>
          <w:iCs/>
        </w:rPr>
      </w:pPr>
      <w:r w:rsidRPr="001824A8">
        <w:rPr>
          <w:i/>
          <w:iCs/>
        </w:rPr>
        <w:t>Konečně je třeba zmínit i další významnou skute</w:t>
      </w:r>
      <w:r w:rsidRPr="001824A8">
        <w:rPr>
          <w:i/>
          <w:iCs/>
        </w:rPr>
        <w:t>čnost, kterou je třeba dořešit, a to spory o veřejný zájem.</w:t>
      </w:r>
      <w:r w:rsidR="00885B07" w:rsidRPr="001824A8">
        <w:rPr>
          <w:i/>
          <w:iCs/>
        </w:rPr>
        <w:t xml:space="preserve"> </w:t>
      </w:r>
      <w:r w:rsidRPr="001824A8">
        <w:rPr>
          <w:i/>
          <w:iCs/>
        </w:rPr>
        <w:t>Ačkoliv stavby elektronických komunikací jako stavby ve veřejném zájmu označuje v souladu s výše citovanou</w:t>
      </w:r>
      <w:r w:rsidR="00885B07" w:rsidRPr="001824A8">
        <w:rPr>
          <w:i/>
          <w:iCs/>
        </w:rPr>
        <w:t xml:space="preserve"> </w:t>
      </w:r>
      <w:r w:rsidRPr="001824A8">
        <w:rPr>
          <w:i/>
          <w:iCs/>
        </w:rPr>
        <w:t>směrnicí EU přímo zákon o elektronických komunikacích, není toto ustanovení zákona samo o</w:t>
      </w:r>
      <w:r w:rsidRPr="001824A8">
        <w:rPr>
          <w:i/>
          <w:iCs/>
        </w:rPr>
        <w:t xml:space="preserve"> sobě pokládáno</w:t>
      </w:r>
      <w:r w:rsidR="00885B07" w:rsidRPr="001824A8">
        <w:rPr>
          <w:i/>
          <w:iCs/>
        </w:rPr>
        <w:t xml:space="preserve"> </w:t>
      </w:r>
      <w:r w:rsidRPr="001824A8">
        <w:rPr>
          <w:i/>
          <w:iCs/>
        </w:rPr>
        <w:t>některými stavebními úřady za dostatečné pro aplikaci tohoto veřejného zájmu v případě konkrétní stavby. Přitom</w:t>
      </w:r>
      <w:r w:rsidR="00885B07" w:rsidRPr="001824A8">
        <w:rPr>
          <w:i/>
          <w:iCs/>
        </w:rPr>
        <w:t xml:space="preserve"> </w:t>
      </w:r>
      <w:r w:rsidRPr="001824A8">
        <w:rPr>
          <w:i/>
          <w:iCs/>
        </w:rPr>
        <w:t>dochází ke kurióznímu výkladu právního předpisu</w:t>
      </w:r>
      <w:r w:rsidR="002E377E" w:rsidRPr="001824A8">
        <w:rPr>
          <w:i/>
          <w:iCs/>
        </w:rPr>
        <w:t xml:space="preserve">. </w:t>
      </w:r>
      <w:r w:rsidRPr="001824A8">
        <w:rPr>
          <w:i/>
          <w:iCs/>
        </w:rPr>
        <w:t>Zákon o elektronických komunikacích stanoví:</w:t>
      </w:r>
      <w:r w:rsidR="002E377E" w:rsidRPr="001824A8">
        <w:rPr>
          <w:i/>
          <w:iCs/>
        </w:rPr>
        <w:t xml:space="preserve"> </w:t>
      </w:r>
      <w:r w:rsidRPr="001824A8">
        <w:rPr>
          <w:i/>
          <w:iCs/>
        </w:rPr>
        <w:t>§ 7 (2) Zajišťování veřejné komuni</w:t>
      </w:r>
      <w:r w:rsidRPr="001824A8">
        <w:rPr>
          <w:i/>
          <w:iCs/>
        </w:rPr>
        <w:t>kační sítě, poskytování veřejně dostupné služby elektronických</w:t>
      </w:r>
      <w:r w:rsidR="00885B07" w:rsidRPr="001824A8">
        <w:rPr>
          <w:i/>
          <w:iCs/>
        </w:rPr>
        <w:t xml:space="preserve"> </w:t>
      </w:r>
      <w:r w:rsidRPr="001824A8">
        <w:rPr>
          <w:i/>
          <w:iCs/>
        </w:rPr>
        <w:t>komunikací a zajišťování sítí elektronických komunikací pro účely bezpečnosti státu se uskutečňují</w:t>
      </w:r>
      <w:r w:rsidR="00885B07" w:rsidRPr="001824A8">
        <w:rPr>
          <w:i/>
          <w:iCs/>
        </w:rPr>
        <w:t xml:space="preserve"> </w:t>
      </w:r>
      <w:r w:rsidRPr="001824A8">
        <w:rPr>
          <w:i/>
          <w:iCs/>
        </w:rPr>
        <w:t>ve veřejném zájmu.</w:t>
      </w:r>
      <w:r w:rsidR="002E377E" w:rsidRPr="001824A8">
        <w:rPr>
          <w:i/>
          <w:iCs/>
        </w:rPr>
        <w:t xml:space="preserve"> </w:t>
      </w:r>
      <w:r w:rsidRPr="001824A8">
        <w:rPr>
          <w:i/>
          <w:iCs/>
        </w:rPr>
        <w:t xml:space="preserve">Zákon vyjmenovává dvě oblasti – jednak veřejné sítě, jednak speciální sítě </w:t>
      </w:r>
      <w:r w:rsidRPr="001824A8">
        <w:rPr>
          <w:i/>
          <w:iCs/>
        </w:rPr>
        <w:t>pro účely bezpečnosti státu. Některé</w:t>
      </w:r>
      <w:r w:rsidR="00885B07" w:rsidRPr="001824A8">
        <w:rPr>
          <w:i/>
          <w:iCs/>
        </w:rPr>
        <w:t xml:space="preserve"> </w:t>
      </w:r>
      <w:r w:rsidRPr="001824A8">
        <w:rPr>
          <w:i/>
          <w:iCs/>
        </w:rPr>
        <w:t>stavební úřady však mylně vykládají, že podmínka „pro účely bezpečnosti státu“ se vztahuje obecně na oba</w:t>
      </w:r>
      <w:r w:rsidR="00885B07" w:rsidRPr="001824A8">
        <w:rPr>
          <w:i/>
          <w:iCs/>
        </w:rPr>
        <w:t xml:space="preserve"> </w:t>
      </w:r>
      <w:r w:rsidRPr="001824A8">
        <w:rPr>
          <w:i/>
          <w:iCs/>
        </w:rPr>
        <w:t>případy, tj. ke všem sítím elektronických komunikací, a tedy nepokládají realizaci staveb veřejné komunikační</w:t>
      </w:r>
      <w:r w:rsidR="00885B07" w:rsidRPr="001824A8">
        <w:rPr>
          <w:i/>
          <w:iCs/>
        </w:rPr>
        <w:t xml:space="preserve"> </w:t>
      </w:r>
      <w:r w:rsidRPr="001824A8">
        <w:rPr>
          <w:i/>
          <w:iCs/>
        </w:rPr>
        <w:t>sítě</w:t>
      </w:r>
      <w:r w:rsidRPr="001824A8">
        <w:rPr>
          <w:i/>
          <w:iCs/>
        </w:rPr>
        <w:t xml:space="preserve"> nebo stavby zajišťující veřejně dostupnou službu elektronických komunikací za stavby ve veřejném zájmu,</w:t>
      </w:r>
      <w:r w:rsidR="00885B07" w:rsidRPr="001824A8">
        <w:rPr>
          <w:i/>
          <w:iCs/>
        </w:rPr>
        <w:t xml:space="preserve"> </w:t>
      </w:r>
      <w:r w:rsidRPr="001824A8">
        <w:rPr>
          <w:i/>
          <w:iCs/>
        </w:rPr>
        <w:t>pokud současně nesplňují podmínku „pro účely bezpečnosti státu“. Tento gramaticky i systematicky chybný</w:t>
      </w:r>
      <w:r w:rsidR="00885B07" w:rsidRPr="001824A8">
        <w:rPr>
          <w:i/>
          <w:iCs/>
        </w:rPr>
        <w:t xml:space="preserve"> </w:t>
      </w:r>
      <w:r w:rsidRPr="001824A8">
        <w:rPr>
          <w:i/>
          <w:iCs/>
        </w:rPr>
        <w:t>výklad způsobuje, že stavební úřady jsou při ro</w:t>
      </w:r>
      <w:r w:rsidRPr="001824A8">
        <w:rPr>
          <w:i/>
          <w:iCs/>
        </w:rPr>
        <w:t>zhodování o veřejném zájmu v případě staveb elektronické infrastruktury</w:t>
      </w:r>
      <w:r w:rsidR="00885B07" w:rsidRPr="001824A8">
        <w:rPr>
          <w:i/>
          <w:iCs/>
        </w:rPr>
        <w:t xml:space="preserve"> </w:t>
      </w:r>
      <w:r w:rsidRPr="001824A8">
        <w:rPr>
          <w:i/>
          <w:iCs/>
        </w:rPr>
        <w:t>v územních a vyvlastňovacích řízeních nejednotné. Z toho důvodu někdy dokonce v rozporu s §</w:t>
      </w:r>
      <w:r w:rsidR="00885B07" w:rsidRPr="001824A8">
        <w:rPr>
          <w:i/>
          <w:iCs/>
        </w:rPr>
        <w:t xml:space="preserve"> </w:t>
      </w:r>
      <w:r w:rsidRPr="001824A8">
        <w:rPr>
          <w:i/>
          <w:iCs/>
        </w:rPr>
        <w:t xml:space="preserve">86 odst. 3 stavebního zákona ve vazbě na § 104 odst. 4 zákona o elektronických komunikacích </w:t>
      </w:r>
      <w:r w:rsidRPr="001824A8">
        <w:rPr>
          <w:i/>
          <w:iCs/>
        </w:rPr>
        <w:t>vyžadují, aby</w:t>
      </w:r>
      <w:r w:rsidR="00885B07" w:rsidRPr="001824A8">
        <w:rPr>
          <w:i/>
          <w:iCs/>
        </w:rPr>
        <w:t xml:space="preserve"> </w:t>
      </w:r>
      <w:r w:rsidRPr="001824A8">
        <w:rPr>
          <w:i/>
          <w:iCs/>
        </w:rPr>
        <w:t>žadatel o územní rozhodnutí předkládal k návrhu na jeho vydání souhlasy vlastníků dotčených pozemků, včetně</w:t>
      </w:r>
      <w:r w:rsidR="00885B07" w:rsidRPr="001824A8">
        <w:rPr>
          <w:i/>
          <w:iCs/>
        </w:rPr>
        <w:t xml:space="preserve"> </w:t>
      </w:r>
      <w:r w:rsidRPr="001824A8">
        <w:rPr>
          <w:i/>
          <w:iCs/>
        </w:rPr>
        <w:t>všech i zcela minoritních spoluvlastníků.</w:t>
      </w:r>
      <w:r w:rsidR="002E377E" w:rsidRPr="001824A8">
        <w:rPr>
          <w:i/>
          <w:iCs/>
        </w:rPr>
        <w:t xml:space="preserve"> </w:t>
      </w:r>
      <w:r w:rsidRPr="001824A8">
        <w:rPr>
          <w:i/>
          <w:iCs/>
        </w:rPr>
        <w:t>Znění § 86 odst. 3 stavebního zákona: Jestliže žadatel nemá vlastnické právo, smlouvu nebo d</w:t>
      </w:r>
      <w:r w:rsidRPr="001824A8">
        <w:rPr>
          <w:i/>
          <w:iCs/>
        </w:rPr>
        <w:t>oklad</w:t>
      </w:r>
      <w:r w:rsidR="00885B07" w:rsidRPr="001824A8">
        <w:rPr>
          <w:i/>
          <w:iCs/>
        </w:rPr>
        <w:t xml:space="preserve"> </w:t>
      </w:r>
      <w:r w:rsidRPr="001824A8">
        <w:rPr>
          <w:i/>
          <w:iCs/>
        </w:rPr>
        <w:t>o právu provést stavbu nebo opatření k pozemku nebo stavbě, předloží souhlas jejich vlastníka;</w:t>
      </w:r>
      <w:r w:rsidR="00885B07" w:rsidRPr="001824A8">
        <w:rPr>
          <w:i/>
          <w:iCs/>
        </w:rPr>
        <w:t xml:space="preserve"> </w:t>
      </w:r>
      <w:r w:rsidRPr="001824A8">
        <w:rPr>
          <w:i/>
          <w:iCs/>
        </w:rPr>
        <w:t>to neplatí, lze-li pozemek nebo stavbu vyvlastnit.</w:t>
      </w:r>
    </w:p>
    <w:p w:rsidR="00647278" w:rsidRPr="001824A8" w:rsidRDefault="000865D6" w:rsidP="001824A8">
      <w:pPr>
        <w:pStyle w:val="Normln-tun"/>
        <w:rPr>
          <w:i/>
          <w:iCs/>
        </w:rPr>
      </w:pPr>
      <w:r w:rsidRPr="001824A8">
        <w:rPr>
          <w:i/>
          <w:iCs/>
        </w:rPr>
        <w:t>Dopad na výstavbu sítí</w:t>
      </w:r>
    </w:p>
    <w:p w:rsidR="00647278" w:rsidRPr="001824A8" w:rsidRDefault="000865D6">
      <w:pPr>
        <w:pStyle w:val="Normln-tun"/>
        <w:numPr>
          <w:ilvl w:val="0"/>
          <w:numId w:val="95"/>
        </w:numPr>
        <w:rPr>
          <w:i/>
          <w:iCs/>
        </w:rPr>
      </w:pPr>
      <w:r w:rsidRPr="001824A8">
        <w:rPr>
          <w:i/>
          <w:iCs/>
        </w:rPr>
        <w:lastRenderedPageBreak/>
        <w:t>Duplicita, kdy se dvakrát jedná o stejném problému oprávněnosti stavby na konkrét</w:t>
      </w:r>
      <w:r w:rsidRPr="001824A8">
        <w:rPr>
          <w:i/>
          <w:iCs/>
        </w:rPr>
        <w:t>ních pozemcích, znamená</w:t>
      </w:r>
      <w:r w:rsidR="00885B07" w:rsidRPr="001824A8">
        <w:rPr>
          <w:i/>
          <w:iCs/>
        </w:rPr>
        <w:t xml:space="preserve"> </w:t>
      </w:r>
      <w:r w:rsidRPr="001824A8">
        <w:rPr>
          <w:i/>
          <w:iCs/>
        </w:rPr>
        <w:t>podstatné prodloužení přípravy staveb násobené tím, že podmínky vytvoření předpokladů pro stavbu jsou</w:t>
      </w:r>
      <w:r w:rsidR="00885B07" w:rsidRPr="001824A8">
        <w:rPr>
          <w:i/>
          <w:iCs/>
        </w:rPr>
        <w:t xml:space="preserve"> </w:t>
      </w:r>
      <w:r w:rsidRPr="001824A8">
        <w:rPr>
          <w:i/>
          <w:iCs/>
        </w:rPr>
        <w:t>silně zkomplikovány problémy s identifikací a nedosažitelností vlastníků a spoluvlastníků.</w:t>
      </w:r>
      <w:r w:rsidR="002E377E" w:rsidRPr="001824A8">
        <w:rPr>
          <w:i/>
          <w:iCs/>
        </w:rPr>
        <w:t xml:space="preserve"> </w:t>
      </w:r>
      <w:r w:rsidRPr="001824A8">
        <w:rPr>
          <w:i/>
          <w:iCs/>
        </w:rPr>
        <w:t>Vznikají rozpory se stavebními úřady, p</w:t>
      </w:r>
      <w:r w:rsidRPr="001824A8">
        <w:rPr>
          <w:i/>
          <w:iCs/>
        </w:rPr>
        <w:t>okud jde o aplikaci veřejného zájmu i pokud jde o výraz „lze-li vyvlastnit“</w:t>
      </w:r>
      <w:r w:rsidR="00885B07" w:rsidRPr="001824A8">
        <w:rPr>
          <w:i/>
          <w:iCs/>
        </w:rPr>
        <w:t xml:space="preserve"> </w:t>
      </w:r>
      <w:r w:rsidRPr="001824A8">
        <w:rPr>
          <w:i/>
          <w:iCs/>
        </w:rPr>
        <w:t>v textu stavebního zákona, a tím komplikace v územním řízení.</w:t>
      </w:r>
      <w:r w:rsidR="002E377E" w:rsidRPr="001824A8">
        <w:rPr>
          <w:i/>
          <w:iCs/>
        </w:rPr>
        <w:t xml:space="preserve"> </w:t>
      </w:r>
      <w:r w:rsidRPr="001824A8">
        <w:rPr>
          <w:i/>
          <w:iCs/>
        </w:rPr>
        <w:t>V mezních případech nastává stav, že již rozestavěnou stavbu nelze dokončit, neboť v důsledku nedohody byť</w:t>
      </w:r>
      <w:r w:rsidR="00885B07" w:rsidRPr="001824A8">
        <w:rPr>
          <w:i/>
          <w:iCs/>
        </w:rPr>
        <w:t xml:space="preserve"> </w:t>
      </w:r>
      <w:r w:rsidRPr="001824A8">
        <w:rPr>
          <w:i/>
          <w:iCs/>
        </w:rPr>
        <w:t>jen s jední</w:t>
      </w:r>
      <w:r w:rsidRPr="001824A8">
        <w:rPr>
          <w:i/>
          <w:iCs/>
        </w:rPr>
        <w:t>m vlastníkem či dokonce minoritním spoluvlastníkem je vstup na pozemek před zabezpečením občanskoprávního</w:t>
      </w:r>
      <w:r w:rsidR="00885B07" w:rsidRPr="001824A8">
        <w:rPr>
          <w:i/>
          <w:iCs/>
        </w:rPr>
        <w:t xml:space="preserve"> </w:t>
      </w:r>
      <w:r w:rsidRPr="001824A8">
        <w:rPr>
          <w:i/>
          <w:iCs/>
        </w:rPr>
        <w:t>titulu neoprávněný, a to přesto, že existuje veřejnoprávní titul z pravomocného územního rozhodnutí.</w:t>
      </w:r>
      <w:r w:rsidR="00885B07" w:rsidRPr="001824A8">
        <w:rPr>
          <w:i/>
          <w:iCs/>
        </w:rPr>
        <w:t xml:space="preserve"> </w:t>
      </w:r>
      <w:r w:rsidRPr="001824A8">
        <w:rPr>
          <w:i/>
          <w:iCs/>
        </w:rPr>
        <w:t>Pokud přesto bylo vedení na pozemku položeno, vyv</w:t>
      </w:r>
      <w:r w:rsidRPr="001824A8">
        <w:rPr>
          <w:i/>
          <w:iCs/>
        </w:rPr>
        <w:t>lastňovací úřad odmítne se věcí zabývat, protože již bylo</w:t>
      </w:r>
      <w:r w:rsidR="00885B07" w:rsidRPr="001824A8">
        <w:rPr>
          <w:i/>
          <w:iCs/>
        </w:rPr>
        <w:t xml:space="preserve"> </w:t>
      </w:r>
      <w:r w:rsidRPr="001824A8">
        <w:rPr>
          <w:i/>
          <w:iCs/>
        </w:rPr>
        <w:t>započato s výkonem oprávnění.</w:t>
      </w:r>
      <w:r w:rsidR="00885B07" w:rsidRPr="001824A8">
        <w:rPr>
          <w:i/>
          <w:iCs/>
        </w:rPr>
        <w:t xml:space="preserve"> </w:t>
      </w:r>
      <w:r w:rsidRPr="001824A8">
        <w:rPr>
          <w:i/>
          <w:iCs/>
        </w:rPr>
        <w:t>Vlastník pozemku může s ohledem na to, že bylo v takovém případě položeno neoprávněně, dokonce požadovat</w:t>
      </w:r>
      <w:r w:rsidR="00885B07" w:rsidRPr="001824A8">
        <w:rPr>
          <w:i/>
          <w:iCs/>
        </w:rPr>
        <w:t xml:space="preserve"> </w:t>
      </w:r>
      <w:r w:rsidRPr="001824A8">
        <w:rPr>
          <w:i/>
          <w:iCs/>
        </w:rPr>
        <w:t>odstranění vedení z pozemku.</w:t>
      </w:r>
      <w:r w:rsidR="002E377E" w:rsidRPr="001824A8">
        <w:rPr>
          <w:i/>
          <w:iCs/>
        </w:rPr>
        <w:t xml:space="preserve"> (Zdroj: Digitální Česko 2.0, Výstavba vysokorychlostních přístupových sítí, Poziční dokument ICT UNIE 2014)</w:t>
      </w:r>
    </w:p>
    <w:p w:rsidR="00360191" w:rsidRPr="001824A8" w:rsidRDefault="000865D6" w:rsidP="001824A8">
      <w:pPr>
        <w:pStyle w:val="Normln-tun"/>
        <w:rPr>
          <w:u w:val="single"/>
        </w:rPr>
      </w:pPr>
      <w:r w:rsidRPr="001824A8">
        <w:rPr>
          <w:u w:val="single"/>
        </w:rPr>
        <w:t xml:space="preserve">CETIN </w:t>
      </w:r>
    </w:p>
    <w:p w:rsidR="00042CC1" w:rsidRPr="0098576A" w:rsidRDefault="000865D6" w:rsidP="0098576A">
      <w:pPr>
        <w:pStyle w:val="Normln-tun"/>
        <w:rPr>
          <w:i/>
          <w:iCs/>
        </w:rPr>
      </w:pPr>
      <w:r w:rsidRPr="0098576A">
        <w:rPr>
          <w:i/>
          <w:iCs/>
        </w:rPr>
        <w:t>Všechna řízení byla zastavena na návrh vyvlastnitele, vyvlastnitel vždy dosáhl s vyvlastňovaným dohody ještě před skončením řízení.</w:t>
      </w:r>
      <w:r w:rsidRPr="0098576A">
        <w:rPr>
          <w:i/>
          <w:iCs/>
        </w:rPr>
        <w:tab/>
      </w:r>
      <w:r w:rsidRPr="0098576A">
        <w:rPr>
          <w:i/>
          <w:iCs/>
        </w:rPr>
        <w:tab/>
      </w:r>
      <w:r w:rsidRPr="0098576A">
        <w:rPr>
          <w:i/>
          <w:iCs/>
        </w:rPr>
        <w:tab/>
      </w:r>
      <w:r w:rsidRPr="0098576A">
        <w:rPr>
          <w:i/>
          <w:iCs/>
        </w:rPr>
        <w:tab/>
      </w:r>
    </w:p>
    <w:p w:rsidR="00042CC1" w:rsidRPr="0098576A" w:rsidRDefault="000865D6" w:rsidP="0098576A">
      <w:pPr>
        <w:pStyle w:val="Normln-tun"/>
        <w:rPr>
          <w:i/>
          <w:iCs/>
        </w:rPr>
      </w:pPr>
      <w:r w:rsidRPr="0098576A">
        <w:rPr>
          <w:i/>
          <w:iCs/>
        </w:rPr>
        <w:t xml:space="preserve">Zdaleka největším problémem je, aby </w:t>
      </w:r>
      <w:r w:rsidRPr="0098576A">
        <w:rPr>
          <w:i/>
          <w:iCs/>
        </w:rPr>
        <w:t>vyvlastňovací úřad vůbe</w:t>
      </w:r>
      <w:r w:rsidR="008840FA" w:rsidRPr="0098576A">
        <w:rPr>
          <w:i/>
          <w:iCs/>
        </w:rPr>
        <w:t>c</w:t>
      </w:r>
      <w:r w:rsidRPr="0098576A">
        <w:rPr>
          <w:i/>
          <w:iCs/>
        </w:rPr>
        <w:t xml:space="preserve"> započal s řízením ve věci - ve všech shora uváděných řízeních, vyvlastňovací úřad požadoval s odvoláním na ustanovení § 4 odst. 2 ZoV prokázání veřejného zájmu na vyvlastnění, ve všech shora uvedených řízeních pro neprokázá</w:t>
      </w:r>
      <w:r w:rsidR="005C6EE8" w:rsidRPr="0098576A">
        <w:rPr>
          <w:i/>
          <w:iCs/>
        </w:rPr>
        <w:t>ní veřejného zájmu v tom kterém</w:t>
      </w:r>
      <w:r w:rsidRPr="0098576A">
        <w:rPr>
          <w:i/>
          <w:iCs/>
        </w:rPr>
        <w:t xml:space="preserve"> konkrétním případě vyvlastňovací úřad vyzýval k doplnění žádosti. Vyvlastňovací úřad nezohledňuje a nebere v potaz, že veřejný zájem je v případě podn</w:t>
      </w:r>
      <w:r w:rsidR="005C6EE8" w:rsidRPr="0098576A">
        <w:rPr>
          <w:i/>
          <w:iCs/>
        </w:rPr>
        <w:t>ikatele dle ZEK dán a) ZEK s od</w:t>
      </w:r>
      <w:r w:rsidRPr="0098576A">
        <w:rPr>
          <w:i/>
          <w:iCs/>
        </w:rPr>
        <w:t>voláním na jeho příslušná ustanovení, b) bylo-li pr</w:t>
      </w:r>
      <w:r w:rsidRPr="0098576A">
        <w:rPr>
          <w:i/>
          <w:iCs/>
        </w:rPr>
        <w:t>o stavbu</w:t>
      </w:r>
      <w:r w:rsidR="005C6EE8" w:rsidRPr="0098576A">
        <w:rPr>
          <w:i/>
          <w:iCs/>
        </w:rPr>
        <w:t>,</w:t>
      </w:r>
      <w:r w:rsidRPr="0098576A">
        <w:rPr>
          <w:i/>
          <w:iCs/>
        </w:rPr>
        <w:t xml:space="preserve"> pro jejíž umístění je získáváno právo ve vyvlastňovacím řízení, vydáno pravomocně v</w:t>
      </w:r>
      <w:r w:rsidR="005C6EE8" w:rsidRPr="0098576A">
        <w:rPr>
          <w:i/>
          <w:iCs/>
        </w:rPr>
        <w:t>eřejnoprávní povolení dle StavZ</w:t>
      </w:r>
      <w:r w:rsidRPr="0098576A">
        <w:rPr>
          <w:i/>
          <w:iCs/>
        </w:rPr>
        <w:t>, již samotným veřejnoprávním povolením. K doplnění žádosti je vyvlastnitel vyzván po uplynutí neúměrné doby od podání žádosti (řády</w:t>
      </w:r>
      <w:r w:rsidRPr="0098576A">
        <w:rPr>
          <w:i/>
          <w:iCs/>
        </w:rPr>
        <w:t xml:space="preserve"> měsíců), doba a náklady které vyvlastnitel vynaloží na to, aby dosáhl argume</w:t>
      </w:r>
      <w:r w:rsidR="005C6EE8" w:rsidRPr="0098576A">
        <w:rPr>
          <w:i/>
          <w:iCs/>
        </w:rPr>
        <w:t>n</w:t>
      </w:r>
      <w:r w:rsidRPr="0098576A">
        <w:rPr>
          <w:i/>
          <w:iCs/>
        </w:rPr>
        <w:t>tačně toho, že žádost splňuje všechny náležitosti, že vyvlastňovací úřad požaduje něco, co právními předpisy není dovoleno, je dlouhá, vyvlastňovací úřad ve většině případů nekon</w:t>
      </w:r>
      <w:r w:rsidRPr="0098576A">
        <w:rPr>
          <w:i/>
          <w:iCs/>
        </w:rPr>
        <w:t>á, nebo koná ve lhůtách zcela mimo zákonný rámec, řízení, dojde-li k němu je tak neúměrně protahováno.</w:t>
      </w:r>
      <w:r w:rsidRPr="0098576A">
        <w:rPr>
          <w:i/>
          <w:iCs/>
        </w:rPr>
        <w:tab/>
        <w:t>Postavit legislativně najisto, co je veřejným zájmem, jakým způsobem jej lze v řízení prokázat. Stanovit pro jednotlivé fáze řízení, počínaje od podání ž</w:t>
      </w:r>
      <w:r w:rsidRPr="0098576A">
        <w:rPr>
          <w:i/>
          <w:iCs/>
        </w:rPr>
        <w:t>ádosti vyvlastňovacímu úřadu zákonné lhůty, ve kterých jednotlivé úkony v řízení činí a činit má.</w:t>
      </w:r>
      <w:r w:rsidRPr="0098576A">
        <w:rPr>
          <w:i/>
          <w:iCs/>
        </w:rPr>
        <w:tab/>
      </w:r>
      <w:r w:rsidRPr="0098576A">
        <w:rPr>
          <w:i/>
          <w:iCs/>
        </w:rPr>
        <w:tab/>
      </w:r>
      <w:r w:rsidRPr="0098576A">
        <w:rPr>
          <w:i/>
          <w:iCs/>
        </w:rPr>
        <w:tab/>
      </w:r>
    </w:p>
    <w:p w:rsidR="00771CC4" w:rsidRPr="0098576A" w:rsidRDefault="000865D6" w:rsidP="0098576A">
      <w:pPr>
        <w:pStyle w:val="Normln-tun"/>
        <w:rPr>
          <w:rFonts w:ascii="Calibri" w:hAnsi="Calibri"/>
          <w:i/>
          <w:iCs/>
          <w:sz w:val="22"/>
        </w:rPr>
      </w:pPr>
      <w:r w:rsidRPr="0098576A">
        <w:rPr>
          <w:i/>
          <w:iCs/>
        </w:rPr>
        <w:t xml:space="preserve">Zjednodušeně řečeno – případy nemáme, protože proces vyvlastnění je předem prohraná bitva již jen svojí délkou. Navíc hraje roli rovina vztahů se samosprávou, což je v liberalizovaném odvětví elektronických komunikací nezanedbatelné. </w:t>
      </w:r>
    </w:p>
    <w:p w:rsidR="006C1C07" w:rsidRPr="0098576A" w:rsidRDefault="000865D6" w:rsidP="0098576A">
      <w:pPr>
        <w:pStyle w:val="Normln-tun"/>
        <w:rPr>
          <w:u w:val="single"/>
        </w:rPr>
      </w:pPr>
      <w:r w:rsidRPr="0098576A">
        <w:rPr>
          <w:u w:val="single"/>
        </w:rPr>
        <w:t>Státní podniky Povodí</w:t>
      </w:r>
    </w:p>
    <w:p w:rsidR="008D7966" w:rsidRPr="0098576A" w:rsidRDefault="000865D6" w:rsidP="0098576A">
      <w:pPr>
        <w:pStyle w:val="Normln-tun"/>
        <w:rPr>
          <w:i/>
          <w:iCs/>
        </w:rPr>
      </w:pPr>
      <w:r w:rsidRPr="0098576A">
        <w:rPr>
          <w:i/>
          <w:iCs/>
        </w:rPr>
        <w:t>Povodí Vltavy</w:t>
      </w:r>
    </w:p>
    <w:p w:rsidR="0061355C" w:rsidRPr="0098576A" w:rsidRDefault="000865D6" w:rsidP="0098576A">
      <w:pPr>
        <w:pStyle w:val="Normln-tun"/>
        <w:rPr>
          <w:i/>
          <w:iCs/>
        </w:rPr>
      </w:pPr>
      <w:r w:rsidRPr="0098576A">
        <w:rPr>
          <w:i/>
          <w:iCs/>
        </w:rPr>
        <w:t>Povodí Vltavy, státní podnik, ve své dosavadní činnosti dosud nevyužil institut vyvlastnění.</w:t>
      </w:r>
      <w:r w:rsidR="008D7966" w:rsidRPr="0098576A">
        <w:rPr>
          <w:i/>
          <w:iCs/>
        </w:rPr>
        <w:t xml:space="preserve"> </w:t>
      </w:r>
      <w:r w:rsidRPr="0098576A">
        <w:rPr>
          <w:i/>
          <w:iCs/>
        </w:rPr>
        <w:t>Pro provozování a údržbu stávajících vodních děl v majetku státu, k nimž má právo hospodařit, má práva přímo v zákoně č.</w:t>
      </w:r>
      <w:r w:rsidR="00F02636" w:rsidRPr="0098576A">
        <w:rPr>
          <w:i/>
          <w:iCs/>
        </w:rPr>
        <w:t> </w:t>
      </w:r>
      <w:r w:rsidRPr="0098576A">
        <w:rPr>
          <w:i/>
          <w:iCs/>
        </w:rPr>
        <w:t>254/2001 Sb.</w:t>
      </w:r>
      <w:r w:rsidR="00F02636" w:rsidRPr="0098576A">
        <w:rPr>
          <w:i/>
          <w:iCs/>
        </w:rPr>
        <w:t>,</w:t>
      </w:r>
      <w:r w:rsidRPr="0098576A">
        <w:rPr>
          <w:i/>
          <w:iCs/>
        </w:rPr>
        <w:t xml:space="preserve"> o vodách a o </w:t>
      </w:r>
      <w:r w:rsidRPr="0098576A">
        <w:rPr>
          <w:i/>
          <w:iCs/>
        </w:rPr>
        <w:t>změně některých zákonů, ve znění pozdějších předpisů - § 49 odst. 2, § 50 písm. c), § 59a, § 60.</w:t>
      </w:r>
      <w:r w:rsidR="008D7966" w:rsidRPr="0098576A">
        <w:rPr>
          <w:i/>
          <w:iCs/>
        </w:rPr>
        <w:t xml:space="preserve"> </w:t>
      </w:r>
      <w:r w:rsidRPr="0098576A">
        <w:rPr>
          <w:i/>
          <w:iCs/>
        </w:rPr>
        <w:t>Stavby nových děl realizuje státní podnik Povodí Vltavy až v případě, že má zajištěna dostatečná práva k potřebným pozemkům a stavbám.</w:t>
      </w:r>
      <w:r w:rsidR="008D7966" w:rsidRPr="0098576A">
        <w:rPr>
          <w:i/>
          <w:iCs/>
        </w:rPr>
        <w:t xml:space="preserve"> </w:t>
      </w:r>
      <w:r w:rsidRPr="0098576A">
        <w:rPr>
          <w:i/>
          <w:iCs/>
        </w:rPr>
        <w:t>Povodí Vltavy, státní po</w:t>
      </w:r>
      <w:r w:rsidRPr="0098576A">
        <w:rPr>
          <w:i/>
          <w:iCs/>
        </w:rPr>
        <w:t>dnik, nemá proto praktickou zkušenost s institutem vyvlastnění.</w:t>
      </w:r>
    </w:p>
    <w:p w:rsidR="0061355C" w:rsidRPr="0098576A" w:rsidRDefault="000865D6" w:rsidP="0098576A">
      <w:pPr>
        <w:pStyle w:val="Normln-tun"/>
        <w:rPr>
          <w:i/>
          <w:iCs/>
        </w:rPr>
      </w:pPr>
      <w:r w:rsidRPr="0098576A">
        <w:rPr>
          <w:i/>
          <w:iCs/>
        </w:rPr>
        <w:lastRenderedPageBreak/>
        <w:t>Pro přípravu novely zákona č. 184/2006 Sb. nebo nového zákona o vyvlastnění je vhodné doplnit další účely, pro něž lze potřebné pozemky a stavby v oblasti vodního hospodářství vyvlastnit:</w:t>
      </w:r>
    </w:p>
    <w:p w:rsidR="0061355C" w:rsidRPr="0098576A" w:rsidRDefault="000865D6">
      <w:pPr>
        <w:pStyle w:val="Normln-tun"/>
        <w:numPr>
          <w:ilvl w:val="0"/>
          <w:numId w:val="95"/>
        </w:numPr>
        <w:rPr>
          <w:i/>
          <w:iCs/>
        </w:rPr>
      </w:pPr>
      <w:r w:rsidRPr="0098576A">
        <w:rPr>
          <w:i/>
          <w:iCs/>
        </w:rPr>
        <w:t>Dopl</w:t>
      </w:r>
      <w:r w:rsidRPr="0098576A">
        <w:rPr>
          <w:i/>
          <w:iCs/>
        </w:rPr>
        <w:t xml:space="preserve">nit účel vyvlastnění </w:t>
      </w:r>
    </w:p>
    <w:p w:rsidR="0061355C" w:rsidRPr="0098576A" w:rsidRDefault="000865D6">
      <w:pPr>
        <w:pStyle w:val="Normln-tun"/>
        <w:numPr>
          <w:ilvl w:val="1"/>
          <w:numId w:val="95"/>
        </w:numPr>
        <w:rPr>
          <w:i/>
          <w:iCs/>
        </w:rPr>
      </w:pPr>
      <w:r w:rsidRPr="0098576A">
        <w:rPr>
          <w:i/>
          <w:iCs/>
        </w:rPr>
        <w:t>Pro stavby a opatření k prevenci a zmírnění sucha</w:t>
      </w:r>
      <w:r w:rsidR="00174E22" w:rsidRPr="0098576A">
        <w:rPr>
          <w:i/>
          <w:iCs/>
        </w:rPr>
        <w:t>;</w:t>
      </w:r>
    </w:p>
    <w:p w:rsidR="0061355C" w:rsidRPr="0098576A" w:rsidRDefault="000865D6">
      <w:pPr>
        <w:pStyle w:val="Normln-tun"/>
        <w:numPr>
          <w:ilvl w:val="1"/>
          <w:numId w:val="95"/>
        </w:numPr>
        <w:rPr>
          <w:i/>
          <w:iCs/>
        </w:rPr>
      </w:pPr>
      <w:r w:rsidRPr="0098576A">
        <w:rPr>
          <w:i/>
          <w:iCs/>
        </w:rPr>
        <w:t>Pro terénní úpravy a zařízení ke zmírnění vodní eroze a pro zadržování vody v krajině;</w:t>
      </w:r>
    </w:p>
    <w:p w:rsidR="00FF22D3" w:rsidRPr="0098576A" w:rsidRDefault="000865D6">
      <w:pPr>
        <w:pStyle w:val="Normln-tun"/>
        <w:numPr>
          <w:ilvl w:val="0"/>
          <w:numId w:val="95"/>
        </w:numPr>
        <w:rPr>
          <w:i/>
          <w:iCs/>
        </w:rPr>
      </w:pPr>
      <w:r w:rsidRPr="0098576A">
        <w:rPr>
          <w:i/>
          <w:iCs/>
        </w:rPr>
        <w:t>Umožnit vyvlastnění pozemků a staveb mimo zastavěná území pro realizaci opatření přijatých v pla</w:t>
      </w:r>
      <w:r w:rsidRPr="0098576A">
        <w:rPr>
          <w:i/>
          <w:iCs/>
        </w:rPr>
        <w:t>tných plánech povodí.</w:t>
      </w:r>
    </w:p>
    <w:p w:rsidR="0061355C" w:rsidRPr="0098576A" w:rsidRDefault="000865D6">
      <w:pPr>
        <w:pStyle w:val="Normln-tun"/>
        <w:numPr>
          <w:ilvl w:val="0"/>
          <w:numId w:val="95"/>
        </w:numPr>
        <w:rPr>
          <w:i/>
          <w:iCs/>
        </w:rPr>
      </w:pPr>
      <w:r w:rsidRPr="0098576A">
        <w:rPr>
          <w:i/>
          <w:iCs/>
        </w:rPr>
        <w:t xml:space="preserve">Vodní díla, zvláště na ochranu před povodněmi, suchem, k zadržování vody v krajině musí být často umístěna mimo zastavěná území a mimo území, pro něž je zpracováván územní plán. Nutnost zpracovat nejprve územní plán pro území, v němž </w:t>
      </w:r>
      <w:r w:rsidRPr="0098576A">
        <w:rPr>
          <w:i/>
          <w:iCs/>
        </w:rPr>
        <w:t>bude umístěna stavba – vodní dílo, a potom teprve řešit práva k cizím pozemkům, je zbytečně složité.</w:t>
      </w:r>
    </w:p>
    <w:p w:rsidR="0061355C" w:rsidRPr="0098576A" w:rsidRDefault="000865D6" w:rsidP="0098576A">
      <w:pPr>
        <w:pStyle w:val="Normln-tun"/>
        <w:rPr>
          <w:i/>
          <w:iCs/>
        </w:rPr>
      </w:pPr>
      <w:r w:rsidRPr="0098576A">
        <w:rPr>
          <w:i/>
          <w:iCs/>
        </w:rPr>
        <w:t>Doporučujeme zvážit, zda rovněž nepředložit návrh na vyvlastnění k zajištění práv k pozemkům, jejichž součástí jsou vodní díla nebo jejich části – např. po</w:t>
      </w:r>
      <w:r w:rsidRPr="0098576A">
        <w:rPr>
          <w:i/>
          <w:iCs/>
        </w:rPr>
        <w:t>zemky pod vodními nádržemi, pozemky pod úpravami koryt vodních toků, pozemky pod protipovodňovými sypanými hrázemi atd., je-li to nezbytné pro řádnou funkci těchto vodních děl.</w:t>
      </w:r>
    </w:p>
    <w:p w:rsidR="0061355C" w:rsidRPr="0098576A" w:rsidRDefault="000865D6" w:rsidP="0098576A">
      <w:pPr>
        <w:pStyle w:val="Normln-tun"/>
        <w:rPr>
          <w:i/>
          <w:iCs/>
        </w:rPr>
      </w:pPr>
      <w:r w:rsidRPr="0098576A">
        <w:rPr>
          <w:i/>
          <w:iCs/>
        </w:rPr>
        <w:t>Jde-li o vodní díla vybudovaná před 1. 1. 2002, která jsou vlastníci pozemků po</w:t>
      </w:r>
      <w:r w:rsidRPr="0098576A">
        <w:rPr>
          <w:i/>
          <w:iCs/>
        </w:rPr>
        <w:t>vinni strpět na svých pozemcích - § 50 písm. c), § 59a VZ, je problematická otázka práv a povinností jejich vlastníků, zejména v případě, že takové vodní dílo leží na více pozemcích různých vlastníků.</w:t>
      </w:r>
    </w:p>
    <w:p w:rsidR="0061355C" w:rsidRPr="0098576A" w:rsidRDefault="000865D6" w:rsidP="0098576A">
      <w:pPr>
        <w:pStyle w:val="Normln-tun"/>
        <w:rPr>
          <w:i/>
          <w:iCs/>
        </w:rPr>
      </w:pPr>
      <w:r w:rsidRPr="0098576A">
        <w:rPr>
          <w:i/>
          <w:iCs/>
        </w:rPr>
        <w:t>Proto, aby tato vodní díla byla průběžně udržována v řá</w:t>
      </w:r>
      <w:r w:rsidRPr="0098576A">
        <w:rPr>
          <w:i/>
          <w:iCs/>
        </w:rPr>
        <w:t>dném stavu a řádně provozována tak, aby plnila svůj účel, je nezbytné jejich vlastnickou strukturu vyřešit, a to případně i proti vůli vlastníků jejich částí.</w:t>
      </w:r>
    </w:p>
    <w:p w:rsidR="0061355C" w:rsidRPr="0098576A" w:rsidRDefault="000865D6" w:rsidP="0098576A">
      <w:pPr>
        <w:pStyle w:val="Normln-tun"/>
        <w:rPr>
          <w:i/>
          <w:iCs/>
        </w:rPr>
      </w:pPr>
      <w:r w:rsidRPr="0098576A">
        <w:rPr>
          <w:i/>
          <w:iCs/>
        </w:rPr>
        <w:t xml:space="preserve">Povodí Labe </w:t>
      </w:r>
    </w:p>
    <w:p w:rsidR="0061355C" w:rsidRPr="0098576A" w:rsidRDefault="000865D6" w:rsidP="0098576A">
      <w:pPr>
        <w:pStyle w:val="Normln-tun"/>
        <w:rPr>
          <w:i/>
          <w:iCs/>
        </w:rPr>
      </w:pPr>
      <w:r w:rsidRPr="0098576A">
        <w:rPr>
          <w:i/>
          <w:iCs/>
        </w:rPr>
        <w:t>Státní podnik Povodí Labe již byl při majetkoprávní příprav</w:t>
      </w:r>
      <w:r w:rsidR="007E6906" w:rsidRPr="0098576A">
        <w:rPr>
          <w:i/>
          <w:iCs/>
        </w:rPr>
        <w:t>ě</w:t>
      </w:r>
      <w:r w:rsidRPr="0098576A">
        <w:rPr>
          <w:i/>
          <w:iCs/>
        </w:rPr>
        <w:t xml:space="preserve"> výstavby poldrů Kutřín,</w:t>
      </w:r>
      <w:r w:rsidRPr="0098576A">
        <w:rPr>
          <w:i/>
          <w:iCs/>
        </w:rPr>
        <w:t xml:space="preserve"> Mlýnec a Bukovina, které jsou v územně plánovací dokumentaci vymezeny jako veřejně prospěšné stavby, pro jejichž uskutečnění lze práva k dotčeným pozemkům a stavbám odejmout nebo omezit, nucen v několika případech využít institutu vyvlastnění, tudíž může </w:t>
      </w:r>
      <w:r w:rsidRPr="0098576A">
        <w:rPr>
          <w:i/>
          <w:iCs/>
        </w:rPr>
        <w:t>uvést několik aspektů, které vnímá v procesu vyvlastnění jako problematické.</w:t>
      </w:r>
    </w:p>
    <w:p w:rsidR="0061355C" w:rsidRPr="0098576A" w:rsidRDefault="000865D6" w:rsidP="0098576A">
      <w:pPr>
        <w:pStyle w:val="Normln-tun"/>
        <w:rPr>
          <w:i/>
          <w:iCs/>
        </w:rPr>
      </w:pPr>
      <w:r w:rsidRPr="0098576A">
        <w:rPr>
          <w:i/>
          <w:iCs/>
        </w:rPr>
        <w:t>Současná právní úprava vyvlastnění není v případě přípravy vodních staveb vymezena pouze zákonem č.</w:t>
      </w:r>
      <w:r w:rsidR="00F02636" w:rsidRPr="0098576A">
        <w:rPr>
          <w:i/>
          <w:iCs/>
        </w:rPr>
        <w:t> </w:t>
      </w:r>
      <w:r w:rsidRPr="0098576A">
        <w:rPr>
          <w:i/>
          <w:iCs/>
        </w:rPr>
        <w:t>184/2006</w:t>
      </w:r>
      <w:r w:rsidR="00F02636" w:rsidRPr="0098576A">
        <w:rPr>
          <w:i/>
          <w:iCs/>
        </w:rPr>
        <w:t> </w:t>
      </w:r>
      <w:r w:rsidRPr="0098576A">
        <w:rPr>
          <w:i/>
          <w:iCs/>
        </w:rPr>
        <w:t>Sb., o odnětí nebo omezení vlastnického práva k pozemku nebo ke stavbě</w:t>
      </w:r>
      <w:r w:rsidRPr="0098576A">
        <w:rPr>
          <w:i/>
          <w:iCs/>
        </w:rPr>
        <w:t>, ale současně i ustanoveními § 3 - § 4a zákona č. 416/2009 Sb., o urychlení výstavby dopravní, vodní a energetické infrastruktury a infrastruktury elektronických komunikací, oba ve znění pozdějších p</w:t>
      </w:r>
      <w:r w:rsidRPr="0098576A">
        <w:rPr>
          <w:rFonts w:ascii="Calibri" w:hAnsi="Calibri" w:cs="Calibri"/>
          <w:i/>
          <w:iCs/>
        </w:rPr>
        <w:t>ř</w:t>
      </w:r>
      <w:r w:rsidRPr="0098576A">
        <w:rPr>
          <w:i/>
          <w:iCs/>
        </w:rPr>
        <w:t>edpisů. Je nutno zmínit, že stavby vodní infrastruktury</w:t>
      </w:r>
      <w:r w:rsidRPr="0098576A">
        <w:rPr>
          <w:i/>
          <w:iCs/>
        </w:rPr>
        <w:t xml:space="preserve"> nejsou z pohledu druhého jmenovaného zákona postaveny do stejné pozice, jakou mají stavby dopravní infrastruktury, energetické infrastruktury a infrastruktury elektronických komunikací. Tento rozdílný přístup při získávání potřebných práv k pozemkům nebo </w:t>
      </w:r>
      <w:r w:rsidRPr="0098576A">
        <w:rPr>
          <w:i/>
          <w:iCs/>
        </w:rPr>
        <w:t>stavbám potřebným pro uskutečnění staveb vodní infrastruktury vyplývá zejména z ustanovení § 3a, § 3b a § 3c zákona č. 416/2009 Sb.</w:t>
      </w:r>
    </w:p>
    <w:p w:rsidR="0061355C" w:rsidRPr="0098576A" w:rsidRDefault="000865D6" w:rsidP="0098576A">
      <w:pPr>
        <w:pStyle w:val="Normln-tun"/>
        <w:rPr>
          <w:i/>
          <w:iCs/>
        </w:rPr>
      </w:pPr>
      <w:r w:rsidRPr="0098576A">
        <w:rPr>
          <w:i/>
          <w:iCs/>
        </w:rPr>
        <w:t>Na základě zkušeností s procesem vyvlastnění bychom tedy preferovali, aby smlouvy o získání potřebných práv k pozemku nebo k</w:t>
      </w:r>
      <w:r w:rsidRPr="0098576A">
        <w:rPr>
          <w:i/>
          <w:iCs/>
        </w:rPr>
        <w:t>e stavbě musely založit právo vyvlastňovaného na vrácení převedených práv, pokud nebude zahájeno uskutečňování účelu převodu, ne do tří let od uzavření smlouvy, jak praví §5 odst. 4 zákona č. 184/2006 Sb., nýbrž do pěti let dle znění § 3a zákona č. 416/200</w:t>
      </w:r>
      <w:r w:rsidRPr="0098576A">
        <w:rPr>
          <w:i/>
          <w:iCs/>
        </w:rPr>
        <w:t xml:space="preserve">9 Sb. Vzhledem k časové náročnosti majetkoprávní a projekční </w:t>
      </w:r>
      <w:r w:rsidRPr="0098576A">
        <w:rPr>
          <w:i/>
          <w:iCs/>
        </w:rPr>
        <w:lastRenderedPageBreak/>
        <w:t>přípravy složitých staveb vodních děl, např. již zmíněných staveb poldrů, a následně výběru zhotovitele se lhůta 3 let od prvních uzavřených smluvních vztahů jeví v některých případech jako ne zc</w:t>
      </w:r>
      <w:r w:rsidRPr="0098576A">
        <w:rPr>
          <w:i/>
          <w:iCs/>
        </w:rPr>
        <w:t>ela dostačující. S tím souvisí i rozdílný režim určených lhůt, v nichž je vyvlastnitel povinen na základě rozhodnutí o vyvlastnění zahájit uskutečňování účelu vyvlastnění, konkrétně se jedná o nesoulad plynoucí z ustanovení § 24 odst. 3 písm. c) a § 25 ods</w:t>
      </w:r>
      <w:r w:rsidRPr="0098576A">
        <w:rPr>
          <w:i/>
          <w:iCs/>
        </w:rPr>
        <w:t>t. 6 zákona č.</w:t>
      </w:r>
      <w:r w:rsidR="00F02636" w:rsidRPr="0098576A">
        <w:rPr>
          <w:i/>
          <w:iCs/>
        </w:rPr>
        <w:t> </w:t>
      </w:r>
      <w:r w:rsidRPr="0098576A">
        <w:rPr>
          <w:i/>
          <w:iCs/>
        </w:rPr>
        <w:t>184/2006 Sb., který platí pro stavby vodní infrastruktury, a z ustanovení § 3c zákona č. 416/200</w:t>
      </w:r>
      <w:r w:rsidR="00F02636" w:rsidRPr="0098576A">
        <w:rPr>
          <w:i/>
          <w:iCs/>
        </w:rPr>
        <w:t>9</w:t>
      </w:r>
      <w:r w:rsidRPr="0098576A">
        <w:rPr>
          <w:i/>
          <w:iCs/>
        </w:rPr>
        <w:t xml:space="preserve"> Sb., vztahující se na stavby dopravní a energetické infrastruktury a infrastruktury elektronických komunikací.</w:t>
      </w:r>
    </w:p>
    <w:p w:rsidR="0061355C" w:rsidRPr="0098576A" w:rsidRDefault="000865D6" w:rsidP="0098576A">
      <w:pPr>
        <w:pStyle w:val="Normln-tun"/>
        <w:rPr>
          <w:i/>
          <w:iCs/>
        </w:rPr>
      </w:pPr>
      <w:r w:rsidRPr="0098576A">
        <w:rPr>
          <w:i/>
          <w:iCs/>
        </w:rPr>
        <w:t>Motivujícím faktorem zejména pro</w:t>
      </w:r>
      <w:r w:rsidRPr="0098576A">
        <w:rPr>
          <w:i/>
          <w:iCs/>
        </w:rPr>
        <w:t xml:space="preserve"> výkupy pozemků jsou pro jejich vlastníky koeficienty cen stanovených znaleckým posudkem dle § 3b odst. 1 zákona č. 416/200</w:t>
      </w:r>
      <w:r w:rsidR="00F02636" w:rsidRPr="0098576A">
        <w:rPr>
          <w:i/>
          <w:iCs/>
        </w:rPr>
        <w:t>9</w:t>
      </w:r>
      <w:r w:rsidRPr="0098576A">
        <w:rPr>
          <w:i/>
          <w:iCs/>
        </w:rPr>
        <w:t xml:space="preserve"> Sb., pro výstavbu vodní infrastruktury jich však nelze využít. Za předpokladu, že rovněž náklady na majetkoprávní vypořádání by byl</w:t>
      </w:r>
      <w:r w:rsidRPr="0098576A">
        <w:rPr>
          <w:i/>
          <w:iCs/>
        </w:rPr>
        <w:t>o možné hradit z dotačních prostředků, by jistě i tento „motivující“ aspekt při jednání s vlastníky o výši kupní ceny mohl zrychlit proces získávání práv k pozemkům. V opačném případě, tedy pokud by tyto náklady měl státní podnik hradit jako dosud z vlastn</w:t>
      </w:r>
      <w:r w:rsidRPr="0098576A">
        <w:rPr>
          <w:i/>
          <w:iCs/>
        </w:rPr>
        <w:t>ích zdrojů, by se ovšem pro podnik jednalo o neúměrnou finanční zátěž.</w:t>
      </w:r>
    </w:p>
    <w:p w:rsidR="0061355C" w:rsidRPr="0098576A" w:rsidRDefault="000865D6" w:rsidP="0098576A">
      <w:pPr>
        <w:pStyle w:val="Normln-tun"/>
        <w:rPr>
          <w:i/>
          <w:iCs/>
        </w:rPr>
      </w:pPr>
      <w:r w:rsidRPr="0098576A">
        <w:rPr>
          <w:i/>
          <w:iCs/>
        </w:rPr>
        <w:t>Posledním problémem, na nějž bychom z vlastních zkušeností chtěli upozornit, je fakt, že zákon č. 184/2006 Sb. nestanovuje lhůtu, v níž má vyvlastňovací úřad po podání žádosti o vyvlast</w:t>
      </w:r>
      <w:r w:rsidRPr="0098576A">
        <w:rPr>
          <w:i/>
          <w:iCs/>
        </w:rPr>
        <w:t>nění začít konat, vymezuje pouze lhůty ohledně vypracování znaleckých posudků (§ 20 odst. 2) a uvědomění účastníků</w:t>
      </w:r>
      <w:r w:rsidRPr="0098576A">
        <w:rPr>
          <w:rFonts w:ascii="Calibri" w:hAnsi="Calibri" w:cs="Calibri"/>
          <w:i/>
          <w:iCs/>
        </w:rPr>
        <w:t xml:space="preserve"> </w:t>
      </w:r>
      <w:r w:rsidRPr="0098576A">
        <w:rPr>
          <w:i/>
          <w:iCs/>
        </w:rPr>
        <w:t>ústního jednání (§ 22 odst. 1). U některých úřadů tato absence lhůty vymezené k zahájení procesních kroků</w:t>
      </w:r>
      <w:r w:rsidRPr="0098576A">
        <w:rPr>
          <w:rFonts w:ascii="Calibri" w:hAnsi="Calibri" w:cs="Calibri"/>
          <w:i/>
          <w:iCs/>
        </w:rPr>
        <w:t xml:space="preserve"> </w:t>
      </w:r>
      <w:r w:rsidRPr="0098576A">
        <w:rPr>
          <w:i/>
          <w:iCs/>
        </w:rPr>
        <w:t xml:space="preserve">vede k liknavosti jejich přístupu, </w:t>
      </w:r>
      <w:r w:rsidRPr="0098576A">
        <w:rPr>
          <w:i/>
          <w:iCs/>
        </w:rPr>
        <w:t>což následně prodlužuje celý proces vyvlastnění.</w:t>
      </w:r>
    </w:p>
    <w:p w:rsidR="0061355C" w:rsidRPr="0098576A" w:rsidRDefault="000865D6" w:rsidP="0098576A">
      <w:pPr>
        <w:pStyle w:val="Normln-tun"/>
        <w:rPr>
          <w:i/>
          <w:iCs/>
        </w:rPr>
      </w:pPr>
      <w:r w:rsidRPr="0098576A">
        <w:rPr>
          <w:i/>
          <w:iCs/>
        </w:rPr>
        <w:t>Povodí Ohře</w:t>
      </w:r>
    </w:p>
    <w:p w:rsidR="0061355C" w:rsidRPr="0098576A" w:rsidRDefault="000865D6" w:rsidP="0098576A">
      <w:pPr>
        <w:pStyle w:val="Normln-tun"/>
        <w:rPr>
          <w:i/>
          <w:iCs/>
        </w:rPr>
      </w:pPr>
      <w:r w:rsidRPr="0098576A">
        <w:rPr>
          <w:i/>
          <w:iCs/>
        </w:rPr>
        <w:t>K části z pohledu odborných ředitelů byly vzneseny tyto připomínky či podněty:</w:t>
      </w:r>
    </w:p>
    <w:p w:rsidR="0061355C" w:rsidRPr="0098576A" w:rsidRDefault="000865D6">
      <w:pPr>
        <w:pStyle w:val="Normln-tun"/>
        <w:numPr>
          <w:ilvl w:val="0"/>
          <w:numId w:val="96"/>
        </w:numPr>
        <w:rPr>
          <w:i/>
          <w:iCs/>
        </w:rPr>
      </w:pPr>
      <w:r w:rsidRPr="0098576A">
        <w:rPr>
          <w:i/>
          <w:iCs/>
        </w:rPr>
        <w:t>Přehlednost a srozumitelnost celého aktu (zda je zvládnutelný zaměstnancem vyvlastnitele nebo bude třeba expertů, zd</w:t>
      </w:r>
      <w:r w:rsidRPr="0098576A">
        <w:rPr>
          <w:i/>
          <w:iCs/>
        </w:rPr>
        <w:t xml:space="preserve">a je přehledný pro běžného občana, který se může stát vyvlastňovaným, zda bude </w:t>
      </w:r>
      <w:r w:rsidR="00185BAD" w:rsidRPr="0098576A">
        <w:rPr>
          <w:i/>
          <w:iCs/>
        </w:rPr>
        <w:t>možné</w:t>
      </w:r>
      <w:r w:rsidRPr="0098576A">
        <w:rPr>
          <w:i/>
          <w:iCs/>
        </w:rPr>
        <w:t xml:space="preserve"> postup lidem vysvětlit)</w:t>
      </w:r>
    </w:p>
    <w:p w:rsidR="0061355C" w:rsidRPr="0098576A" w:rsidRDefault="000865D6">
      <w:pPr>
        <w:pStyle w:val="Normln-tun"/>
        <w:numPr>
          <w:ilvl w:val="0"/>
          <w:numId w:val="96"/>
        </w:numPr>
        <w:rPr>
          <w:i/>
          <w:iCs/>
        </w:rPr>
      </w:pPr>
      <w:r w:rsidRPr="0098576A">
        <w:rPr>
          <w:i/>
          <w:iCs/>
        </w:rPr>
        <w:t>Zvýšení motivačních prvků</w:t>
      </w:r>
      <w:r w:rsidR="00191672" w:rsidRPr="0098576A">
        <w:rPr>
          <w:i/>
          <w:iCs/>
        </w:rPr>
        <w:t>, aby bylo zamezeno případným spekulacím, tj. motivační příplatek nepřidělit, pokud by ho osoba získala v určitém časově omezeném předstihu před vlastním projednáváním výkupu (např. po zahájení projednání změny územního plánu apod.).</w:t>
      </w:r>
    </w:p>
    <w:p w:rsidR="0061355C" w:rsidRPr="0098576A" w:rsidRDefault="000865D6">
      <w:pPr>
        <w:pStyle w:val="Normln-tun"/>
        <w:numPr>
          <w:ilvl w:val="0"/>
          <w:numId w:val="96"/>
        </w:numPr>
        <w:rPr>
          <w:i/>
          <w:iCs/>
        </w:rPr>
      </w:pPr>
      <w:r w:rsidRPr="0098576A">
        <w:rPr>
          <w:i/>
          <w:iCs/>
        </w:rPr>
        <w:t>Jednotný přístup k vyvlastnění u všech účelů. Dopravní stavby mají jiný režim. V mnoha ohledech lepší než vodní stavby</w:t>
      </w:r>
    </w:p>
    <w:p w:rsidR="0061355C" w:rsidRPr="0098576A" w:rsidRDefault="000865D6">
      <w:pPr>
        <w:pStyle w:val="Normln-tun"/>
        <w:numPr>
          <w:ilvl w:val="0"/>
          <w:numId w:val="96"/>
        </w:numPr>
        <w:rPr>
          <w:i/>
          <w:iCs/>
        </w:rPr>
      </w:pPr>
      <w:r w:rsidRPr="0098576A">
        <w:rPr>
          <w:i/>
          <w:iCs/>
        </w:rPr>
        <w:t xml:space="preserve">Rozšířit působnost ZUV i </w:t>
      </w:r>
      <w:r w:rsidRPr="0098576A">
        <w:rPr>
          <w:i/>
          <w:iCs/>
        </w:rPr>
        <w:t xml:space="preserve">na další veřejně prospěšné stavby. </w:t>
      </w:r>
    </w:p>
    <w:p w:rsidR="0061355C" w:rsidRPr="0098576A" w:rsidRDefault="000865D6">
      <w:pPr>
        <w:pStyle w:val="Normln-tun"/>
        <w:numPr>
          <w:ilvl w:val="0"/>
          <w:numId w:val="96"/>
        </w:numPr>
        <w:rPr>
          <w:i/>
          <w:iCs/>
        </w:rPr>
      </w:pPr>
      <w:r w:rsidRPr="0098576A">
        <w:rPr>
          <w:i/>
          <w:iCs/>
        </w:rPr>
        <w:t>Není zcela srozumitelné, zda se do ceny vyvlastňovaného práva promítá jak zhodnocení, tak případné znehodnocení okolních pozemků</w:t>
      </w:r>
    </w:p>
    <w:p w:rsidR="0061355C" w:rsidRPr="0098576A" w:rsidRDefault="000865D6">
      <w:pPr>
        <w:pStyle w:val="Normln-tun"/>
        <w:numPr>
          <w:ilvl w:val="0"/>
          <w:numId w:val="96"/>
        </w:numPr>
        <w:rPr>
          <w:i/>
          <w:iCs/>
        </w:rPr>
      </w:pPr>
      <w:r w:rsidRPr="0098576A">
        <w:rPr>
          <w:i/>
          <w:iCs/>
        </w:rPr>
        <w:t xml:space="preserve">Není zcela srozumitelné, zda je stanoven postup při ocenění „ušlého zisku“ při ztrátě </w:t>
      </w:r>
      <w:r w:rsidRPr="0098576A">
        <w:rPr>
          <w:i/>
          <w:iCs/>
        </w:rPr>
        <w:t>vlastnictví, či práv k vyvlastňovanému pozemku</w:t>
      </w:r>
    </w:p>
    <w:p w:rsidR="0061355C" w:rsidRPr="0098576A" w:rsidRDefault="000865D6" w:rsidP="0098576A">
      <w:pPr>
        <w:pStyle w:val="Normln-tun"/>
        <w:rPr>
          <w:i/>
          <w:iCs/>
        </w:rPr>
      </w:pPr>
      <w:r w:rsidRPr="0098576A">
        <w:rPr>
          <w:i/>
          <w:iCs/>
        </w:rPr>
        <w:t>K části z právního pohledu:</w:t>
      </w:r>
    </w:p>
    <w:p w:rsidR="0061355C" w:rsidRPr="0098576A" w:rsidRDefault="000865D6">
      <w:pPr>
        <w:pStyle w:val="Normln-tun"/>
        <w:numPr>
          <w:ilvl w:val="0"/>
          <w:numId w:val="97"/>
        </w:numPr>
        <w:rPr>
          <w:i/>
          <w:iCs/>
        </w:rPr>
      </w:pPr>
      <w:r w:rsidRPr="0098576A">
        <w:rPr>
          <w:i/>
          <w:iCs/>
        </w:rPr>
        <w:t>Přijetí a účinnost občanského zákoníku vyvolává problémy mimo jiné v oblasti aplikace zákona o vyvlastnění.</w:t>
      </w:r>
      <w:r w:rsidR="008275CF" w:rsidRPr="0098576A">
        <w:rPr>
          <w:i/>
          <w:iCs/>
        </w:rPr>
        <w:t xml:space="preserve"> Občanský zákoník též vrátil do právního řádu právo stavby.</w:t>
      </w:r>
    </w:p>
    <w:p w:rsidR="0061355C" w:rsidRPr="0098576A" w:rsidRDefault="000865D6">
      <w:pPr>
        <w:pStyle w:val="Normln-tun"/>
        <w:numPr>
          <w:ilvl w:val="0"/>
          <w:numId w:val="97"/>
        </w:numPr>
        <w:rPr>
          <w:i/>
          <w:iCs/>
        </w:rPr>
      </w:pPr>
      <w:r w:rsidRPr="0098576A">
        <w:rPr>
          <w:i/>
          <w:iCs/>
        </w:rPr>
        <w:t>V dosavadním z</w:t>
      </w:r>
      <w:r w:rsidRPr="0098576A">
        <w:rPr>
          <w:i/>
          <w:iCs/>
        </w:rPr>
        <w:t xml:space="preserve">nění umožňuje zákon o vyvlastnění autoritativní zásahy do vlastnického práva k pozemkům a stavbám, a také zásahy do práv odpovídajících věcným břemenům. Z tohoto hlediska je nezbytné upozornit, že zákon tím pádem </w:t>
      </w:r>
      <w:r w:rsidRPr="0098576A">
        <w:rPr>
          <w:i/>
          <w:iCs/>
        </w:rPr>
        <w:lastRenderedPageBreak/>
        <w:t>neumožňuje autoritativní zásah do práv k ně</w:t>
      </w:r>
      <w:r w:rsidRPr="0098576A">
        <w:rPr>
          <w:i/>
          <w:iCs/>
        </w:rPr>
        <w:t>čemu, co není ani pozemkem, ani stavbou. Konkrétně tedy jde o jednotky podle ustanovení § 1159 občanského zákoníku. Jednotka, zahrnující i společné části, není ani stavbou, ani pozemkem, a tedy nemůže být předmětem vyvlastnění.</w:t>
      </w:r>
      <w:r w:rsidR="008275CF" w:rsidRPr="0098576A">
        <w:rPr>
          <w:i/>
          <w:iCs/>
        </w:rPr>
        <w:t xml:space="preserve"> </w:t>
      </w:r>
    </w:p>
    <w:p w:rsidR="0061355C" w:rsidRPr="0098576A" w:rsidRDefault="000865D6" w:rsidP="0098576A">
      <w:pPr>
        <w:pStyle w:val="Normln-tun"/>
        <w:rPr>
          <w:i/>
          <w:iCs/>
        </w:rPr>
      </w:pPr>
      <w:r w:rsidRPr="0098576A">
        <w:rPr>
          <w:i/>
          <w:iCs/>
        </w:rPr>
        <w:t>Povodí Moravy</w:t>
      </w:r>
    </w:p>
    <w:p w:rsidR="0061355C" w:rsidRPr="0098576A" w:rsidRDefault="000865D6" w:rsidP="0098576A">
      <w:pPr>
        <w:pStyle w:val="Normln-tun"/>
        <w:rPr>
          <w:i/>
          <w:iCs/>
        </w:rPr>
      </w:pPr>
      <w:r w:rsidRPr="0098576A">
        <w:rPr>
          <w:i/>
          <w:iCs/>
        </w:rPr>
        <w:t>Předně si dov</w:t>
      </w:r>
      <w:r w:rsidRPr="0098576A">
        <w:rPr>
          <w:i/>
          <w:iCs/>
        </w:rPr>
        <w:t xml:space="preserve">olíme navrhnout v souvislosti s připravovaným záměrem nového zákona o vyvlastnění doplnění samotného stěžejního zákona č. 254/2001 Sb., o vodách, v ust. § 55a, který ve svém aktuálním znění upravuje možnost odejmutí nebo omezení vlastnického práva jen pro </w:t>
      </w:r>
      <w:r w:rsidRPr="0098576A">
        <w:rPr>
          <w:i/>
          <w:iCs/>
        </w:rPr>
        <w:t>stavby na ochranu před povodněmi. S ohledem na klimatické podmínky a na významu nabírající aktuální otázky sucha, navrhujeme předmětné ustanovení doplnit následovně:</w:t>
      </w:r>
    </w:p>
    <w:p w:rsidR="0061355C" w:rsidRPr="0098576A" w:rsidRDefault="000865D6">
      <w:pPr>
        <w:pStyle w:val="Normln-tun"/>
        <w:numPr>
          <w:ilvl w:val="0"/>
          <w:numId w:val="98"/>
        </w:numPr>
        <w:rPr>
          <w:i/>
          <w:iCs/>
        </w:rPr>
      </w:pPr>
      <w:r w:rsidRPr="0098576A">
        <w:rPr>
          <w:i/>
          <w:iCs/>
        </w:rPr>
        <w:t xml:space="preserve">§ 55a (návrh nového znění): Práva k pozemkům a stavbám, potřebným pro uskutečnění veřejně </w:t>
      </w:r>
      <w:r w:rsidRPr="0098576A">
        <w:rPr>
          <w:i/>
          <w:iCs/>
        </w:rPr>
        <w:t>prospěšných staveb na ochranu před povodněmi, k prevenci nebo zmírnění následků sucha, lze odejmout nebo omezit postupem podle zákona o vyvlastnění. Další návrh ke zvážení podáváme doplnění téhož ustanovení § 55a vodního zákona o obdobnou právní úpravu, kt</w:t>
      </w:r>
      <w:r w:rsidRPr="0098576A">
        <w:rPr>
          <w:i/>
          <w:iCs/>
        </w:rPr>
        <w:t>erou má zákon č. 13/1997 Sb., o pozemních komunikacích, v platném znění. Ve svém § 17 odst. 2 připouští podle zvláštního právního předpisu (zákon o vyvlastnění) odejmout nebo omezit pod písm. b) vlastnické právo k pozemku, jestliže byla dálnice, silnice ne</w:t>
      </w:r>
      <w:r w:rsidRPr="0098576A">
        <w:rPr>
          <w:i/>
          <w:iCs/>
        </w:rPr>
        <w:t>bo místní komunikace zřízena na cizím pozemku. V podmínkách správců povodí by se jednalo o rozšíření zákonné definice omezení vlastnického práva k pozemku, na kterém bylo vybudováno vodní dílo. Jsme si vědomí, že návrh takovéhoto rozšíření může vyvolat roz</w:t>
      </w:r>
      <w:r w:rsidRPr="0098576A">
        <w:rPr>
          <w:i/>
          <w:iCs/>
        </w:rPr>
        <w:t>poruplnost právních názorů zejm. s ohledem na status vodního díla jako samostatné věci dle NOZ. Nicméně v praxi státních podniků v okamžiku přípravy zejména investičních akcí dochází ke střetům veřejného zájmu s nelibostí vlastníků dotčených pozemků a kraj</w:t>
      </w:r>
      <w:r w:rsidRPr="0098576A">
        <w:rPr>
          <w:i/>
          <w:iCs/>
        </w:rPr>
        <w:t>ní variantou by mohlo být vyvlastnění pro již existující stavbu vodního díla.</w:t>
      </w:r>
    </w:p>
    <w:p w:rsidR="0061355C" w:rsidRPr="0098576A" w:rsidRDefault="000865D6" w:rsidP="0098576A">
      <w:pPr>
        <w:pStyle w:val="Normln-tun"/>
        <w:rPr>
          <w:i/>
          <w:iCs/>
        </w:rPr>
      </w:pPr>
      <w:r w:rsidRPr="0098576A">
        <w:rPr>
          <w:i/>
          <w:iCs/>
        </w:rPr>
        <w:t>Stran samotného zákona o vyvlastnění navrhujeme, aby vyvlastňovacím úřadem dle ust. § 15 odst. 1 byl krajský úřad na místo současného obecního úřadu s rozšířenou působností.</w:t>
      </w:r>
      <w:r w:rsidR="00AC380A" w:rsidRPr="0098576A">
        <w:rPr>
          <w:i/>
          <w:iCs/>
        </w:rPr>
        <w:t xml:space="preserve"> </w:t>
      </w:r>
      <w:r w:rsidRPr="0098576A">
        <w:rPr>
          <w:i/>
          <w:iCs/>
        </w:rPr>
        <w:t>V pr</w:t>
      </w:r>
      <w:r w:rsidRPr="0098576A">
        <w:rPr>
          <w:i/>
          <w:iCs/>
        </w:rPr>
        <w:t>axi je bohužel toto správní řízení často vedeno úřadem (ORP), který nemá zkušenosti a dostatečné odborné kapacity a s vyvlastňovacím řízením se setká nezřídka poprvé. Řízení jsou tak často protahována a postižena lidskou chybou.</w:t>
      </w:r>
    </w:p>
    <w:p w:rsidR="0061355C" w:rsidRPr="0098576A" w:rsidRDefault="000865D6" w:rsidP="0098576A">
      <w:pPr>
        <w:pStyle w:val="Normln-tun"/>
        <w:rPr>
          <w:i/>
          <w:iCs/>
        </w:rPr>
      </w:pPr>
      <w:r w:rsidRPr="0098576A">
        <w:rPr>
          <w:i/>
          <w:iCs/>
        </w:rPr>
        <w:t>Otevřenou otázku nového zák</w:t>
      </w:r>
      <w:r w:rsidRPr="0098576A">
        <w:rPr>
          <w:i/>
          <w:iCs/>
        </w:rPr>
        <w:t>ona o vyvlastnění uzavíráme s tím, že je žádoucí, aby bylo vyvlastnění zásadně vždy méně výhodné než dohoda (zejm. s ohledem na náklady a zdlouhavost řízení). Proto by bylo vhodné, mimo doprecizování nedostatků současného zákona (blíže materiál MMR: Kompen</w:t>
      </w:r>
      <w:r w:rsidRPr="0098576A">
        <w:rPr>
          <w:i/>
          <w:iCs/>
        </w:rPr>
        <w:t>zace za odnětí a omezení vlastnického práva dle zákona o vyvlastnění rozeslaný MZE v září 2019) promítnout do nové právní úpravy, rozšíř</w:t>
      </w:r>
      <w:r w:rsidR="00487BF4" w:rsidRPr="0098576A">
        <w:rPr>
          <w:i/>
          <w:iCs/>
        </w:rPr>
        <w:t>ení</w:t>
      </w:r>
      <w:r w:rsidRPr="0098576A">
        <w:rPr>
          <w:i/>
          <w:iCs/>
        </w:rPr>
        <w:t xml:space="preserve"> působnost</w:t>
      </w:r>
      <w:r w:rsidR="00487BF4" w:rsidRPr="0098576A">
        <w:rPr>
          <w:i/>
          <w:iCs/>
        </w:rPr>
        <w:t>i</w:t>
      </w:r>
      <w:r w:rsidRPr="0098576A">
        <w:rPr>
          <w:i/>
          <w:iCs/>
        </w:rPr>
        <w:t xml:space="preserve"> ust. § 3b zákona č. 416/2009 Sb., o urychlení výstavby dopravní, vodní, energetické a komunikační infrast</w:t>
      </w:r>
      <w:r w:rsidRPr="0098576A">
        <w:rPr>
          <w:i/>
          <w:iCs/>
        </w:rPr>
        <w:t>ruktury, na další účely vyvlastnění, tj. i pro vodní infrastrukturu a upravit pravidla nabývání majetku u státního podniku se zakotvením výjimky pro nabývání majetku dle této speciální právní úpravy.</w:t>
      </w:r>
    </w:p>
    <w:p w:rsidR="00487BF4" w:rsidRPr="0098576A" w:rsidRDefault="000865D6" w:rsidP="0098576A">
      <w:pPr>
        <w:pStyle w:val="Normln-tun"/>
        <w:rPr>
          <w:u w:val="single"/>
        </w:rPr>
      </w:pPr>
      <w:r w:rsidRPr="0098576A">
        <w:rPr>
          <w:u w:val="single"/>
        </w:rPr>
        <w:t>Ministerstvo kultury</w:t>
      </w:r>
    </w:p>
    <w:p w:rsidR="006C1C07" w:rsidRDefault="000865D6" w:rsidP="0098576A">
      <w:pPr>
        <w:pStyle w:val="Normln-tun"/>
      </w:pPr>
      <w:r w:rsidRPr="0098576A">
        <w:rPr>
          <w:i/>
          <w:iCs/>
        </w:rPr>
        <w:t>„Vyvlastnění kulturní památky z titulu památkové péče nebylo dosud v ČR aplikováno, byť se o něm výjimečně v konkrétních případech hovoří jako o možném řešení. Jde o extrémní řešení, které i v zahraničí bývá používáno naprosto výlučně. Historicky první roz</w:t>
      </w:r>
      <w:r w:rsidRPr="0098576A">
        <w:rPr>
          <w:i/>
          <w:iCs/>
        </w:rPr>
        <w:t xml:space="preserve">sudek ve věci vyvlastnění kulturní památky z titulu památkové péče ve Spolkové republice Německo padl poprvé v Durynsku v prosinci 2019, tj. teprve na konci loňského roku. Zatím tak i v </w:t>
      </w:r>
      <w:r w:rsidRPr="0098576A">
        <w:rPr>
          <w:i/>
          <w:iCs/>
        </w:rPr>
        <w:lastRenderedPageBreak/>
        <w:t xml:space="preserve">Německu chybí právnická literatura, která by se rozborem této kauzy a </w:t>
      </w:r>
      <w:r w:rsidRPr="0098576A">
        <w:rPr>
          <w:i/>
          <w:iCs/>
        </w:rPr>
        <w:t>jejím zobecněním zabývala. Na druhou stranu jako takováto výjimečná koncovka extrémního případu má vyvlastnění v právní úpravě svůj smysl, byť si tato úprava zajisté vyžádá zásadní změnu ve vlastním textu zákona o státní památkové péči, včetně zakotvení po</w:t>
      </w:r>
      <w:r w:rsidRPr="0098576A">
        <w:rPr>
          <w:i/>
          <w:iCs/>
        </w:rPr>
        <w:t>jistek proti zneužití tohoto titulu. Zde by mohla být durynská zkušenost zcela zásadní.“</w:t>
      </w:r>
      <w:r w:rsidR="002075AF" w:rsidRPr="0098576A">
        <w:rPr>
          <w:i/>
          <w:iCs/>
        </w:rPr>
        <w:t xml:space="preserve"> </w:t>
      </w:r>
    </w:p>
    <w:p w:rsidR="003116A5" w:rsidRPr="00D205BB" w:rsidRDefault="000865D6" w:rsidP="0098576A">
      <w:pPr>
        <w:pStyle w:val="Normln-tun"/>
      </w:pPr>
      <w:r w:rsidRPr="00D205BB">
        <w:t>Zámecký areál</w:t>
      </w:r>
      <w:r w:rsidR="00487BF4" w:rsidRPr="00D205BB">
        <w:t xml:space="preserve"> Reinhardsbrunn v </w:t>
      </w:r>
      <w:r w:rsidR="000945ED" w:rsidRPr="00D205BB">
        <w:t>d</w:t>
      </w:r>
      <w:r w:rsidR="00487BF4" w:rsidRPr="00D205BB">
        <w:t xml:space="preserve">urynském okrese Gotha byl vyvlastněn v červenci 2018 </w:t>
      </w:r>
      <w:r w:rsidR="000945ED" w:rsidRPr="00D205BB">
        <w:t>s cílem jeho záchrany</w:t>
      </w:r>
      <w:r w:rsidR="00487BF4" w:rsidRPr="00D205BB">
        <w:t xml:space="preserve">. </w:t>
      </w:r>
      <w:r w:rsidR="000945ED" w:rsidRPr="00D205BB">
        <w:t xml:space="preserve">V listopadu </w:t>
      </w:r>
      <w:r w:rsidR="00487BF4" w:rsidRPr="00D205BB">
        <w:t xml:space="preserve">soud v Meiningenu </w:t>
      </w:r>
      <w:r w:rsidR="000945ED" w:rsidRPr="00D205BB">
        <w:t>rozhodnutí potvrdil</w:t>
      </w:r>
      <w:r w:rsidR="00487BF4" w:rsidRPr="00D205BB">
        <w:t xml:space="preserve">. </w:t>
      </w:r>
      <w:r w:rsidRPr="00D205BB">
        <w:t>Odvolán</w:t>
      </w:r>
      <w:r w:rsidRPr="00D205BB">
        <w:t>í bylo podáno hypotéčními věřiteli, jejichž nároky by měly vyvlastněním též zaniknout. V lednu 2020 byl rozsudek napaden. Převod zámku a jeho renovace se tak i nadále oddaluje.</w:t>
      </w:r>
    </w:p>
    <w:p w:rsidR="00487BF4" w:rsidRPr="00D205BB" w:rsidRDefault="000865D6" w:rsidP="0098576A">
      <w:pPr>
        <w:pStyle w:val="Normln-tun"/>
      </w:pPr>
      <w:r w:rsidRPr="00D205BB">
        <w:t>Zámecký areál Reinhardsbrunn má pro Durynsko kulturní a historický význam</w:t>
      </w:r>
      <w:r w:rsidR="003116A5" w:rsidRPr="00D205BB">
        <w:t>, avšak j</w:t>
      </w:r>
      <w:r w:rsidR="000945ED" w:rsidRPr="00D205BB">
        <w:t>iž téměř dvě desetiletí chátrá</w:t>
      </w:r>
      <w:r w:rsidR="003116A5" w:rsidRPr="00D205BB">
        <w:t xml:space="preserve">. </w:t>
      </w:r>
      <w:r w:rsidRPr="00D205BB">
        <w:t xml:space="preserve">Náklady na renovaci </w:t>
      </w:r>
      <w:r w:rsidR="003116A5" w:rsidRPr="00D205BB">
        <w:t>jsou nyní odhadovány na</w:t>
      </w:r>
      <w:r w:rsidRPr="00D205BB">
        <w:t xml:space="preserve"> 20 milionů EUR</w:t>
      </w:r>
      <w:r w:rsidR="003116A5" w:rsidRPr="00D205BB">
        <w:t xml:space="preserve">. Stát </w:t>
      </w:r>
      <w:r w:rsidRPr="00D205BB">
        <w:t xml:space="preserve">již poskytuje </w:t>
      </w:r>
      <w:r w:rsidR="003116A5" w:rsidRPr="00D205BB">
        <w:t>2</w:t>
      </w:r>
      <w:r w:rsidRPr="00D205BB">
        <w:t xml:space="preserve"> miliony EUR na nezbytn</w:t>
      </w:r>
      <w:r w:rsidR="003116A5" w:rsidRPr="00D205BB">
        <w:t>é</w:t>
      </w:r>
      <w:r w:rsidRPr="00D205BB">
        <w:t xml:space="preserve"> </w:t>
      </w:r>
      <w:r w:rsidR="003116A5" w:rsidRPr="00D205BB">
        <w:t>udržovací práce</w:t>
      </w:r>
      <w:r w:rsidRPr="00D205BB">
        <w:t>.</w:t>
      </w:r>
    </w:p>
    <w:p w:rsidR="006662F4" w:rsidRDefault="006662F4" w:rsidP="007B1A7B">
      <w:pPr>
        <w:pStyle w:val="Normln-tun"/>
        <w:rPr>
          <w:b/>
          <w:bCs/>
        </w:rPr>
      </w:pPr>
    </w:p>
    <w:p w:rsidR="002D3B15" w:rsidRPr="00193A70" w:rsidRDefault="000865D6" w:rsidP="00193A70">
      <w:pPr>
        <w:pStyle w:val="Nadpis2"/>
        <w:keepNext w:val="0"/>
        <w:widowControl w:val="0"/>
        <w:numPr>
          <w:ilvl w:val="1"/>
          <w:numId w:val="36"/>
        </w:numPr>
        <w:rPr>
          <w:rFonts w:eastAsia="Calibri"/>
        </w:rPr>
      </w:pPr>
      <w:bookmarkStart w:id="32" w:name="_Toc256000005"/>
      <w:r w:rsidRPr="00193A70">
        <w:rPr>
          <w:rFonts w:eastAsia="Calibri"/>
        </w:rPr>
        <w:t>Popis existujícího právního stavu v dané oblasti</w:t>
      </w:r>
      <w:bookmarkEnd w:id="32"/>
      <w:r w:rsidRPr="00193A70">
        <w:rPr>
          <w:rFonts w:eastAsia="Calibri"/>
        </w:rPr>
        <w:t xml:space="preserve"> </w:t>
      </w:r>
      <w:bookmarkStart w:id="33" w:name="_Toc98324291"/>
      <w:bookmarkStart w:id="34" w:name="_Toc98326058"/>
      <w:bookmarkStart w:id="35" w:name="_Toc99651038"/>
      <w:bookmarkStart w:id="36" w:name="_Toc99989465"/>
      <w:bookmarkStart w:id="37" w:name="_Toc100606992"/>
      <w:bookmarkStart w:id="38" w:name="_Toc110856271"/>
      <w:bookmarkStart w:id="39" w:name="_Toc110856306"/>
      <w:bookmarkEnd w:id="33"/>
      <w:bookmarkEnd w:id="34"/>
      <w:bookmarkEnd w:id="35"/>
      <w:bookmarkEnd w:id="36"/>
      <w:bookmarkEnd w:id="37"/>
      <w:bookmarkEnd w:id="38"/>
      <w:bookmarkEnd w:id="39"/>
    </w:p>
    <w:p w:rsidR="00B14625" w:rsidRPr="00D205BB" w:rsidRDefault="000865D6" w:rsidP="00D205BB">
      <w:pPr>
        <w:pStyle w:val="Normln-tun"/>
      </w:pPr>
      <w:r w:rsidRPr="00D205BB">
        <w:t>Základní zákonné zmocnění k vyvlastnění představ</w:t>
      </w:r>
      <w:r w:rsidRPr="00D205BB">
        <w:t>uje zákon č. 184/2006 Sb., o odnětí nebo omezení vlastnického práva k pozemku nebo ke stavbě (zákon o vyvlastnění, dále také jako „VyvlZ”), který nabyl účinnosti dne 1. 1. 2007. Před přijetím VyvlZ byla problematika odnětí a omezení vlastnického práva upra</w:t>
      </w:r>
      <w:r w:rsidRPr="00D205BB">
        <w:t>vena v zákoně č. 50/1976 Sb., stavební zákon, který pozbyl účinnosti ke dni 31. 12. 2006.</w:t>
      </w:r>
    </w:p>
    <w:p w:rsidR="00B14625" w:rsidRPr="00D205BB" w:rsidRDefault="000865D6" w:rsidP="00D205BB">
      <w:pPr>
        <w:pStyle w:val="Normln-tun"/>
      </w:pPr>
      <w:r w:rsidRPr="00D205BB">
        <w:t>VyvlZ upravuje jak postup vyvlastnitele před vyvlastněním, tak samotný průběh vyvlastňovacího řízení. Obecnou úpravu správního procesu představuje zákon č. 500/2004 S</w:t>
      </w:r>
      <w:r w:rsidRPr="00D205BB">
        <w:t>b., správní řád, přičemž VyvlZ stanovuje některé odchylky od obecného postupu. Zákon č. 416/2009 Sb., o urychlení výstavby dopravní, vodní a energetické infrastruktury pak umožňuje zkrátit řízení o vyvlastnění za předpokladu splnění zde definovaných podmín</w:t>
      </w:r>
      <w:r w:rsidRPr="00D205BB">
        <w:t xml:space="preserve">ek. Zcela mimo VyvlZ jsou pak vymezeny účely, pro které může být vyvlastnění provedeno. Tyto účely jsou vymezeny zvláštními zákony, a to například </w:t>
      </w:r>
      <w:r w:rsidRPr="00C60BB4">
        <w:t>zákonem č. 183/2006 Sb., o územním plánování a stavebním řádu</w:t>
      </w:r>
      <w:r w:rsidR="00C60BB4" w:rsidRPr="00C60BB4">
        <w:t xml:space="preserve"> (zrušen k 1. 7. 2023</w:t>
      </w:r>
      <w:r w:rsidR="00EC72AA">
        <w:t>)</w:t>
      </w:r>
      <w:r w:rsidRPr="00C60BB4">
        <w:t xml:space="preserve">, </w:t>
      </w:r>
      <w:r w:rsidR="00C60BB4">
        <w:t>po</w:t>
      </w:r>
      <w:r w:rsidR="00EC72AA">
        <w:t xml:space="preserve"> jeho zrušení</w:t>
      </w:r>
      <w:r w:rsidR="00C60BB4">
        <w:t xml:space="preserve"> </w:t>
      </w:r>
      <w:r w:rsidR="00C60BB4" w:rsidRPr="00C60BB4">
        <w:t>zákon</w:t>
      </w:r>
      <w:r w:rsidR="00C60BB4">
        <w:t>em</w:t>
      </w:r>
      <w:r w:rsidR="00C60BB4" w:rsidRPr="00C60BB4">
        <w:t xml:space="preserve"> č. 283/2021 Sb., stavební zákon</w:t>
      </w:r>
      <w:r w:rsidR="00C60BB4">
        <w:t xml:space="preserve">, </w:t>
      </w:r>
      <w:r w:rsidR="00C60BB4" w:rsidRPr="00C60BB4">
        <w:t xml:space="preserve"> </w:t>
      </w:r>
      <w:r w:rsidR="00C60BB4">
        <w:t>který</w:t>
      </w:r>
      <w:r w:rsidR="00C60BB4" w:rsidRPr="00C60BB4">
        <w:t xml:space="preserve"> nabývá, s výjimkou vybraných ustanovení, účinnosti dnem 1. 7. 2023;</w:t>
      </w:r>
      <w:r w:rsidR="00C60BB4">
        <w:t xml:space="preserve"> </w:t>
      </w:r>
      <w:r w:rsidRPr="00D205BB">
        <w:t>zákonem č. 13/1997 Sb., o pozemních komunikacích, zákonem č. 164/2001 Sb., o přírodních léčivých zdrojích, zdrojích přírodních minerálních vod, přír</w:t>
      </w:r>
      <w:r w:rsidRPr="00D205BB">
        <w:t>odních léčebných lázních a lázeňských místech a o změně některých souvisejících zákonů, zákonem č. 254/2001 Sb., vodní zákon a o změně některých zákonů, zákonem č. 458/2000 Sb., o podmínkách podnikání a o výkonu správy v energetických odvětv</w:t>
      </w:r>
      <w:r w:rsidR="00DF4999" w:rsidRPr="00D205BB">
        <w:t xml:space="preserve">ích a o změně některých zákonů </w:t>
      </w:r>
      <w:r w:rsidRPr="00D205BB">
        <w:t>či zákonem č. 127/2005 Sb., o elektronických komunikacích a o změně některých souvisejících zákonů.</w:t>
      </w:r>
    </w:p>
    <w:p w:rsidR="00B14625" w:rsidRPr="00D205BB" w:rsidRDefault="000865D6" w:rsidP="00D205BB">
      <w:pPr>
        <w:pStyle w:val="Normln-tun"/>
      </w:pPr>
      <w:r w:rsidRPr="00D205BB">
        <w:t>Veškerá rozhodnutí vydaná v rámci vyvlastňovacího řízení je v současné době možné přezkoumat ve dvojím režimu, a to v závislosti na tom, čeh</w:t>
      </w:r>
      <w:r w:rsidRPr="00D205BB">
        <w:t>o se stěžovatel dovolává. Žaloby proti samotnému výroku o vyvlastnění spadají pod soudní přezkum z oblasti veřejného práva, pravomoc tak mají soudy v rámci správního soudnictví. Základním předpisem v dané věci je pak zákon č.</w:t>
      </w:r>
      <w:r w:rsidR="00F02636" w:rsidRPr="00D205BB">
        <w:t> </w:t>
      </w:r>
      <w:r w:rsidRPr="00D205BB">
        <w:t>150/2002</w:t>
      </w:r>
      <w:r w:rsidR="00F02636" w:rsidRPr="00D205BB">
        <w:t> </w:t>
      </w:r>
      <w:r w:rsidRPr="00D205BB">
        <w:t xml:space="preserve">Sb., soudní řád </w:t>
      </w:r>
      <w:r w:rsidRPr="00D205BB">
        <w:t>správní. Naopak žaloba, kterou se osoba domáhá přezkumu výše náhrady za vyvlastnění, představuje soukromoprávní nárok, který je přezkoumáván civilními soudy. Základním předpisem v této oblasti je pak zákon č. 99/1963 Sb., občanský soudní řád.</w:t>
      </w:r>
    </w:p>
    <w:p w:rsidR="00B14625" w:rsidRPr="00D205BB" w:rsidRDefault="000865D6" w:rsidP="00D205BB">
      <w:pPr>
        <w:pStyle w:val="Normln-tun"/>
      </w:pPr>
      <w:r w:rsidRPr="00D205BB">
        <w:t>Tento „duální</w:t>
      </w:r>
      <w:r w:rsidRPr="00D205BB">
        <w:t xml:space="preserve">“ model soudního přezkumu byl zaveden novelou zákona o vyvlastnění (zákonem č. 405/2012 Sb.), která nabyla účinnosti 1. 2. 2013. Před tímto datem, tedy v </w:t>
      </w:r>
      <w:r w:rsidRPr="00D205BB">
        <w:lastRenderedPageBreak/>
        <w:t>období od 1. 1. 2007 do 31. 1. 2013 byly civilní soudy příslušné k přezkumu všech výroků v řízení o vy</w:t>
      </w:r>
      <w:r w:rsidRPr="00D205BB">
        <w:t xml:space="preserve">vlastnění. I v rozhodnutích vydaných civilními soudy ve sledovaném období let 2016-2018 se tak stále setkáváme s řízeními, která byla zahájená před účinností novely č. 405/2012 Sb., a civilní soudy tak přezkoumávaly rozhodnutí vyvlastňovacích úřadů v celé </w:t>
      </w:r>
      <w:r w:rsidRPr="00D205BB">
        <w:t>šíři.</w:t>
      </w:r>
      <w:r>
        <w:rPr>
          <w:rStyle w:val="Znakapoznpodarou"/>
        </w:rPr>
        <w:footnoteReference w:id="14"/>
      </w:r>
    </w:p>
    <w:p w:rsidR="00DA7055" w:rsidRDefault="000865D6" w:rsidP="00D205BB">
      <w:pPr>
        <w:pStyle w:val="Normln-tun"/>
      </w:pPr>
      <w:r w:rsidRPr="00D205BB">
        <w:t>Důvodová zpráva k novele zákona o vyvlastnění (zákonu č. 405/2012 Sb.), která nabyla účinnosti 1. 2. 2013, k výše uvedenému říká následující: „Od 1. 1. 2003 do podzimu 2004 se pokládalo rozhodnutí o vyvlastnění za rozhodnutí ve věci soukromého práva</w:t>
      </w:r>
      <w:r w:rsidRPr="00D205BB">
        <w:t>, o níž se má rozhodovat podle části páté občanského soudního řádu. Od roku 2004 až do účinnosti zákona o vyvlastnění (tj. 1. 1. 2007) se uplatňoval duální model soudního přezkumu, kdy se vycházelo z rozhodnutí rozšířeného senátu Nejvyššího správního soudu</w:t>
      </w:r>
      <w:r w:rsidRPr="00D205BB">
        <w:t xml:space="preserve"> ze dne 12. 10. 2004, č. j. 4 As 47/2003-125, Sb. NSS č. 448/2005 a na něj navazujícího rozhodnutí zvláštního senátu č. j. Konf 81/2004-12 ze dne 5. 5. 2005, Sb. NSS č. 676/2005. Podle nich bylo rozhodnutí správního orgánu o vyvlastnění nebo nuceném omezen</w:t>
      </w:r>
      <w:r w:rsidRPr="00D205BB">
        <w:t>í vlastnického práva kvalifikováno jako rozhodnutí veřejnoprávní povahy, k jehož přezkumu jsou příslušné soudy ve správním soudnictví podle soudního řádu správního, kdežto</w:t>
      </w:r>
      <w:r>
        <w:t xml:space="preserve"> rozhodnutí o náhradě je naopak rozhodnutím ve věci soukromoprávní, k jehož přezkumu </w:t>
      </w:r>
      <w:r>
        <w:t xml:space="preserve">jsou příslušné soudy v občanském soudním řízení podle části páté občanského soudního řádu. K věci se vyjádřil také Ústavní soud v rozhodnutí Pl.ÚS 14/06 ze dne 7. 12. 2006, který uvedl, že </w:t>
      </w:r>
      <w:r w:rsidRPr="00824456">
        <w:rPr>
          <w:i/>
        </w:rPr>
        <w:t>„pro určení toho, zda se určitá věc bude projednávat a rozhodovat v</w:t>
      </w:r>
      <w:r w:rsidRPr="00824456">
        <w:rPr>
          <w:i/>
        </w:rPr>
        <w:t xml:space="preserve"> civilním nebo ve správním soudnictví, je rozhodující soukromoprávní nebo veřejnoprávní povaha zásahu do vlastnického práva, nikoliv právní povaha vlastnického práva samotného. Napadá-li žalobce rozhodnutí o vyvlastnění nebo o nuceném omezení vlastnického </w:t>
      </w:r>
      <w:r w:rsidRPr="00824456">
        <w:rPr>
          <w:i/>
        </w:rPr>
        <w:t>práva zřízením věcného břemene, není předmětem soudního řízení sama otázka vlastnického práva (není zde spor o vlastnické právo), nýbrž jeho předmětem je přezkum rozhodnutí o vyvlastnění nebo o nuceném omezení vlastnického práva. … Rozhodnutí správního org</w:t>
      </w:r>
      <w:r w:rsidRPr="00824456">
        <w:rPr>
          <w:i/>
        </w:rPr>
        <w:t>ánu o zřízení věcného břemene nepochybně zasahuje do vlastnického práva. To, že vlastnické právo je právem soukromým, však současně neznamená, že by i rozhodování o jakémkoli zásahu do tohoto práva mělo tutéž povahu“</w:t>
      </w:r>
      <w:r>
        <w:t xml:space="preserve">. Dnem 1. 1. 2007 nabyl účinnosti zákon </w:t>
      </w:r>
      <w:r>
        <w:t xml:space="preserve">o vyvlastnění, jehož § 28 odst. 1 zněl: </w:t>
      </w:r>
      <w:r w:rsidRPr="00824456">
        <w:rPr>
          <w:i/>
        </w:rPr>
        <w:t>„K řízení ve věci vyvlastnění, která má být projednána v občanském soudním řízení, je v prvním stupni příslušný krajský soud.“</w:t>
      </w:r>
      <w:r>
        <w:t xml:space="preserve"> Toto ustanovení bylo na základě rozhodnutí zvláštního senátu pro rozhodování některých ko</w:t>
      </w:r>
      <w:r>
        <w:t>mpetenčních sporů č.</w:t>
      </w:r>
      <w:r w:rsidR="00824456">
        <w:t xml:space="preserve"> </w:t>
      </w:r>
      <w:r>
        <w:t>j. Konf 4/2007 - 6 z 8. 6. 2007, Sb.</w:t>
      </w:r>
      <w:r w:rsidR="00824456">
        <w:t xml:space="preserve"> </w:t>
      </w:r>
      <w:r>
        <w:t xml:space="preserve">NSS č. 1312/2007 vykládáno tak, že </w:t>
      </w:r>
      <w:r w:rsidRPr="00824456">
        <w:rPr>
          <w:i/>
        </w:rPr>
        <w:t>„počínaje účinností zákona o vyvlastnění … zanikla příslušnost správních soudů k přezkumu zákonnosti rozhodnutí o vyvlastnění ve správním soudnictví. K řízení jsou</w:t>
      </w:r>
      <w:r w:rsidRPr="00824456">
        <w:rPr>
          <w:i/>
        </w:rPr>
        <w:t xml:space="preserve"> příslušné soudy v občanském soudním řízení, a to soudy krajské, které přitom procesně postupují podle části páté občanského soudního řádu ….“</w:t>
      </w:r>
      <w:r>
        <w:t>. Tento závěr byl později potvrzen např. rozhodnutími zvláštního senátu č.</w:t>
      </w:r>
      <w:r w:rsidR="00824456">
        <w:t xml:space="preserve"> </w:t>
      </w:r>
      <w:r>
        <w:t>j. Konf 34/2007 - 15 z 21. 5. 2008, Sb.</w:t>
      </w:r>
      <w:r>
        <w:t xml:space="preserve"> NSS č. 1677/2008 nebo č.</w:t>
      </w:r>
      <w:r w:rsidR="00824456">
        <w:t xml:space="preserve"> </w:t>
      </w:r>
      <w:r>
        <w:t>j. Konf 9/2009 - 4 ze 14. 9. 2009, Sb. NSS č. 2196/2011 a rovněž rozhodnutím Ústavního soudu č.</w:t>
      </w:r>
      <w:r w:rsidR="00824456">
        <w:t xml:space="preserve"> </w:t>
      </w:r>
      <w:r>
        <w:t xml:space="preserve">j. Pl. ÚS 26/08 ze 7. 4. 2009. Ústavní soud uvedl, že </w:t>
      </w:r>
      <w:r w:rsidRPr="00824456">
        <w:rPr>
          <w:i/>
        </w:rPr>
        <w:t>„přijetím zákona o vyvlastnění se právní stav výchozí pro soudní přezkum podle n</w:t>
      </w:r>
      <w:r w:rsidRPr="00824456">
        <w:rPr>
          <w:i/>
        </w:rPr>
        <w:t>ěho vydaných rozhodnutí zásadně změnil. Pravomoc projednávat a rozhodovat tyto věci byla svěřena soudům konajícím občanské soudní řízení“</w:t>
      </w:r>
      <w:r>
        <w:t>. Důvodová práva pak vyjmenovává problémy a uvádí, že „dřívější duální model soudního přezkumu rozhodnutí vyvlastňovací</w:t>
      </w:r>
      <w:r>
        <w:t xml:space="preserve">ho orgánu rozdělující tento přezkum mezi soudní řád správní a část pátou občanského soudního řádu také nebyl bez problémů, šlo však o problémy rázu v zásadě procedurálního vyplývající z toho, že se o žalobách </w:t>
      </w:r>
      <w:r>
        <w:lastRenderedPageBreak/>
        <w:t xml:space="preserve">rozhodovalo odděleně a u různých soudů – právě </w:t>
      </w:r>
      <w:r>
        <w:t>to ale zřejmě bylo důvodem úpravy obsažené v § 28 odst. 1 zákona o vyvlastnění, která měla sjednotit soudní přezkum obou částí téhož rozhodnutí alespoň u stejného soudu, byť v různých procesních režimech, což mělo (přinejmenším mohlo) umožnit obě řízení ko</w:t>
      </w:r>
      <w:r>
        <w:t>ordinovat – jinak by v řízení podle části páté občanského soudního řádu rozhodoval soud okresní a v řízení o správní žalobě soud krajský.“ Navržená a přijatá právní úprava se pak novelizací zákona o vyvlastňování vrátila od roku 2013 ke stavu před 1. 1. 20</w:t>
      </w:r>
      <w:r>
        <w:t xml:space="preserve">07, tzn. k duálnímu modelu soudního přezkumu, který tu dle Důvodové zprávy k novele byl a </w:t>
      </w:r>
      <w:r w:rsidRPr="00DA7055">
        <w:rPr>
          <w:b/>
        </w:rPr>
        <w:t>je vyzkoušený</w:t>
      </w:r>
      <w:r>
        <w:t>.</w:t>
      </w:r>
    </w:p>
    <w:p w:rsidR="00C33AE1" w:rsidRPr="00795817" w:rsidRDefault="000865D6" w:rsidP="00B14625">
      <w:pPr>
        <w:pStyle w:val="Normln-tun"/>
      </w:pPr>
      <w:r>
        <w:t>Specifika vyvlastňovacího řízení dle z</w:t>
      </w:r>
      <w:r w:rsidRPr="00FB3F03">
        <w:t>ákon</w:t>
      </w:r>
      <w:r>
        <w:t>a</w:t>
      </w:r>
      <w:r w:rsidRPr="00FB3F03">
        <w:t xml:space="preserve"> </w:t>
      </w:r>
      <w:r w:rsidR="00F02636">
        <w:t xml:space="preserve">č. </w:t>
      </w:r>
      <w:r w:rsidRPr="00FB3F03">
        <w:t>416/2009 Sb., o urychlení výstavby dopravní, vodní, energetické infrastruktury a infrastruktury elektron</w:t>
      </w:r>
      <w:r w:rsidRPr="00FB3F03">
        <w:t>ických komunikací</w:t>
      </w:r>
      <w:r>
        <w:t xml:space="preserve"> jsou uvedena v kap. 1.2.1.</w:t>
      </w:r>
    </w:p>
    <w:p w:rsidR="00E06C8F" w:rsidRPr="00795817" w:rsidRDefault="00E06C8F" w:rsidP="006E2B38"/>
    <w:p w:rsidR="00F24A78" w:rsidRPr="00795817" w:rsidRDefault="000865D6" w:rsidP="00C87F7C">
      <w:pPr>
        <w:pStyle w:val="Nadpis2"/>
        <w:keepNext w:val="0"/>
        <w:widowControl w:val="0"/>
        <w:numPr>
          <w:ilvl w:val="1"/>
          <w:numId w:val="36"/>
        </w:numPr>
      </w:pPr>
      <w:bookmarkStart w:id="40" w:name="_Toc256000006"/>
      <w:bookmarkStart w:id="41" w:name="_Toc534419792"/>
      <w:bookmarkStart w:id="42" w:name="_Toc399509833"/>
      <w:r w:rsidRPr="00795817">
        <w:rPr>
          <w:rFonts w:eastAsia="Calibri"/>
        </w:rPr>
        <w:t>Identifikace dotčených subjektů</w:t>
      </w:r>
      <w:bookmarkEnd w:id="40"/>
      <w:bookmarkEnd w:id="41"/>
      <w:r w:rsidRPr="00795817">
        <w:rPr>
          <w:rFonts w:eastAsia="Calibri"/>
        </w:rPr>
        <w:t xml:space="preserve"> </w:t>
      </w:r>
    </w:p>
    <w:p w:rsidR="009E3883" w:rsidRPr="00795817" w:rsidRDefault="000865D6" w:rsidP="009E3883">
      <w:pPr>
        <w:pStyle w:val="Normln-tun"/>
      </w:pPr>
      <w:r w:rsidRPr="00795817">
        <w:t xml:space="preserve">Návrh právní úpravy se dotkne především níže uvedených subjektů a institucí: </w:t>
      </w:r>
    </w:p>
    <w:p w:rsidR="009E3883" w:rsidRPr="00795817" w:rsidRDefault="000865D6" w:rsidP="00D03B3A">
      <w:pPr>
        <w:pStyle w:val="Normln-tun"/>
        <w:numPr>
          <w:ilvl w:val="0"/>
          <w:numId w:val="71"/>
        </w:numPr>
        <w:ind w:left="426" w:hanging="426"/>
      </w:pPr>
      <w:r w:rsidRPr="00795817">
        <w:t>Vyvlastňovací úřady</w:t>
      </w:r>
    </w:p>
    <w:p w:rsidR="00C94695" w:rsidRPr="00795817" w:rsidRDefault="000865D6" w:rsidP="00D03B3A">
      <w:pPr>
        <w:pStyle w:val="Normln-tun"/>
        <w:numPr>
          <w:ilvl w:val="0"/>
          <w:numId w:val="71"/>
        </w:numPr>
        <w:ind w:left="426" w:hanging="426"/>
      </w:pPr>
      <w:r w:rsidRPr="00795817">
        <w:t>Vyvlastnitel</w:t>
      </w:r>
      <w:r w:rsidR="009705AA">
        <w:t>é</w:t>
      </w:r>
    </w:p>
    <w:p w:rsidR="00C94695" w:rsidRPr="00795817" w:rsidRDefault="000865D6" w:rsidP="00C94695">
      <w:pPr>
        <w:pStyle w:val="Normln-tun"/>
        <w:ind w:left="426"/>
      </w:pPr>
      <w:r w:rsidRPr="00795817">
        <w:t xml:space="preserve">Podle § 2 písm. c) VyvlZ je vyvlastnitelem ten, kdo se domáhá, </w:t>
      </w:r>
      <w:r w:rsidRPr="00795817">
        <w:t xml:space="preserve">aby na něj přešlo vlastnické právo k vyvlastňovanému pozemku nebo stavbě, aby v jeho prospěch bylo k pozemku nebo stavbě zřízeno věcné břemeno nebo aby k nim bylo zrušeno nebo omezeno právo vyvlastňovaného odpovídající věcnému břemenu. Vyvlastnitelem může </w:t>
      </w:r>
      <w:r w:rsidRPr="00795817">
        <w:t>být osoba veřejného práva (např. stát či obec) i osoba soukromého práva.</w:t>
      </w:r>
    </w:p>
    <w:p w:rsidR="00C94695" w:rsidRPr="00795817" w:rsidRDefault="000865D6" w:rsidP="00D03B3A">
      <w:pPr>
        <w:pStyle w:val="Normln-tun"/>
        <w:numPr>
          <w:ilvl w:val="0"/>
          <w:numId w:val="71"/>
        </w:numPr>
      </w:pPr>
      <w:r w:rsidRPr="00795817">
        <w:t>Stát – podmínky</w:t>
      </w:r>
      <w:r w:rsidR="00E72078" w:rsidRPr="00795817">
        <w:t>, za kterých může stát nabýt vlastnické právo k nemovitostem, upravuje z</w:t>
      </w:r>
      <w:r w:rsidRPr="00795817">
        <w:t>ákon č. 219/2000 Sb., o majetku České republiky a jejím vystupování v právních vztazích</w:t>
      </w:r>
      <w:r w:rsidR="00E72078" w:rsidRPr="00795817">
        <w:t>,</w:t>
      </w:r>
      <w:r w:rsidRPr="00795817">
        <w:t xml:space="preserve"> čímž se</w:t>
      </w:r>
      <w:r w:rsidRPr="00795817">
        <w:t xml:space="preserve"> snaží zajistit, aby se s veřejnými prostředky nakládalo hospodárně.</w:t>
      </w:r>
      <w:r w:rsidR="00E72078" w:rsidRPr="00795817">
        <w:t xml:space="preserve"> Tato ustanovení významně ovlivňují i vyvlastňovací řízení, protože se vyvlastnitel musí nejprve pokusit s vlastníkem dohodnout na získání práv.</w:t>
      </w:r>
    </w:p>
    <w:p w:rsidR="00C94695" w:rsidRPr="00795817" w:rsidRDefault="000865D6" w:rsidP="00D03B3A">
      <w:pPr>
        <w:pStyle w:val="Normln-tun"/>
        <w:numPr>
          <w:ilvl w:val="0"/>
          <w:numId w:val="71"/>
        </w:numPr>
      </w:pPr>
      <w:r w:rsidRPr="00795817">
        <w:t xml:space="preserve">Územně samosprávné </w:t>
      </w:r>
      <w:r w:rsidR="00092A99" w:rsidRPr="00795817">
        <w:t>celky – Obce</w:t>
      </w:r>
      <w:r w:rsidRPr="00795817">
        <w:t xml:space="preserve"> a kraje jsou stejně jako stát vyvlastniteli běžně. Zpravidla realizují účely s regionálním nebo místním významem, což odpovídá jejich poslání i finančním možnostem. Hlavním specifikem je v jejich případě nutnost při uzavírání kupní smlouvy dodržet vedle o</w:t>
      </w:r>
      <w:r w:rsidRPr="00795817">
        <w:t>becných požadavků v občanském zákoníku také podmínky stanovené zákonem o obcích, resp. o krajích.</w:t>
      </w:r>
    </w:p>
    <w:p w:rsidR="00C94695" w:rsidRPr="00795817" w:rsidRDefault="000865D6" w:rsidP="00D03B3A">
      <w:pPr>
        <w:pStyle w:val="Normln-tun"/>
        <w:numPr>
          <w:ilvl w:val="0"/>
          <w:numId w:val="71"/>
        </w:numPr>
      </w:pPr>
      <w:r w:rsidRPr="00795817">
        <w:t>Soukromí investoři (provoz kanalizací či zařízení pro nakládání s odpady aj.).</w:t>
      </w:r>
    </w:p>
    <w:p w:rsidR="009E3883" w:rsidRPr="00795817" w:rsidRDefault="000865D6" w:rsidP="00D03B3A">
      <w:pPr>
        <w:pStyle w:val="Normln-tun"/>
        <w:numPr>
          <w:ilvl w:val="0"/>
          <w:numId w:val="71"/>
        </w:numPr>
        <w:ind w:left="426" w:hanging="426"/>
      </w:pPr>
      <w:r w:rsidRPr="00795817">
        <w:t>Potenciální vyvlastňovaní</w:t>
      </w:r>
    </w:p>
    <w:p w:rsidR="00F275FB" w:rsidRPr="00795817" w:rsidRDefault="000865D6" w:rsidP="00D03B3A">
      <w:pPr>
        <w:pStyle w:val="Normln-tun"/>
        <w:numPr>
          <w:ilvl w:val="0"/>
          <w:numId w:val="71"/>
        </w:numPr>
      </w:pPr>
      <w:r w:rsidRPr="00795817">
        <w:t xml:space="preserve">Soukromé </w:t>
      </w:r>
      <w:r w:rsidR="00092A99" w:rsidRPr="00795817">
        <w:t>osoby – nejčastěji</w:t>
      </w:r>
      <w:r w:rsidRPr="00795817">
        <w:t xml:space="preserve"> jsou vyvlastňováni občané</w:t>
      </w:r>
      <w:r w:rsidRPr="00795817">
        <w:t xml:space="preserve"> a právnické osoby, protože vlastní dominantní část pozemků v ČR</w:t>
      </w:r>
    </w:p>
    <w:p w:rsidR="00F275FB" w:rsidRPr="00795817" w:rsidRDefault="000865D6" w:rsidP="00D03B3A">
      <w:pPr>
        <w:pStyle w:val="Normln-tun"/>
        <w:numPr>
          <w:ilvl w:val="0"/>
          <w:numId w:val="71"/>
        </w:numPr>
      </w:pPr>
      <w:r w:rsidRPr="00795817">
        <w:t>Územně samosprávné celky (výběr lokality pro hlubinné úložiště radioaktivního odpadu)</w:t>
      </w:r>
    </w:p>
    <w:p w:rsidR="00F275FB" w:rsidRPr="00795817" w:rsidRDefault="000865D6" w:rsidP="00D03B3A">
      <w:pPr>
        <w:pStyle w:val="Normln-tun"/>
        <w:numPr>
          <w:ilvl w:val="0"/>
          <w:numId w:val="71"/>
        </w:numPr>
      </w:pPr>
      <w:r w:rsidRPr="00795817">
        <w:t xml:space="preserve">Stát </w:t>
      </w:r>
    </w:p>
    <w:p w:rsidR="009C6E5F" w:rsidRDefault="000865D6" w:rsidP="00FE3A12">
      <w:pPr>
        <w:pStyle w:val="Normln-tun"/>
        <w:numPr>
          <w:ilvl w:val="0"/>
          <w:numId w:val="71"/>
        </w:numPr>
      </w:pPr>
      <w:r w:rsidRPr="009963E2">
        <w:t xml:space="preserve">Specificky např. </w:t>
      </w:r>
      <w:r w:rsidR="00092A99" w:rsidRPr="009963E2">
        <w:t>církve – pozemky</w:t>
      </w:r>
      <w:r w:rsidRPr="009963E2">
        <w:t>, na které se vztahuje ustanovení § 13 odst. 1 zákona č.</w:t>
      </w:r>
      <w:r w:rsidR="00F02636">
        <w:t> </w:t>
      </w:r>
      <w:r w:rsidRPr="009963E2">
        <w:t xml:space="preserve">428/2012 </w:t>
      </w:r>
      <w:r w:rsidRPr="009963E2">
        <w:t xml:space="preserve">Sb., o majetkovém vyrovnání s církvemi a náboženskými společnostmi a o změně některých zákonů (zákon o majetkovém vyrovnání s církvemi a náboženskými společnostmi) mohou být </w:t>
      </w:r>
      <w:r>
        <w:t xml:space="preserve">též </w:t>
      </w:r>
      <w:r w:rsidRPr="009963E2">
        <w:t xml:space="preserve">vyvlastněny </w:t>
      </w:r>
    </w:p>
    <w:p w:rsidR="00EC25F3" w:rsidRPr="009D735E" w:rsidRDefault="000865D6" w:rsidP="009D735E">
      <w:pPr>
        <w:pStyle w:val="Normln-tun"/>
        <w:numPr>
          <w:ilvl w:val="0"/>
          <w:numId w:val="71"/>
        </w:numPr>
        <w:ind w:left="426" w:hanging="426"/>
      </w:pPr>
      <w:r w:rsidRPr="009D735E">
        <w:lastRenderedPageBreak/>
        <w:t>Oprávnění z věcného práva váznoucího na předmětu vyvlastnění, pov</w:t>
      </w:r>
      <w:r w:rsidRPr="009D735E">
        <w:t xml:space="preserve">inní ze zajišťovacího převodu práva, zajištění věřitelé v insolvenčním řízení, účastníci incidenčního sporu týkajícího se předmětu vyvlastnění, účastníci řízení o žalobě o určení vlastnického práva k předmětu vyvlastnění nebo řízení, v jehož důsledku může </w:t>
      </w:r>
      <w:r w:rsidRPr="009D735E">
        <w:t>dojít ke změně vlastníka předmětu vyvlastnění, správce dědictví, opatrovník, je-li nezbytné ho ve vyvlastňovacím řízení jmenovat</w:t>
      </w:r>
    </w:p>
    <w:p w:rsidR="00B852BD" w:rsidRPr="00795817" w:rsidRDefault="000865D6" w:rsidP="00D03B3A">
      <w:pPr>
        <w:pStyle w:val="Normln-tun"/>
        <w:numPr>
          <w:ilvl w:val="0"/>
          <w:numId w:val="71"/>
        </w:numPr>
        <w:ind w:left="426" w:hanging="426"/>
      </w:pPr>
      <w:r w:rsidRPr="00795817">
        <w:t>Uživatelé služeb infrastruktury aj.</w:t>
      </w:r>
    </w:p>
    <w:p w:rsidR="009E3883" w:rsidRPr="00795817" w:rsidRDefault="000865D6" w:rsidP="009E3883">
      <w:pPr>
        <w:pStyle w:val="Normln-tun"/>
      </w:pPr>
      <w:r w:rsidRPr="00795817">
        <w:t xml:space="preserve">Mezi dotčenými stranami budou </w:t>
      </w:r>
      <w:r w:rsidR="00F275FB" w:rsidRPr="00795817">
        <w:t>ne</w:t>
      </w:r>
      <w:r w:rsidRPr="00795817">
        <w:t xml:space="preserve">přímo benefitovat ze změny regulace například </w:t>
      </w:r>
      <w:r w:rsidR="00F275FB" w:rsidRPr="00795817">
        <w:t xml:space="preserve">i </w:t>
      </w:r>
      <w:r w:rsidRPr="00795817">
        <w:t>stavební fi</w:t>
      </w:r>
      <w:r w:rsidRPr="00795817">
        <w:t>rmy aj.</w:t>
      </w:r>
    </w:p>
    <w:p w:rsidR="009E3883" w:rsidRPr="00795817" w:rsidRDefault="009E3883" w:rsidP="005F6B40">
      <w:pPr>
        <w:pStyle w:val="Normln-tun"/>
        <w:rPr>
          <w:rStyle w:val="En-tte1"/>
          <w:rFonts w:eastAsiaTheme="majorEastAsia"/>
          <w:b/>
          <w:sz w:val="24"/>
          <w:szCs w:val="24"/>
        </w:rPr>
      </w:pPr>
    </w:p>
    <w:p w:rsidR="00F24A78" w:rsidRPr="00795817" w:rsidRDefault="000865D6" w:rsidP="00C87F7C">
      <w:pPr>
        <w:pStyle w:val="Nadpis2"/>
        <w:keepNext w:val="0"/>
        <w:widowControl w:val="0"/>
        <w:numPr>
          <w:ilvl w:val="1"/>
          <w:numId w:val="36"/>
        </w:numPr>
        <w:rPr>
          <w:rFonts w:eastAsia="Calibri"/>
        </w:rPr>
      </w:pPr>
      <w:bookmarkStart w:id="43" w:name="_Toc256000007"/>
      <w:bookmarkStart w:id="44" w:name="_Toc534419793"/>
      <w:r w:rsidRPr="00795817">
        <w:rPr>
          <w:rFonts w:eastAsia="Calibri"/>
        </w:rPr>
        <w:t>Popis cílového stavu</w:t>
      </w:r>
      <w:bookmarkEnd w:id="43"/>
      <w:bookmarkEnd w:id="44"/>
      <w:r w:rsidRPr="00795817">
        <w:rPr>
          <w:rFonts w:eastAsia="Calibri"/>
        </w:rPr>
        <w:t xml:space="preserve"> </w:t>
      </w:r>
    </w:p>
    <w:p w:rsidR="0094253D" w:rsidRPr="00B12316" w:rsidRDefault="000865D6" w:rsidP="00B12316">
      <w:pPr>
        <w:pStyle w:val="Normln-tun"/>
        <w:rPr>
          <w:u w:val="single"/>
        </w:rPr>
      </w:pPr>
      <w:r w:rsidRPr="00B12316">
        <w:rPr>
          <w:u w:val="single"/>
        </w:rPr>
        <w:t>Obecné cíle</w:t>
      </w:r>
    </w:p>
    <w:p w:rsidR="0094253D" w:rsidRPr="00795817" w:rsidRDefault="000865D6" w:rsidP="00B12316">
      <w:pPr>
        <w:pStyle w:val="Normln-tun"/>
      </w:pPr>
      <w:r w:rsidRPr="00795817">
        <w:t xml:space="preserve">Ochrana veřejných zájmů; dosažení cílů stanovených v příslušných rezortních koncepčních materiálech; zajištění udržitelného </w:t>
      </w:r>
      <w:r w:rsidR="00C913E7">
        <w:t>roz</w:t>
      </w:r>
      <w:r w:rsidR="00C913E7" w:rsidRPr="00795817">
        <w:t xml:space="preserve">voje </w:t>
      </w:r>
      <w:r w:rsidRPr="00795817">
        <w:t xml:space="preserve">či konkurenceschopnosti ČR  </w:t>
      </w:r>
    </w:p>
    <w:p w:rsidR="0094253D" w:rsidRPr="00B12316" w:rsidRDefault="000865D6" w:rsidP="00B12316">
      <w:pPr>
        <w:pStyle w:val="Normln-tun"/>
        <w:rPr>
          <w:u w:val="single"/>
        </w:rPr>
      </w:pPr>
      <w:r w:rsidRPr="00B12316">
        <w:rPr>
          <w:u w:val="single"/>
        </w:rPr>
        <w:t>Konkrétní cíle</w:t>
      </w:r>
    </w:p>
    <w:p w:rsidR="00C33AE1" w:rsidRPr="00795817" w:rsidRDefault="000865D6" w:rsidP="00B12316">
      <w:pPr>
        <w:pStyle w:val="Normln-tun"/>
      </w:pPr>
      <w:r w:rsidRPr="00FB3F03">
        <w:t>Nastolení optimální situace, kdy není</w:t>
      </w:r>
      <w:r w:rsidRPr="00FB3F03">
        <w:t xml:space="preserve"> umožněno jednostranné prosazování zájmů vyvlastnitelů reprezentujících zájem společnosti na úkor vlastníků, zároveň však není vlastníkům dovoleno, aby realizaci stavby, s níž nesouhlasí, zmařili, neúměrně ji protahovali či bránili stavbám, které mají celo</w:t>
      </w:r>
      <w:r w:rsidRPr="00FB3F03">
        <w:t>společenský význam.</w:t>
      </w:r>
    </w:p>
    <w:p w:rsidR="0094253D" w:rsidRPr="00B12316" w:rsidRDefault="000865D6" w:rsidP="00B12316">
      <w:pPr>
        <w:pStyle w:val="Normln-tun"/>
        <w:rPr>
          <w:u w:val="single"/>
        </w:rPr>
      </w:pPr>
      <w:r w:rsidRPr="00B12316">
        <w:rPr>
          <w:u w:val="single"/>
        </w:rPr>
        <w:t>Operativní cíle</w:t>
      </w:r>
    </w:p>
    <w:p w:rsidR="0094253D" w:rsidRPr="00795817" w:rsidRDefault="000865D6" w:rsidP="00B12316">
      <w:pPr>
        <w:pStyle w:val="Normln-tun"/>
      </w:pPr>
      <w:r w:rsidRPr="00795817">
        <w:t xml:space="preserve">Operativní cíle jsou obvykle vyjadřovány z hlediska výstupů – zboží nebo služeb, jež by změna mohla vytvořit. Dosažení těchto cílů (nebo výstupů) podléhá obvykle přímé kontrole těch, kteří činnost řídí, a může tak být </w:t>
      </w:r>
      <w:r w:rsidRPr="00795817">
        <w:t>přímo ověřováno.</w:t>
      </w:r>
    </w:p>
    <w:p w:rsidR="0094253D" w:rsidRPr="00795817" w:rsidRDefault="000865D6" w:rsidP="00B12316">
      <w:pPr>
        <w:pStyle w:val="Normln-tun"/>
      </w:pPr>
      <w:r w:rsidRPr="00795817">
        <w:t xml:space="preserve">Pro přezkum účinnosti na operativní úrovni je </w:t>
      </w:r>
      <w:r w:rsidR="001D43AE">
        <w:t xml:space="preserve">vhodné </w:t>
      </w:r>
      <w:r w:rsidRPr="00795817">
        <w:t>sledovat následující ukazatele:</w:t>
      </w:r>
    </w:p>
    <w:p w:rsidR="0094253D" w:rsidRPr="00795817" w:rsidRDefault="000865D6">
      <w:pPr>
        <w:pStyle w:val="Normln-tun"/>
        <w:numPr>
          <w:ilvl w:val="0"/>
          <w:numId w:val="99"/>
        </w:numPr>
      </w:pPr>
      <w:r w:rsidRPr="00795817">
        <w:t xml:space="preserve">délku </w:t>
      </w:r>
      <w:r w:rsidR="00F54868" w:rsidRPr="00795817">
        <w:t>vyvlastňovacího řízení</w:t>
      </w:r>
      <w:r w:rsidRPr="00795817">
        <w:t>;</w:t>
      </w:r>
    </w:p>
    <w:p w:rsidR="0094253D" w:rsidRPr="00795817" w:rsidRDefault="000865D6">
      <w:pPr>
        <w:pStyle w:val="Normln-tun"/>
        <w:numPr>
          <w:ilvl w:val="0"/>
          <w:numId w:val="99"/>
        </w:numPr>
      </w:pPr>
      <w:r w:rsidRPr="00795817">
        <w:t xml:space="preserve">věcnou náplň problémů, které </w:t>
      </w:r>
      <w:r w:rsidR="00F54868" w:rsidRPr="00795817">
        <w:t xml:space="preserve">musí </w:t>
      </w:r>
      <w:r w:rsidRPr="00795817">
        <w:t xml:space="preserve">být v rámci </w:t>
      </w:r>
      <w:r w:rsidR="00F54868" w:rsidRPr="00795817">
        <w:t>vyvlastňovacího řízení</w:t>
      </w:r>
      <w:r w:rsidRPr="00795817">
        <w:t xml:space="preserve"> řešeny;  </w:t>
      </w:r>
    </w:p>
    <w:p w:rsidR="0094253D" w:rsidRPr="00795817" w:rsidRDefault="000865D6">
      <w:pPr>
        <w:pStyle w:val="Normln-tun"/>
        <w:numPr>
          <w:ilvl w:val="0"/>
          <w:numId w:val="99"/>
        </w:numPr>
      </w:pPr>
      <w:r w:rsidRPr="00795817">
        <w:t>počet úspěšných odvolání a délku odvolacího ř</w:t>
      </w:r>
      <w:r w:rsidRPr="00795817">
        <w:t>ízení;</w:t>
      </w:r>
    </w:p>
    <w:p w:rsidR="00386266" w:rsidRDefault="000865D6">
      <w:pPr>
        <w:pStyle w:val="Normln-tun"/>
        <w:numPr>
          <w:ilvl w:val="0"/>
          <w:numId w:val="99"/>
        </w:numPr>
      </w:pPr>
      <w:r w:rsidRPr="00795817">
        <w:t>počet a délku soudních řízení</w:t>
      </w:r>
      <w:r w:rsidR="00F54868" w:rsidRPr="00795817">
        <w:t xml:space="preserve"> </w:t>
      </w:r>
    </w:p>
    <w:p w:rsidR="0094253D" w:rsidRDefault="000865D6">
      <w:pPr>
        <w:pStyle w:val="Normln-tun"/>
        <w:numPr>
          <w:ilvl w:val="0"/>
          <w:numId w:val="99"/>
        </w:numPr>
      </w:pPr>
      <w:r w:rsidRPr="00386266">
        <w:t>obecně zkrácení přípravy staveb, které jsou na vyvlastnění závislé</w:t>
      </w:r>
      <w:r w:rsidRPr="00795817">
        <w:t xml:space="preserve"> </w:t>
      </w:r>
      <w:r w:rsidR="00F54868" w:rsidRPr="00795817">
        <w:t>aj.</w:t>
      </w:r>
    </w:p>
    <w:p w:rsidR="00386266" w:rsidRDefault="00386266" w:rsidP="00386266">
      <w:pPr>
        <w:widowControl w:val="0"/>
      </w:pPr>
    </w:p>
    <w:p w:rsidR="00F24A78" w:rsidRPr="00795817" w:rsidRDefault="000865D6" w:rsidP="00C87F7C">
      <w:pPr>
        <w:pStyle w:val="Nadpis2"/>
        <w:keepNext w:val="0"/>
        <w:widowControl w:val="0"/>
        <w:numPr>
          <w:ilvl w:val="1"/>
          <w:numId w:val="36"/>
        </w:numPr>
        <w:rPr>
          <w:rFonts w:eastAsia="Calibri"/>
        </w:rPr>
      </w:pPr>
      <w:bookmarkStart w:id="45" w:name="_Toc455736252"/>
      <w:bookmarkStart w:id="46" w:name="_Toc455740704"/>
      <w:bookmarkStart w:id="47" w:name="_Toc455740879"/>
      <w:bookmarkStart w:id="48" w:name="_Toc455741962"/>
      <w:bookmarkStart w:id="49" w:name="_Toc455743787"/>
      <w:bookmarkStart w:id="50" w:name="_Toc455749673"/>
      <w:bookmarkStart w:id="51" w:name="_Toc455750907"/>
      <w:bookmarkStart w:id="52" w:name="_Toc455751142"/>
      <w:bookmarkStart w:id="53" w:name="_Toc455751317"/>
      <w:bookmarkStart w:id="54" w:name="_Toc455751859"/>
      <w:bookmarkStart w:id="55" w:name="_Toc455752333"/>
      <w:bookmarkStart w:id="56" w:name="_Toc455752868"/>
      <w:bookmarkStart w:id="57" w:name="_Toc455753138"/>
      <w:bookmarkStart w:id="58" w:name="_Toc455754011"/>
      <w:bookmarkStart w:id="59" w:name="_Toc455755027"/>
      <w:bookmarkStart w:id="60" w:name="_Toc455755202"/>
      <w:bookmarkStart w:id="61" w:name="_Toc455755840"/>
      <w:bookmarkStart w:id="62" w:name="_Toc455756265"/>
      <w:bookmarkStart w:id="63" w:name="_Toc455756619"/>
      <w:bookmarkStart w:id="64" w:name="_Toc455756769"/>
      <w:bookmarkStart w:id="65" w:name="_Toc455756944"/>
      <w:bookmarkStart w:id="66" w:name="_Toc455757501"/>
      <w:bookmarkStart w:id="67" w:name="_Toc455757790"/>
      <w:bookmarkStart w:id="68" w:name="_Toc455758573"/>
      <w:bookmarkStart w:id="69" w:name="_Toc455759151"/>
      <w:bookmarkStart w:id="70" w:name="_Toc455759897"/>
      <w:bookmarkStart w:id="71" w:name="_Toc455760072"/>
      <w:bookmarkStart w:id="72" w:name="_Toc455757965"/>
      <w:bookmarkStart w:id="73" w:name="_Toc455761811"/>
      <w:bookmarkStart w:id="74" w:name="_Toc455762221"/>
      <w:bookmarkStart w:id="75" w:name="_Toc455762389"/>
      <w:bookmarkStart w:id="76" w:name="_Toc455762135"/>
      <w:bookmarkStart w:id="77" w:name="_Toc455762773"/>
      <w:bookmarkStart w:id="78" w:name="_Toc455763109"/>
      <w:bookmarkStart w:id="79" w:name="_Toc455762557"/>
      <w:bookmarkStart w:id="80" w:name="_Toc455762988"/>
      <w:bookmarkStart w:id="81" w:name="_Toc455763324"/>
      <w:bookmarkStart w:id="82" w:name="_Toc455763898"/>
      <w:bookmarkStart w:id="83" w:name="_Toc455764116"/>
      <w:bookmarkStart w:id="84" w:name="_Toc455764744"/>
      <w:bookmarkStart w:id="85" w:name="_Toc455764912"/>
      <w:bookmarkStart w:id="86" w:name="_Toc455765068"/>
      <w:bookmarkStart w:id="87" w:name="_Toc456015497"/>
      <w:bookmarkStart w:id="88" w:name="_Toc456016806"/>
      <w:bookmarkStart w:id="89" w:name="_Toc456017011"/>
      <w:bookmarkStart w:id="90" w:name="_Toc456017462"/>
      <w:bookmarkStart w:id="91" w:name="_Toc456017185"/>
      <w:bookmarkStart w:id="92" w:name="_Toc456025705"/>
      <w:bookmarkStart w:id="93" w:name="_Toc456026157"/>
      <w:bookmarkStart w:id="94" w:name="_Toc456110598"/>
      <w:bookmarkStart w:id="95" w:name="_Toc456111078"/>
      <w:bookmarkStart w:id="96" w:name="_Toc456111636"/>
      <w:bookmarkStart w:id="97" w:name="_Toc456111940"/>
      <w:bookmarkStart w:id="98" w:name="_Toc456113979"/>
      <w:bookmarkStart w:id="99" w:name="_Toc456114283"/>
      <w:bookmarkStart w:id="100" w:name="_Toc456114587"/>
      <w:bookmarkStart w:id="101" w:name="_Toc456114891"/>
      <w:bookmarkStart w:id="102" w:name="_Toc456115195"/>
      <w:bookmarkStart w:id="103" w:name="_Toc456118170"/>
      <w:bookmarkStart w:id="104" w:name="_Toc456260226"/>
      <w:bookmarkStart w:id="105" w:name="_Toc456260779"/>
      <w:bookmarkStart w:id="106" w:name="_Toc456261120"/>
      <w:bookmarkStart w:id="107" w:name="_Toc456261463"/>
      <w:bookmarkStart w:id="108" w:name="_Toc456261806"/>
      <w:bookmarkStart w:id="109" w:name="_Toc456262744"/>
      <w:bookmarkStart w:id="110" w:name="_Toc456264085"/>
      <w:bookmarkStart w:id="111" w:name="_Toc456625358"/>
      <w:bookmarkStart w:id="112" w:name="_Toc456625745"/>
      <w:bookmarkStart w:id="113" w:name="_Toc456626300"/>
      <w:bookmarkStart w:id="114" w:name="_Toc456627609"/>
      <w:bookmarkStart w:id="115" w:name="_Toc456627953"/>
      <w:bookmarkStart w:id="116" w:name="_Toc456628539"/>
      <w:bookmarkStart w:id="117" w:name="_Toc456628884"/>
      <w:bookmarkStart w:id="118" w:name="_Toc256000008"/>
      <w:bookmarkStart w:id="119" w:name="_Toc53441979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Pr="00795817">
        <w:rPr>
          <w:rFonts w:eastAsia="Calibri"/>
        </w:rPr>
        <w:t>Zhodnocení rizik</w:t>
      </w:r>
      <w:bookmarkEnd w:id="118"/>
      <w:bookmarkEnd w:id="119"/>
    </w:p>
    <w:p w:rsidR="0094253D" w:rsidRPr="00795817" w:rsidRDefault="000865D6" w:rsidP="00D205BB">
      <w:pPr>
        <w:pStyle w:val="Normln-tun"/>
      </w:pPr>
      <w:r w:rsidRPr="00795817">
        <w:t xml:space="preserve">Průtahy v přípravě investičních akcí by nadále vedly ke ztrátám soukromých i veřejných zdrojů. U prostředků ze státního rozpočtu </w:t>
      </w:r>
      <w:r w:rsidRPr="00795817">
        <w:t>by vznikaly ztráty vlivem snížené efektivity vydávaných prostředků. Neřešení stávajícího stavu by vedlo k ohrožování či přímo ztrátám finančních prostředků ze strukturálních fondů EU, které by nebylo možné včas čerpat z důvodu nepřipravenosti staveb, na kt</w:t>
      </w:r>
      <w:r w:rsidRPr="00795817">
        <w:t xml:space="preserve">eré byly alokovány. Zpožďování výstavby by způsobovalo celospolečenské ztráty, které přináší negativní dopady na kvalitu života. </w:t>
      </w:r>
    </w:p>
    <w:p w:rsidR="008D1AD3" w:rsidRPr="00795817" w:rsidRDefault="008D1AD3" w:rsidP="008D1AD3">
      <w:pPr>
        <w:widowControl w:val="0"/>
        <w:spacing w:before="0" w:after="160" w:line="254" w:lineRule="auto"/>
        <w:rPr>
          <w:rFonts w:eastAsia="MS Mincho"/>
        </w:rPr>
      </w:pPr>
    </w:p>
    <w:p w:rsidR="00D47BBA" w:rsidRDefault="000865D6">
      <w:pPr>
        <w:spacing w:before="0" w:after="0"/>
        <w:jc w:val="left"/>
        <w:rPr>
          <w:rFonts w:ascii="Cambria" w:eastAsia="Times New Roman" w:hAnsi="Cambria"/>
          <w:b/>
          <w:bCs/>
          <w:color w:val="B6B002"/>
          <w:sz w:val="28"/>
          <w:szCs w:val="28"/>
        </w:rPr>
      </w:pPr>
      <w:bookmarkStart w:id="120" w:name="_Toc433757485"/>
      <w:bookmarkEnd w:id="42"/>
      <w:r>
        <w:br w:type="page"/>
      </w:r>
    </w:p>
    <w:p w:rsidR="00C65260" w:rsidRPr="00795817" w:rsidRDefault="000865D6" w:rsidP="002357D7">
      <w:pPr>
        <w:pStyle w:val="Nadpis1"/>
        <w:numPr>
          <w:ilvl w:val="0"/>
          <w:numId w:val="0"/>
        </w:numPr>
        <w:ind w:left="360" w:hanging="360"/>
      </w:pPr>
      <w:bookmarkStart w:id="121" w:name="_Toc256000009"/>
      <w:r w:rsidRPr="00795817">
        <w:lastRenderedPageBreak/>
        <w:t>2–3 Návrh variant řešení, vyhodnocení nákladů a přínosů – hodnocení dopadů opatření jednotlivých věcně souvisejících okruhů</w:t>
      </w:r>
      <w:bookmarkEnd w:id="121"/>
      <w:bookmarkEnd w:id="120"/>
    </w:p>
    <w:p w:rsidR="00B37165" w:rsidRPr="00795817" w:rsidRDefault="000865D6" w:rsidP="00A066A7">
      <w:pPr>
        <w:pStyle w:val="Nadpis2a"/>
        <w:spacing w:before="360"/>
        <w:ind w:left="578" w:hanging="578"/>
      </w:pPr>
      <w:bookmarkStart w:id="122" w:name="_Toc256000010"/>
      <w:r w:rsidRPr="00795817">
        <w:t>Účel vyvlastnění</w:t>
      </w:r>
      <w:bookmarkEnd w:id="122"/>
    </w:p>
    <w:p w:rsidR="004B12E3" w:rsidRPr="00D47BBA" w:rsidRDefault="000865D6" w:rsidP="00D47BBA">
      <w:pPr>
        <w:pStyle w:val="Normln-tun"/>
        <w:rPr>
          <w:b/>
          <w:bCs/>
        </w:rPr>
      </w:pPr>
      <w:r w:rsidRPr="00D47BBA">
        <w:rPr>
          <w:b/>
          <w:bCs/>
        </w:rPr>
        <w:t>Popis současného stavu:</w:t>
      </w:r>
    </w:p>
    <w:p w:rsidR="008A7D97" w:rsidRPr="00795817" w:rsidRDefault="000865D6" w:rsidP="00D205BB">
      <w:pPr>
        <w:pStyle w:val="Normln-tun"/>
      </w:pPr>
      <w:r w:rsidRPr="00795817">
        <w:t xml:space="preserve">Vyvlastnění může být provedeno pouze za přesně vymezeným účelem. Tento účel však nestanoví přímo zákon o vyvlastnění, nýbrž jej svěřuje zvláštním </w:t>
      </w:r>
      <w:r w:rsidR="007B072B" w:rsidRPr="00795817">
        <w:t>zákonům</w:t>
      </w:r>
      <w:r w:rsidR="007B072B" w:rsidRPr="007B072B">
        <w:t xml:space="preserve"> </w:t>
      </w:r>
      <w:r w:rsidR="007B072B">
        <w:t>– viz kapitola Popis současného stavu, podkapitola Účel vyvlastnění</w:t>
      </w:r>
      <w:r w:rsidRPr="00795817">
        <w:t>. Vyvlastnění je přípustné právě jen pro dosažení takového účelu. Účel vyvlastnění se označuje také jako expropriační titul.</w:t>
      </w:r>
    </w:p>
    <w:p w:rsidR="004B12E3" w:rsidRPr="007B072B" w:rsidRDefault="000865D6" w:rsidP="007B072B">
      <w:pPr>
        <w:pStyle w:val="Normln-tun"/>
        <w:rPr>
          <w:b/>
          <w:bCs/>
        </w:rPr>
      </w:pPr>
      <w:r w:rsidRPr="007B072B">
        <w:rPr>
          <w:b/>
          <w:bCs/>
        </w:rPr>
        <w:t xml:space="preserve">Definice problému: </w:t>
      </w:r>
    </w:p>
    <w:p w:rsidR="00360191" w:rsidRPr="00795817" w:rsidRDefault="000865D6" w:rsidP="007B072B">
      <w:pPr>
        <w:pStyle w:val="Normln-tun"/>
      </w:pPr>
      <w:r w:rsidRPr="00795817">
        <w:t>Zda je třeba v reakci na měnící se podmínky upravit účely v rezortních zákonech, by mělo vyplynout z</w:t>
      </w:r>
      <w:r w:rsidR="007A6D7F" w:rsidRPr="00795817">
        <w:t> konzultací s jednotlivými ministerstvy, které mají příslušné předpisy v</w:t>
      </w:r>
      <w:r w:rsidR="00C40D7D">
        <w:t> </w:t>
      </w:r>
      <w:r w:rsidR="007A6D7F" w:rsidRPr="00795817">
        <w:t>gesci</w:t>
      </w:r>
      <w:r w:rsidR="00C40D7D">
        <w:t>. Indikována byla tato potřeba především u zákonů v gesci MŽP</w:t>
      </w:r>
      <w:r w:rsidR="00123B73">
        <w:t>,</w:t>
      </w:r>
      <w:r w:rsidR="00C40D7D">
        <w:t xml:space="preserve"> MZe</w:t>
      </w:r>
      <w:r w:rsidR="00123B73" w:rsidRPr="00123B73">
        <w:t xml:space="preserve"> </w:t>
      </w:r>
      <w:r w:rsidR="00123B73">
        <w:t>a MPO</w:t>
      </w:r>
      <w:r w:rsidR="00C40D7D">
        <w:t>.</w:t>
      </w:r>
    </w:p>
    <w:p w:rsidR="004B12E3" w:rsidRPr="00795817" w:rsidRDefault="000865D6" w:rsidP="004B12E3">
      <w:pPr>
        <w:pStyle w:val="Text-Normaln"/>
        <w:widowControl w:val="0"/>
        <w:rPr>
          <w:rFonts w:cs="Arial"/>
          <w:szCs w:val="24"/>
        </w:rPr>
      </w:pPr>
      <w:r w:rsidRPr="00795817">
        <w:rPr>
          <w:b/>
        </w:rPr>
        <w:t>Cíl:</w:t>
      </w:r>
      <w:r w:rsidRPr="00795817">
        <w:t xml:space="preserve"> </w:t>
      </w:r>
      <w:r w:rsidR="007A6D7F" w:rsidRPr="00795817">
        <w:rPr>
          <w:rFonts w:cs="Arial"/>
          <w:szCs w:val="24"/>
        </w:rPr>
        <w:t>Zvýšení právní jistoty; zvýšená ochrana aktuálních veřejných zájmů</w:t>
      </w:r>
    </w:p>
    <w:p w:rsidR="004B12E3" w:rsidRPr="00795817" w:rsidRDefault="000865D6" w:rsidP="004B12E3">
      <w:pPr>
        <w:pStyle w:val="Text-Normaln"/>
        <w:widowControl w:val="0"/>
        <w:rPr>
          <w:b/>
        </w:rPr>
      </w:pPr>
      <w:r w:rsidRPr="00795817">
        <w:rPr>
          <w:b/>
        </w:rPr>
        <w:t>Návrh variant řešení:</w:t>
      </w:r>
    </w:p>
    <w:p w:rsidR="004B12E3" w:rsidRPr="00795817" w:rsidRDefault="000865D6" w:rsidP="004B12E3">
      <w:pPr>
        <w:pStyle w:val="Text-Normaln"/>
        <w:widowControl w:val="0"/>
        <w:rPr>
          <w:i/>
        </w:rPr>
      </w:pPr>
      <w:r w:rsidRPr="00795817">
        <w:rPr>
          <w:b/>
          <w:i/>
        </w:rPr>
        <w:t>Varianta 0</w:t>
      </w:r>
      <w:r w:rsidRPr="00795817">
        <w:rPr>
          <w:b/>
          <w:i/>
        </w:rPr>
        <w:t>:</w:t>
      </w:r>
      <w:r w:rsidRPr="00795817">
        <w:rPr>
          <w:i/>
        </w:rPr>
        <w:t xml:space="preserve"> Zachování současného stavu</w:t>
      </w:r>
    </w:p>
    <w:p w:rsidR="004B12E3" w:rsidRDefault="000865D6" w:rsidP="004B12E3">
      <w:pPr>
        <w:pStyle w:val="Text-Normaln"/>
        <w:widowControl w:val="0"/>
        <w:rPr>
          <w:i/>
        </w:rPr>
      </w:pPr>
      <w:r w:rsidRPr="00795817">
        <w:rPr>
          <w:b/>
          <w:i/>
        </w:rPr>
        <w:t>Varianta 1:</w:t>
      </w:r>
      <w:r w:rsidRPr="00795817">
        <w:rPr>
          <w:i/>
        </w:rPr>
        <w:t xml:space="preserve"> </w:t>
      </w:r>
      <w:r w:rsidR="007A6D7F" w:rsidRPr="00C40D7D">
        <w:rPr>
          <w:i/>
        </w:rPr>
        <w:t>Dle konzultac</w:t>
      </w:r>
      <w:r w:rsidR="001D43AE">
        <w:rPr>
          <w:i/>
        </w:rPr>
        <w:t>í</w:t>
      </w:r>
      <w:r w:rsidR="007A6D7F" w:rsidRPr="00C40D7D">
        <w:rPr>
          <w:i/>
        </w:rPr>
        <w:t xml:space="preserve"> s příslušnými rezorty</w:t>
      </w:r>
      <w:r w:rsidR="00C40D7D">
        <w:rPr>
          <w:i/>
        </w:rPr>
        <w:t>, i</w:t>
      </w:r>
      <w:r w:rsidR="00C40D7D" w:rsidRPr="00C40D7D">
        <w:rPr>
          <w:i/>
        </w:rPr>
        <w:t>ndikována byla tato potřeba především u zákonů v gesci MŽP</w:t>
      </w:r>
      <w:r w:rsidR="00123B73">
        <w:rPr>
          <w:i/>
        </w:rPr>
        <w:t>,</w:t>
      </w:r>
      <w:r w:rsidR="00C40D7D" w:rsidRPr="00C40D7D">
        <w:rPr>
          <w:i/>
        </w:rPr>
        <w:t xml:space="preserve"> MZe</w:t>
      </w:r>
      <w:r w:rsidR="00123B73">
        <w:rPr>
          <w:i/>
        </w:rPr>
        <w:t xml:space="preserve"> či MPO</w:t>
      </w:r>
    </w:p>
    <w:p w:rsidR="004B12E3" w:rsidRPr="00795817" w:rsidRDefault="000865D6" w:rsidP="004B12E3">
      <w:pPr>
        <w:pStyle w:val="Text-Normaln"/>
        <w:widowControl w:val="0"/>
        <w:rPr>
          <w:i/>
        </w:rPr>
      </w:pPr>
      <w:r w:rsidRPr="00795817">
        <w:rPr>
          <w:b/>
          <w:szCs w:val="24"/>
        </w:rPr>
        <w:t>Identifikace a kvantifikace nákladů a přínosů</w:t>
      </w:r>
    </w:p>
    <w:p w:rsidR="006828CE" w:rsidRPr="00795817" w:rsidRDefault="000865D6" w:rsidP="006828CE">
      <w:pPr>
        <w:pStyle w:val="Titulek"/>
      </w:pPr>
      <w:r w:rsidRPr="00795817">
        <w:t xml:space="preserve">Tabulka </w:t>
      </w:r>
      <w:r w:rsidRPr="00795817">
        <w:rPr>
          <w:noProof/>
        </w:rPr>
        <w:fldChar w:fldCharType="begin"/>
      </w:r>
      <w:r w:rsidRPr="00795817">
        <w:rPr>
          <w:noProof/>
        </w:rPr>
        <w:instrText xml:space="preserve"> SEQ Tabulka \* ARABIC </w:instrText>
      </w:r>
      <w:r w:rsidRPr="00795817">
        <w:rPr>
          <w:noProof/>
        </w:rPr>
        <w:fldChar w:fldCharType="separate"/>
      </w:r>
      <w:r w:rsidRPr="00795817">
        <w:rPr>
          <w:noProof/>
        </w:rPr>
        <w:t>14</w:t>
      </w:r>
      <w:r w:rsidRPr="00795817">
        <w:rPr>
          <w:noProof/>
        </w:rPr>
        <w:fldChar w:fldCharType="end"/>
      </w:r>
      <w:r w:rsidRPr="00795817">
        <w:t xml:space="preserve">: Identifikace nákladů a přínosů: </w:t>
      </w:r>
    </w:p>
    <w:tbl>
      <w:tblPr>
        <w:tblStyle w:val="Tabulkaseznamu21"/>
        <w:tblW w:w="9072" w:type="dxa"/>
        <w:tblInd w:w="108" w:type="dxa"/>
        <w:tblLook w:val="04A0" w:firstRow="1" w:lastRow="0" w:firstColumn="1" w:lastColumn="0" w:noHBand="0" w:noVBand="1"/>
      </w:tblPr>
      <w:tblGrid>
        <w:gridCol w:w="2268"/>
        <w:gridCol w:w="6804"/>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6828CE" w:rsidRPr="00795817" w:rsidRDefault="000865D6" w:rsidP="00B2585A">
            <w:pPr>
              <w:widowControl w:val="0"/>
              <w:tabs>
                <w:tab w:val="left" w:pos="142"/>
              </w:tabs>
              <w:spacing w:before="60" w:after="60"/>
              <w:rPr>
                <w:rFonts w:asciiTheme="minorHAnsi" w:hAnsiTheme="minorHAnsi" w:cstheme="minorHAnsi"/>
                <w:spacing w:val="-4"/>
                <w:sz w:val="20"/>
                <w:szCs w:val="20"/>
              </w:rPr>
            </w:pPr>
            <w:r w:rsidRPr="00795817">
              <w:rPr>
                <w:rFonts w:asciiTheme="minorHAnsi" w:hAnsiTheme="minorHAnsi" w:cstheme="minorHAnsi"/>
                <w:spacing w:val="-4"/>
                <w:sz w:val="20"/>
                <w:szCs w:val="20"/>
              </w:rPr>
              <w:t>Dotčená strana</w:t>
            </w:r>
          </w:p>
        </w:tc>
        <w:tc>
          <w:tcPr>
            <w:tcW w:w="6804" w:type="dxa"/>
            <w:vAlign w:val="center"/>
          </w:tcPr>
          <w:p w:rsidR="006828CE" w:rsidRPr="00795817" w:rsidRDefault="000865D6" w:rsidP="00B2585A">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6828CE" w:rsidRPr="00795817" w:rsidRDefault="000865D6" w:rsidP="00B2585A">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Vyvlastnitelé</w:t>
            </w:r>
          </w:p>
        </w:tc>
        <w:tc>
          <w:tcPr>
            <w:tcW w:w="6804" w:type="dxa"/>
            <w:vAlign w:val="center"/>
          </w:tcPr>
          <w:p w:rsidR="0026749F" w:rsidRPr="00795817" w:rsidRDefault="000865D6" w:rsidP="008D7E4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C40D7D">
              <w:rPr>
                <w:rFonts w:asciiTheme="minorHAnsi" w:hAnsiTheme="minorHAnsi" w:cstheme="minorHAnsi"/>
                <w:i/>
                <w:sz w:val="20"/>
                <w:szCs w:val="20"/>
              </w:rPr>
              <w:t>Zvýšení právní jistoty</w:t>
            </w:r>
            <w:r>
              <w:rPr>
                <w:rFonts w:asciiTheme="minorHAnsi" w:hAnsiTheme="minorHAnsi" w:cstheme="minorHAnsi"/>
                <w:i/>
                <w:sz w:val="20"/>
                <w:szCs w:val="20"/>
              </w:rPr>
              <w:t>; úspory na nákladech způsobených zpožděními při realizaci staveb.</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A144FC" w:rsidRPr="00795817" w:rsidRDefault="000865D6" w:rsidP="00A144FC">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Vyvlastňovaní</w:t>
            </w:r>
          </w:p>
        </w:tc>
        <w:tc>
          <w:tcPr>
            <w:tcW w:w="6804" w:type="dxa"/>
            <w:vAlign w:val="center"/>
          </w:tcPr>
          <w:p w:rsidR="00A144FC" w:rsidRPr="00795817" w:rsidRDefault="000865D6" w:rsidP="00A144FC">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C40D7D">
              <w:rPr>
                <w:rFonts w:asciiTheme="minorHAnsi" w:hAnsiTheme="minorHAnsi" w:cstheme="minorHAnsi"/>
                <w:i/>
                <w:sz w:val="20"/>
                <w:szCs w:val="20"/>
              </w:rPr>
              <w:t>Zvýšení právní jistoty</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A6D7F" w:rsidRPr="00795817" w:rsidRDefault="000865D6" w:rsidP="00A144FC">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Vyvlastňovací úřady</w:t>
            </w:r>
          </w:p>
        </w:tc>
        <w:tc>
          <w:tcPr>
            <w:tcW w:w="6804" w:type="dxa"/>
            <w:vAlign w:val="center"/>
          </w:tcPr>
          <w:p w:rsidR="007A6D7F" w:rsidRPr="00795817" w:rsidRDefault="000865D6" w:rsidP="00A144FC">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C40D7D">
              <w:rPr>
                <w:rFonts w:asciiTheme="minorHAnsi" w:hAnsiTheme="minorHAnsi" w:cstheme="minorHAnsi"/>
                <w:i/>
                <w:sz w:val="20"/>
                <w:szCs w:val="20"/>
              </w:rPr>
              <w:t>Zvýšení právní jistoty</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7A6D7F" w:rsidRPr="00795817" w:rsidRDefault="000865D6" w:rsidP="00A144FC">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Ostatní</w:t>
            </w:r>
          </w:p>
        </w:tc>
        <w:tc>
          <w:tcPr>
            <w:tcW w:w="6804" w:type="dxa"/>
            <w:vAlign w:val="center"/>
          </w:tcPr>
          <w:p w:rsidR="007A6D7F" w:rsidRPr="00795817" w:rsidRDefault="000865D6" w:rsidP="00A144FC">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Pr>
                <w:rFonts w:asciiTheme="minorHAnsi" w:hAnsiTheme="minorHAnsi" w:cstheme="minorHAnsi"/>
                <w:i/>
                <w:sz w:val="20"/>
                <w:szCs w:val="20"/>
              </w:rPr>
              <w:t>Ochrana veřejných zájmů v reakci na aktuální problémy společnosti</w:t>
            </w:r>
          </w:p>
        </w:tc>
      </w:tr>
    </w:tbl>
    <w:p w:rsidR="004B12E3" w:rsidRPr="00795817" w:rsidRDefault="000865D6" w:rsidP="00DA4BBE">
      <w:pPr>
        <w:pStyle w:val="Text-Normaln"/>
        <w:widowControl w:val="0"/>
        <w:spacing w:before="240"/>
        <w:rPr>
          <w:b/>
        </w:rPr>
      </w:pPr>
      <w:r w:rsidRPr="00795817">
        <w:rPr>
          <w:b/>
        </w:rPr>
        <w:t>Volba varianty a její implementace</w:t>
      </w:r>
    </w:p>
    <w:p w:rsidR="0016654D" w:rsidRDefault="000865D6" w:rsidP="00D205BB">
      <w:pPr>
        <w:pStyle w:val="Normln-tun"/>
      </w:pPr>
      <w:r w:rsidRPr="00C40D7D">
        <w:t xml:space="preserve">Zákon o vyvlastnění v platném znění představuje obecnou úpravu podmínek vyvlastnění, vyvlastňovacího řízení i soudního přezkumu. Mají-li být pro některé </w:t>
      </w:r>
      <w:r>
        <w:t>specifické</w:t>
      </w:r>
      <w:r w:rsidRPr="00C40D7D">
        <w:t xml:space="preserve"> stavby upraveny </w:t>
      </w:r>
      <w:r>
        <w:t>některé</w:t>
      </w:r>
      <w:r w:rsidRPr="00C40D7D">
        <w:t xml:space="preserve"> věci jinak, pak je třeba takové řešení zahrnout do </w:t>
      </w:r>
      <w:r>
        <w:t>příslušného gesčn</w:t>
      </w:r>
      <w:r>
        <w:t xml:space="preserve">ího </w:t>
      </w:r>
      <w:r w:rsidRPr="00C40D7D">
        <w:t xml:space="preserve">zákona, nikoli do obecné úpravy.  </w:t>
      </w:r>
    </w:p>
    <w:p w:rsidR="00845EFA" w:rsidRPr="000B3AA8" w:rsidRDefault="000865D6" w:rsidP="00D205BB">
      <w:pPr>
        <w:pStyle w:val="Normln-tun"/>
      </w:pPr>
      <w:r w:rsidRPr="000B3AA8">
        <w:t>Vhodné by bylo znovuzavést možnost vyvlastnění nemovitostí dotčených využíváním výhradních ložisek nerostů do horního zákon</w:t>
      </w:r>
      <w:r w:rsidR="001D43AE" w:rsidRPr="000B3AA8">
        <w:t>a</w:t>
      </w:r>
      <w:r w:rsidRPr="000B3AA8">
        <w:t xml:space="preserve"> pro účely stanovení dobývacího prostoru a povolení hornické činnosti</w:t>
      </w:r>
      <w:r w:rsidR="00343873" w:rsidRPr="000B3AA8">
        <w:t xml:space="preserve"> (příp. doplnit právo vstupu na cizí pozemky, právo vypouštět důlní vody, povinnost strpět umístění měřických značek a jiných měřických zařízení na nemovitostech a další instituty směřující k ochraně nerostného bohatství)</w:t>
      </w:r>
      <w:r w:rsidRPr="000B3AA8">
        <w:t>, v rámci energetického zákona – pr</w:t>
      </w:r>
      <w:r w:rsidRPr="000B3AA8">
        <w:t xml:space="preserve">o těžební plynovod či do zákona č. 62/1988 Sb., o geologických pracích – pro účely vyhledávání a průzkumu ložisek vyhrazených nerostů. Dále může jít o zákon č. 189/1999 Sb., o nouzových zásobách ropy, ze kterého vyplývá, že pro skladovací zařízení ani pro </w:t>
      </w:r>
      <w:r w:rsidRPr="000B3AA8">
        <w:t>produktovody a ropovody neumožňuje tento zákon vyvlastnit samotné vlastnické právo, ale pouze jej omezit věcným břemenem.</w:t>
      </w:r>
    </w:p>
    <w:p w:rsidR="00845EFA" w:rsidRPr="00BD148C" w:rsidRDefault="000865D6" w:rsidP="00D205BB">
      <w:pPr>
        <w:pStyle w:val="Normln-tun"/>
        <w:rPr>
          <w:b/>
        </w:rPr>
      </w:pPr>
      <w:r w:rsidRPr="004E3888">
        <w:lastRenderedPageBreak/>
        <w:t>Na zvážení je i sjednocení vyvlastňovacích titulů u obdobné technické infrastruktury např. srovnáním vyvlastňovacích titulů podle ener</w:t>
      </w:r>
      <w:r w:rsidRPr="004E3888">
        <w:t>getického zákona.</w:t>
      </w:r>
    </w:p>
    <w:p w:rsidR="00C33AE1" w:rsidRPr="00D913C9" w:rsidRDefault="000865D6" w:rsidP="00D205BB">
      <w:pPr>
        <w:pStyle w:val="Normln-tun"/>
      </w:pPr>
      <w:r w:rsidRPr="00BD148C">
        <w:t>K </w:t>
      </w:r>
      <w:r w:rsidR="00123B73" w:rsidRPr="00BD148C">
        <w:t>příp</w:t>
      </w:r>
      <w:r w:rsidR="00123B73" w:rsidRPr="001720D2">
        <w:t>adné</w:t>
      </w:r>
      <w:r w:rsidRPr="001720D2">
        <w:t xml:space="preserve"> úpravě účelů vyvlastnění by mělo dojít </w:t>
      </w:r>
      <w:r w:rsidR="00123B73" w:rsidRPr="00755218">
        <w:t>unifikovaně</w:t>
      </w:r>
      <w:r w:rsidRPr="00022391">
        <w:t xml:space="preserve"> s jednotným pojmoslovím. </w:t>
      </w:r>
    </w:p>
    <w:p w:rsidR="00EA2040" w:rsidRPr="00EA2040" w:rsidRDefault="000865D6" w:rsidP="00D205BB">
      <w:pPr>
        <w:pStyle w:val="Normln-tun"/>
      </w:pPr>
      <w:r w:rsidRPr="000B3AA8">
        <w:t>Protože by se změna týkala dalších rezortních předpisů, může k případné úpravě těchto jednotlivých zákonů doj</w:t>
      </w:r>
      <w:r w:rsidR="00413461" w:rsidRPr="000B3AA8">
        <w:t>ít jen</w:t>
      </w:r>
      <w:r w:rsidRPr="000B3AA8">
        <w:t xml:space="preserve"> po dohodě s jejich gestory</w:t>
      </w:r>
      <w:r w:rsidR="006D585F" w:rsidRPr="000B3AA8">
        <w:t>, přičemž co se týče přímo zákona o vyvlastnění, může být</w:t>
      </w:r>
      <w:r w:rsidRPr="000B3AA8">
        <w:t xml:space="preserve"> </w:t>
      </w:r>
      <w:r w:rsidR="006D585F" w:rsidRPr="000B3AA8">
        <w:t>p</w:t>
      </w:r>
      <w:r w:rsidRPr="000B3AA8">
        <w:t xml:space="preserve">ředmětem dohody pouze to, zda úprava účelů vyvlastnění v jiných zákonech bude provedena společně s návrhem nového zákona o vyvlastnění.  </w:t>
      </w:r>
      <w:r w:rsidR="00290BA1" w:rsidRPr="000B3AA8">
        <w:t>J</w:t>
      </w:r>
      <w:r w:rsidRPr="000B3AA8">
        <w:t>e na příslušných ministerstvech a ústředních orgánech, zda zvolí te</w:t>
      </w:r>
      <w:r w:rsidRPr="000B3AA8">
        <w:t>nto postup nebo budou právní úpravu připravovat samostatně, v souladu s potřebami rozvoje jim svěřených odvětví řešení stěžejních otázek společenské problematiky v okruhu jejich působnosti.</w:t>
      </w:r>
      <w:r w:rsidRPr="00EA2040">
        <w:t xml:space="preserve">  </w:t>
      </w:r>
    </w:p>
    <w:p w:rsidR="00845EFA" w:rsidRDefault="00845EFA" w:rsidP="004B12E3">
      <w:pPr>
        <w:pStyle w:val="Text-Normaln"/>
        <w:widowControl w:val="0"/>
        <w:rPr>
          <w:iCs/>
        </w:rPr>
      </w:pPr>
    </w:p>
    <w:p w:rsidR="0016654D" w:rsidRPr="00795817" w:rsidRDefault="000865D6" w:rsidP="0016654D">
      <w:pPr>
        <w:pStyle w:val="Nadpis2a"/>
      </w:pPr>
      <w:bookmarkStart w:id="123" w:name="_Toc256000011"/>
      <w:r w:rsidRPr="00795817">
        <w:t>Veřejný zájem</w:t>
      </w:r>
      <w:bookmarkEnd w:id="123"/>
    </w:p>
    <w:p w:rsidR="0016654D" w:rsidRPr="00795817" w:rsidRDefault="000865D6" w:rsidP="0016654D">
      <w:pPr>
        <w:pStyle w:val="Text-Normaln"/>
        <w:widowControl w:val="0"/>
        <w:rPr>
          <w:b/>
          <w:bCs/>
        </w:rPr>
      </w:pPr>
      <w:r w:rsidRPr="00795817">
        <w:rPr>
          <w:b/>
          <w:bCs/>
        </w:rPr>
        <w:t>Popis současného stavu:</w:t>
      </w:r>
    </w:p>
    <w:p w:rsidR="008A7D97" w:rsidRPr="00795817" w:rsidRDefault="000865D6" w:rsidP="00D205BB">
      <w:pPr>
        <w:pStyle w:val="Normln-tun"/>
      </w:pPr>
      <w:r w:rsidRPr="00795817">
        <w:t>Existence veřejného zájmu</w:t>
      </w:r>
      <w:r w:rsidRPr="00795817">
        <w:t xml:space="preserve"> je jednou ze základních podmínek, za kterých může být vyvlastnění provedeno. Při realizaci účelu vyvlastnění je třeba prokázat veřejný zájem. Veřejný zájem je přitom jedním z neurčitých právních pojmů, který zůstává i přes hojný výskyt v různých legislati</w:t>
      </w:r>
      <w:r w:rsidRPr="00795817">
        <w:t>vních aktech bez legální definice. Veřejný zájem nejenom nelze uspokojivě definovat, ale obvykle jej nelze v konkrétním případě ani hodnověrně přezkoumat. Veřejný zájem představuje snahu o udržování a ochranu celospolečensky významných hodnot.</w:t>
      </w:r>
    </w:p>
    <w:p w:rsidR="008A7D97" w:rsidRPr="00795817" w:rsidRDefault="000865D6" w:rsidP="00D205BB">
      <w:pPr>
        <w:pStyle w:val="Normln-tun"/>
      </w:pPr>
      <w:r w:rsidRPr="00795817">
        <w:t>Dle zákona o</w:t>
      </w:r>
      <w:r w:rsidRPr="00795817">
        <w:t xml:space="preserve"> vyvlastnění je nutné, aby veřejný zájem na dosažení účelu vyvlastnění převažoval nad právy vyvlastňovaného.</w:t>
      </w:r>
    </w:p>
    <w:p w:rsidR="008A7D97" w:rsidRPr="00795817" w:rsidRDefault="000865D6" w:rsidP="00D205BB">
      <w:pPr>
        <w:pStyle w:val="Normln-tun"/>
      </w:pPr>
      <w:r w:rsidRPr="00795817">
        <w:t>Existenci veřejného zájmu a jeho převahu nad individuálními právy vlastníka pozemku nebo stavby posuzuje vždy v konkrétním případě vyvlastňovací úř</w:t>
      </w:r>
      <w:r w:rsidRPr="00795817">
        <w:t>ad. Z tohoto pohledu je pak prokázání existence veřejného zájmu ústředním bodem odůvodnění rozhodnutí o vyvlastnění.</w:t>
      </w:r>
    </w:p>
    <w:p w:rsidR="008A7D97" w:rsidRPr="00795817" w:rsidRDefault="000865D6" w:rsidP="00D205BB">
      <w:pPr>
        <w:pStyle w:val="Normln-tun"/>
      </w:pPr>
      <w:r w:rsidRPr="00795817">
        <w:t>Veřejný zájem na vyvlastnění není vždy pouze v zájmu orgánů veřejné moci. Naopak může být přítomen i tehdy, je-li nutné umožnit užívání věc</w:t>
      </w:r>
      <w:r w:rsidRPr="00795817">
        <w:t>i soukromou osobou. Vždy musí být přihlédnuto ke konkrétním okolnostem každého jednotlivého případu a se zřetelem k němu zkoumat, zda je veřejný zájem ve věci dán a dosahuje-li takového stupně, aby mohlo být příslušné zákonné ustanovení aplikováno. Nejde o</w:t>
      </w:r>
      <w:r w:rsidRPr="00795817">
        <w:t xml:space="preserve"> otázku, která by byla závislá na volné úvaze příslušného vyvlastňovacího úřadu, ale vždy se pouze hledá odpověď na otázku, zda lze vyvlastňovací normu aplikovat, a to po zvážení všech skutkových okolností případu.</w:t>
      </w:r>
    </w:p>
    <w:p w:rsidR="00897AE7" w:rsidRPr="00795817" w:rsidRDefault="000865D6" w:rsidP="00D205BB">
      <w:pPr>
        <w:pStyle w:val="Normln-tun"/>
      </w:pPr>
      <w:r w:rsidRPr="00795817">
        <w:t>Zde je vhodné uvést, že zákonodárná moc s</w:t>
      </w:r>
      <w:r w:rsidRPr="00795817">
        <w:t>e již několikrát snažila o potvrzení veřejného zájmu v určitých oblastech tím, že označí konkrétní činnosti jako veřejný zájem. Například podle §</w:t>
      </w:r>
      <w:r w:rsidR="009261EA">
        <w:t> </w:t>
      </w:r>
      <w:r w:rsidRPr="00795817">
        <w:t>3</w:t>
      </w:r>
      <w:r w:rsidR="009261EA">
        <w:t> </w:t>
      </w:r>
      <w:r w:rsidRPr="00795817">
        <w:t>odst.</w:t>
      </w:r>
      <w:r w:rsidR="009261EA">
        <w:t> </w:t>
      </w:r>
      <w:r w:rsidRPr="00795817">
        <w:t>2 energetického zákona přenos a distribuce elektřiny, přeprava a distribuce plynu, uskladňování plynu,</w:t>
      </w:r>
      <w:r w:rsidRPr="00795817">
        <w:t xml:space="preserve"> výroba a rozvod tepelné energie se uskutečňují ve veřejném zájmu. </w:t>
      </w:r>
    </w:p>
    <w:p w:rsidR="008A7D97" w:rsidRPr="00795817" w:rsidRDefault="000865D6" w:rsidP="00D205BB">
      <w:pPr>
        <w:pStyle w:val="Normln-tun"/>
      </w:pPr>
      <w:r w:rsidRPr="00795817">
        <w:t xml:space="preserve">Za účelem zrychlení vyvlastňovacího řízení </w:t>
      </w:r>
      <w:r w:rsidR="00660F00" w:rsidRPr="00795817">
        <w:t>byl</w:t>
      </w:r>
      <w:r w:rsidRPr="00795817">
        <w:t xml:space="preserve"> v minulosti označ</w:t>
      </w:r>
      <w:r w:rsidR="00660F00" w:rsidRPr="00795817">
        <w:t>en</w:t>
      </w:r>
      <w:r w:rsidRPr="00795817">
        <w:t xml:space="preserve"> zákonem určitý investiční záměr a řízení s ním související za veřejný zájem. </w:t>
      </w:r>
      <w:r w:rsidR="00897AE7" w:rsidRPr="00795817">
        <w:t>V</w:t>
      </w:r>
      <w:r w:rsidRPr="00795817">
        <w:t xml:space="preserve"> § 1 zákona č. 168/2001 Sb., o dálničním ob</w:t>
      </w:r>
      <w:r w:rsidRPr="00795817">
        <w:t xml:space="preserve">chvatu Plzně, </w:t>
      </w:r>
      <w:r w:rsidR="00897AE7" w:rsidRPr="00795817">
        <w:t>byly</w:t>
      </w:r>
      <w:r w:rsidRPr="00795817">
        <w:t xml:space="preserve"> všechny stavby v rámci výstavby dálnice D5 v úseku Ejpovice – Sulkov (dálniční obchvat Plzně) vymezeny jako veřejný zájem. Správní řízení prováděná správními úřady ve věcech stavby obchvatu </w:t>
      </w:r>
      <w:r w:rsidR="00897AE7" w:rsidRPr="00795817">
        <w:t>byla stanovena jako</w:t>
      </w:r>
      <w:r w:rsidRPr="00795817">
        <w:t xml:space="preserve"> řízení ve veřejném zájmu. U</w:t>
      </w:r>
      <w:r w:rsidRPr="00795817">
        <w:t xml:space="preserve">stanovení § 1 zákona č. 544/2005 Sb., o výstavbě vzletové a přistávací </w:t>
      </w:r>
      <w:r w:rsidRPr="00795817">
        <w:lastRenderedPageBreak/>
        <w:t>dráhy 06R – 24L letiště Praha Ruzyně, pak stanovilo, že vzletová a přistávací dráha 06R – 24L, a dále všechny stavby, které budou v oblasti technické infrastruktury zajišťovat její prov</w:t>
      </w:r>
      <w:r w:rsidRPr="00795817">
        <w:t>oz, jsou veřejným zájmem.</w:t>
      </w:r>
      <w:r w:rsidR="00897AE7" w:rsidRPr="00795817">
        <w:t xml:space="preserve"> </w:t>
      </w:r>
      <w:r w:rsidRPr="00795817">
        <w:t xml:space="preserve">Tento postup </w:t>
      </w:r>
      <w:r w:rsidR="00897AE7" w:rsidRPr="00795817">
        <w:t xml:space="preserve">označení konkrétní stavby </w:t>
      </w:r>
      <w:r w:rsidRPr="00795817">
        <w:t>byl odmítnut Ústavním soudem. Pokud by byl</w:t>
      </w:r>
      <w:r w:rsidR="00897AE7" w:rsidRPr="00795817">
        <w:t>a stavba určena</w:t>
      </w:r>
      <w:r w:rsidRPr="00795817">
        <w:t xml:space="preserve"> </w:t>
      </w:r>
      <w:r w:rsidR="00897AE7" w:rsidRPr="00795817">
        <w:t xml:space="preserve">jako </w:t>
      </w:r>
      <w:r w:rsidRPr="00795817">
        <w:t>veřejný zájem zákonem, nebylo by pak možné veřejný zájem soudně přezkoumat v rámci posuzování podmínek vyvlastnění. Nálezem Ústa</w:t>
      </w:r>
      <w:r w:rsidRPr="00795817">
        <w:t>vního soudu ze dne 28. 6. 2005, sp. zn. Pl. ÚS 24/04, byl zákon č.</w:t>
      </w:r>
      <w:r w:rsidR="00F02636">
        <w:t> </w:t>
      </w:r>
      <w:r w:rsidRPr="00795817">
        <w:t>544/2005 Sb., o výstavbě vzletové a přistávací dráhy 06R – 24L letiště Praha Ruzyně zrušen.</w:t>
      </w:r>
      <w:r>
        <w:rPr>
          <w:rStyle w:val="Znakapoznpodarou"/>
          <w:rFonts w:cstheme="minorHAnsi"/>
        </w:rPr>
        <w:footnoteReference w:id="15"/>
      </w:r>
    </w:p>
    <w:p w:rsidR="00B801C5" w:rsidRPr="00795817" w:rsidRDefault="000865D6" w:rsidP="00D205BB">
      <w:pPr>
        <w:pStyle w:val="Normln-tun"/>
        <w:rPr>
          <w:highlight w:val="red"/>
        </w:rPr>
      </w:pPr>
      <w:r w:rsidRPr="00795817">
        <w:t>Vyplývá-li určitý veřejný zájem přímo ze zákona, jak je tomu mimo jiné i u staveb zřízených podl</w:t>
      </w:r>
      <w:r w:rsidRPr="00795817">
        <w:t>e energetického zákona, není jeho dokazování předmětem vyvlastňovacího řízení. I v takovém případě však musí být v řízení prokázána převaha tohoto veřejného zájmu na dosažení požadovaného účelu nad zachováním práv vyvlastňovaného.</w:t>
      </w:r>
      <w:r>
        <w:rPr>
          <w:rStyle w:val="Znakapoznpodarou"/>
        </w:rPr>
        <w:footnoteReference w:id="16"/>
      </w:r>
    </w:p>
    <w:p w:rsidR="0016654D" w:rsidRPr="00795817" w:rsidRDefault="000865D6" w:rsidP="0016654D">
      <w:pPr>
        <w:pStyle w:val="Text-Normaln"/>
        <w:widowControl w:val="0"/>
        <w:rPr>
          <w:b/>
          <w:bCs/>
        </w:rPr>
      </w:pPr>
      <w:r w:rsidRPr="00795817">
        <w:rPr>
          <w:b/>
          <w:bCs/>
        </w:rPr>
        <w:t xml:space="preserve">Definice problému: </w:t>
      </w:r>
    </w:p>
    <w:p w:rsidR="0016654D" w:rsidRDefault="000865D6" w:rsidP="00D205BB">
      <w:pPr>
        <w:pStyle w:val="Normln-tun"/>
      </w:pPr>
      <w:r w:rsidRPr="00795817">
        <w:t>V rá</w:t>
      </w:r>
      <w:r w:rsidRPr="00795817">
        <w:t xml:space="preserve">mci konzultací bylo v této oblasti zmíněno pouze nedostatečné metodické vedení a proškolování úředníků. Variantu detailnější konkretizace záměrů ve veřejném zájmu </w:t>
      </w:r>
      <w:r w:rsidR="0024478D">
        <w:t xml:space="preserve">mj. i </w:t>
      </w:r>
      <w:r w:rsidRPr="00795817">
        <w:t xml:space="preserve">na základě judikatury předem zamítáme.   </w:t>
      </w:r>
    </w:p>
    <w:p w:rsidR="0024478D" w:rsidRPr="00795817" w:rsidRDefault="000865D6" w:rsidP="00D205BB">
      <w:pPr>
        <w:pStyle w:val="Normln-tun"/>
      </w:pPr>
      <w:r w:rsidRPr="007357A8">
        <w:t xml:space="preserve">Nelze </w:t>
      </w:r>
      <w:r>
        <w:t xml:space="preserve">např. </w:t>
      </w:r>
      <w:r w:rsidRPr="007357A8">
        <w:t>přistoupit na to, že vydáním povo</w:t>
      </w:r>
      <w:r w:rsidRPr="007357A8">
        <w:t>lení ke stavbě, pro kterou zákon stanoví účel vyvlastnění, je již prokázán veřejný zájem nezbytný pro vyvlastnění práv potřebných pro uskutečnění této stavby.  V územním, stavebním či společném řízení zjišťuje a hájí stavební úřad v součinnosti s dotčenými</w:t>
      </w:r>
      <w:r w:rsidRPr="007357A8">
        <w:t xml:space="preserve"> orgány veřejné zájmy chráněné řadou zákonů z toho hlediska, zda navrhovaná stavba může být podle žádosti stavebníka umístěna a realizována. Nezkoumá ale, zda v konkrétním případě jde o tak zásadní potřebu společnosti, tak silný veřejný zájem na realizaci </w:t>
      </w:r>
      <w:r w:rsidRPr="007357A8">
        <w:t>tohoto záměru, v daném místě a čase, že to odůvodňuje nucený zásah do vlastnického práva, které je základním lidským právem a že veřejný zájem na dosažení účelu vyvlastnění v převažuje nad zachováním dosavadních práv vlastníka.</w:t>
      </w:r>
    </w:p>
    <w:p w:rsidR="0016654D" w:rsidRPr="00795817" w:rsidRDefault="000865D6" w:rsidP="0016654D">
      <w:pPr>
        <w:pStyle w:val="Text-Normaln"/>
        <w:widowControl w:val="0"/>
        <w:rPr>
          <w:rFonts w:cs="Arial"/>
          <w:szCs w:val="24"/>
        </w:rPr>
      </w:pPr>
      <w:r w:rsidRPr="00795817">
        <w:rPr>
          <w:b/>
        </w:rPr>
        <w:t>Cíl:</w:t>
      </w:r>
      <w:r w:rsidRPr="00795817">
        <w:t xml:space="preserve"> </w:t>
      </w:r>
      <w:r w:rsidRPr="00795817">
        <w:rPr>
          <w:rFonts w:cs="Arial"/>
          <w:szCs w:val="24"/>
        </w:rPr>
        <w:t>Zefektivnění</w:t>
      </w:r>
      <w:r w:rsidR="001D43AE">
        <w:rPr>
          <w:rFonts w:cs="Arial"/>
          <w:szCs w:val="24"/>
        </w:rPr>
        <w:t xml:space="preserve"> činnosti úředníků na vyvlastňovacích úřadech</w:t>
      </w:r>
    </w:p>
    <w:p w:rsidR="0016654D" w:rsidRPr="00795817" w:rsidRDefault="000865D6" w:rsidP="0016654D">
      <w:pPr>
        <w:pStyle w:val="Text-Normaln"/>
        <w:widowControl w:val="0"/>
        <w:rPr>
          <w:b/>
        </w:rPr>
      </w:pPr>
      <w:r w:rsidRPr="00795817">
        <w:rPr>
          <w:b/>
        </w:rPr>
        <w:t>Návrh variant řešení:</w:t>
      </w:r>
    </w:p>
    <w:p w:rsidR="0016654D" w:rsidRPr="00795817" w:rsidRDefault="000865D6" w:rsidP="0016654D">
      <w:pPr>
        <w:pStyle w:val="Text-Normaln"/>
        <w:widowControl w:val="0"/>
        <w:rPr>
          <w:i/>
        </w:rPr>
      </w:pPr>
      <w:r w:rsidRPr="00795817">
        <w:rPr>
          <w:b/>
          <w:i/>
        </w:rPr>
        <w:t>Varianta 0:</w:t>
      </w:r>
      <w:r w:rsidRPr="00795817">
        <w:rPr>
          <w:i/>
        </w:rPr>
        <w:t xml:space="preserve"> Zachování současného stavu</w:t>
      </w:r>
    </w:p>
    <w:p w:rsidR="0016654D" w:rsidRPr="00795817" w:rsidRDefault="000865D6" w:rsidP="0016654D">
      <w:pPr>
        <w:pStyle w:val="Text-Normaln"/>
        <w:widowControl w:val="0"/>
        <w:rPr>
          <w:i/>
        </w:rPr>
      </w:pPr>
      <w:r w:rsidRPr="00795817">
        <w:rPr>
          <w:b/>
          <w:i/>
        </w:rPr>
        <w:t>Varianta 1:</w:t>
      </w:r>
      <w:r w:rsidRPr="00795817">
        <w:rPr>
          <w:i/>
        </w:rPr>
        <w:t xml:space="preserve"> </w:t>
      </w:r>
      <w:r w:rsidR="004161B5" w:rsidRPr="00795817">
        <w:rPr>
          <w:i/>
        </w:rPr>
        <w:t xml:space="preserve">Zpracování metodických pokynů; pravidelné školení </w:t>
      </w:r>
      <w:r w:rsidR="003E5767" w:rsidRPr="00795817">
        <w:rPr>
          <w:i/>
        </w:rPr>
        <w:t xml:space="preserve">odpovědných </w:t>
      </w:r>
      <w:r w:rsidR="004161B5" w:rsidRPr="00795817">
        <w:rPr>
          <w:i/>
        </w:rPr>
        <w:t>úředníků</w:t>
      </w:r>
    </w:p>
    <w:p w:rsidR="0016654D" w:rsidRPr="00795817" w:rsidRDefault="000865D6" w:rsidP="0016654D">
      <w:pPr>
        <w:pStyle w:val="Text-Normaln"/>
        <w:widowControl w:val="0"/>
        <w:rPr>
          <w:b/>
          <w:szCs w:val="24"/>
        </w:rPr>
      </w:pPr>
      <w:r w:rsidRPr="00795817">
        <w:rPr>
          <w:b/>
          <w:szCs w:val="24"/>
        </w:rPr>
        <w:t>Identifikace a kvantifikace nákladů a přínosů</w:t>
      </w:r>
    </w:p>
    <w:p w:rsidR="004161B5" w:rsidRPr="00795817" w:rsidRDefault="000865D6" w:rsidP="004161B5">
      <w:pPr>
        <w:pStyle w:val="Titulek"/>
      </w:pPr>
      <w:r w:rsidRPr="00795817">
        <w:t xml:space="preserve">Tabulka </w:t>
      </w:r>
      <w:r w:rsidRPr="00795817">
        <w:rPr>
          <w:noProof/>
        </w:rPr>
        <w:fldChar w:fldCharType="begin"/>
      </w:r>
      <w:r w:rsidRPr="00795817">
        <w:rPr>
          <w:noProof/>
        </w:rPr>
        <w:instrText xml:space="preserve"> SEQ Tabulka \* ARABIC </w:instrText>
      </w:r>
      <w:r w:rsidRPr="00795817">
        <w:rPr>
          <w:noProof/>
        </w:rPr>
        <w:fldChar w:fldCharType="separate"/>
      </w:r>
      <w:r w:rsidRPr="00795817">
        <w:rPr>
          <w:noProof/>
        </w:rPr>
        <w:t>15</w:t>
      </w:r>
      <w:r w:rsidRPr="00795817">
        <w:rPr>
          <w:noProof/>
        </w:rPr>
        <w:fldChar w:fldCharType="end"/>
      </w:r>
      <w:r w:rsidRPr="00795817">
        <w:t xml:space="preserve">: Identifikace nákladů a přínosů: </w:t>
      </w:r>
    </w:p>
    <w:tbl>
      <w:tblPr>
        <w:tblStyle w:val="Tabulkaseznamu21"/>
        <w:tblW w:w="9072" w:type="dxa"/>
        <w:tblLook w:val="04A0" w:firstRow="1" w:lastRow="0" w:firstColumn="1" w:lastColumn="0" w:noHBand="0" w:noVBand="1"/>
      </w:tblPr>
      <w:tblGrid>
        <w:gridCol w:w="2268"/>
        <w:gridCol w:w="6804"/>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4161B5" w:rsidRPr="00795817" w:rsidRDefault="000865D6" w:rsidP="00F31791">
            <w:pPr>
              <w:widowControl w:val="0"/>
              <w:tabs>
                <w:tab w:val="left" w:pos="142"/>
              </w:tabs>
              <w:spacing w:before="60" w:after="60"/>
              <w:rPr>
                <w:rFonts w:asciiTheme="minorHAnsi" w:hAnsiTheme="minorHAnsi" w:cstheme="minorHAnsi"/>
                <w:spacing w:val="-4"/>
                <w:sz w:val="20"/>
                <w:szCs w:val="20"/>
              </w:rPr>
            </w:pPr>
            <w:r w:rsidRPr="00795817">
              <w:rPr>
                <w:rFonts w:asciiTheme="minorHAnsi" w:hAnsiTheme="minorHAnsi" w:cstheme="minorHAnsi"/>
                <w:spacing w:val="-4"/>
                <w:sz w:val="20"/>
                <w:szCs w:val="20"/>
              </w:rPr>
              <w:t>Dotčená strana</w:t>
            </w:r>
          </w:p>
        </w:tc>
        <w:tc>
          <w:tcPr>
            <w:tcW w:w="6804" w:type="dxa"/>
            <w:vAlign w:val="center"/>
          </w:tcPr>
          <w:p w:rsidR="004161B5" w:rsidRPr="00795817" w:rsidRDefault="000865D6" w:rsidP="00F31791">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4161B5"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Vyvlastnitelé</w:t>
            </w:r>
          </w:p>
        </w:tc>
        <w:tc>
          <w:tcPr>
            <w:tcW w:w="6804" w:type="dxa"/>
            <w:vAlign w:val="center"/>
          </w:tcPr>
          <w:p w:rsidR="004161B5" w:rsidRPr="00795817" w:rsidRDefault="000865D6" w:rsidP="004161B5">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z w:val="20"/>
                <w:szCs w:val="20"/>
              </w:rPr>
              <w:t>Přínosy ve formě zvýšení právní jistoty</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4161B5"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Vyvlastňovaní</w:t>
            </w:r>
          </w:p>
        </w:tc>
        <w:tc>
          <w:tcPr>
            <w:tcW w:w="6804" w:type="dxa"/>
            <w:vAlign w:val="center"/>
          </w:tcPr>
          <w:p w:rsidR="004161B5" w:rsidRPr="00795817" w:rsidRDefault="000865D6" w:rsidP="00F31791">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z w:val="20"/>
                <w:szCs w:val="20"/>
              </w:rPr>
              <w:t>Přínosy ve formě zvýšení právní jistoty</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4161B5"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Vyvlastňovací úřady</w:t>
            </w:r>
          </w:p>
        </w:tc>
        <w:tc>
          <w:tcPr>
            <w:tcW w:w="6804" w:type="dxa"/>
            <w:vAlign w:val="center"/>
          </w:tcPr>
          <w:p w:rsidR="004161B5" w:rsidRPr="00795817"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Přínosy ve formě zvýšení právní jistoty</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4161B5"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Stát</w:t>
            </w:r>
          </w:p>
        </w:tc>
        <w:tc>
          <w:tcPr>
            <w:tcW w:w="6804" w:type="dxa"/>
            <w:vAlign w:val="center"/>
          </w:tcPr>
          <w:p w:rsidR="004161B5" w:rsidRPr="00795817" w:rsidRDefault="000865D6" w:rsidP="00F31791">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pacing w:val="-4"/>
                <w:sz w:val="20"/>
                <w:szCs w:val="20"/>
              </w:rPr>
            </w:pPr>
            <w:r w:rsidRPr="00795817">
              <w:rPr>
                <w:rFonts w:asciiTheme="minorHAnsi" w:hAnsiTheme="minorHAnsi" w:cstheme="minorHAnsi"/>
                <w:i/>
                <w:spacing w:val="-4"/>
                <w:sz w:val="20"/>
                <w:szCs w:val="20"/>
              </w:rPr>
              <w:t xml:space="preserve">Náklady na zpracování </w:t>
            </w:r>
            <w:r w:rsidR="00092A99" w:rsidRPr="00795817">
              <w:rPr>
                <w:rFonts w:asciiTheme="minorHAnsi" w:hAnsiTheme="minorHAnsi" w:cstheme="minorHAnsi"/>
                <w:i/>
                <w:spacing w:val="-4"/>
                <w:sz w:val="20"/>
                <w:szCs w:val="20"/>
              </w:rPr>
              <w:t>metodiky – jednorázové</w:t>
            </w:r>
          </w:p>
          <w:p w:rsidR="004161B5" w:rsidRPr="00795817" w:rsidRDefault="000865D6" w:rsidP="00F31791">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pacing w:val="-4"/>
                <w:sz w:val="20"/>
                <w:szCs w:val="20"/>
              </w:rPr>
              <w:t xml:space="preserve">Náklady na školení </w:t>
            </w:r>
            <w:r w:rsidR="00092A99" w:rsidRPr="00795817">
              <w:rPr>
                <w:rFonts w:asciiTheme="minorHAnsi" w:hAnsiTheme="minorHAnsi" w:cstheme="minorHAnsi"/>
                <w:i/>
                <w:spacing w:val="-4"/>
                <w:sz w:val="20"/>
                <w:szCs w:val="20"/>
              </w:rPr>
              <w:t>úředníků – pravidelné</w:t>
            </w:r>
          </w:p>
        </w:tc>
      </w:tr>
    </w:tbl>
    <w:p w:rsidR="00F10F63" w:rsidRPr="00795817" w:rsidRDefault="000865D6" w:rsidP="00795260">
      <w:pPr>
        <w:pStyle w:val="Normln-tun"/>
        <w:spacing w:before="240"/>
      </w:pPr>
      <w:r w:rsidRPr="00795817">
        <w:t xml:space="preserve">Na základě získaných odpovědí v dotaznících lze říci, že </w:t>
      </w:r>
      <w:r w:rsidR="009A105F" w:rsidRPr="00795817">
        <w:t>agendou vyvlastňovacího úřadu se v průměru zabývají 2 úřední osoby na úřad</w:t>
      </w:r>
      <w:r w:rsidRPr="00795817">
        <w:t>. V</w:t>
      </w:r>
      <w:r w:rsidR="009A105F" w:rsidRPr="00795817">
        <w:t xml:space="preserve"> </w:t>
      </w:r>
      <w:r w:rsidRPr="00795817">
        <w:t xml:space="preserve">ČR je </w:t>
      </w:r>
      <w:r w:rsidR="002D469B">
        <w:t>206</w:t>
      </w:r>
      <w:r w:rsidRPr="00795817">
        <w:t xml:space="preserve"> </w:t>
      </w:r>
      <w:r w:rsidR="00EB3C4D" w:rsidRPr="00795817">
        <w:t>prvoinstančních a 1</w:t>
      </w:r>
      <w:r w:rsidR="002D469B">
        <w:t>5</w:t>
      </w:r>
      <w:r w:rsidR="000B135A" w:rsidRPr="00795817">
        <w:t xml:space="preserve"> </w:t>
      </w:r>
      <w:r w:rsidR="000B135A" w:rsidRPr="00795817">
        <w:lastRenderedPageBreak/>
        <w:t>druhoinstančních</w:t>
      </w:r>
      <w:r w:rsidR="002D469B">
        <w:t xml:space="preserve"> vyvlastňovacích úřadů</w:t>
      </w:r>
      <w:r w:rsidR="000B135A" w:rsidRPr="00795817">
        <w:t>.</w:t>
      </w:r>
      <w:r w:rsidR="009A105F" w:rsidRPr="00795817">
        <w:t xml:space="preserve"> Při výdajích 3 000 Kč ročně na školení jedné osoby</w:t>
      </w:r>
      <w:r w:rsidR="00F73F7D" w:rsidRPr="00795817">
        <w:t xml:space="preserve"> by celkové náklady dosáhly </w:t>
      </w:r>
      <w:r w:rsidR="002D469B">
        <w:t>1</w:t>
      </w:r>
      <w:r w:rsidR="00F73F7D" w:rsidRPr="00795817">
        <w:t>,</w:t>
      </w:r>
      <w:r w:rsidR="002D469B" w:rsidRPr="009261EA">
        <w:t>32</w:t>
      </w:r>
      <w:r w:rsidR="00F73F7D" w:rsidRPr="009261EA">
        <w:t xml:space="preserve"> mil. Kč. </w:t>
      </w:r>
      <w:r w:rsidR="009261EA" w:rsidRPr="009261EA">
        <w:t>Pokud by se první instance posunula na krajskou úroveň, mohlo by dojít ke specializaci úředníků a koncentraci znalostí o rozhodujících osob. Náklady na školení by tak výrazně klesly.</w:t>
      </w:r>
      <w:r w:rsidR="009261EA">
        <w:t xml:space="preserve"> Tyto náklady budou započteny v kapitole Vyvlastňovací úřady.</w:t>
      </w:r>
    </w:p>
    <w:p w:rsidR="00F10F63" w:rsidRPr="00795817" w:rsidRDefault="000865D6" w:rsidP="009865F6">
      <w:pPr>
        <w:pStyle w:val="Normln-tun"/>
      </w:pPr>
      <w:r w:rsidRPr="00795817">
        <w:t>Co se týče metodických pokynů – pokud by tyto pokyny zpracovávaly 3 úřední osoby 4 týdny, náklady na zpracování by se pohybovaly okol</w:t>
      </w:r>
      <w:r w:rsidRPr="00795817">
        <w:t xml:space="preserve">o 0,2 mil. Kč. V této částce není započtena případná účast právního experta. </w:t>
      </w:r>
    </w:p>
    <w:p w:rsidR="00CF2AB8" w:rsidRPr="00795817" w:rsidRDefault="000865D6" w:rsidP="009865F6">
      <w:pPr>
        <w:pStyle w:val="Normln-tun"/>
      </w:pPr>
      <w:r>
        <w:t xml:space="preserve">V porovnání s možnou způsobenou újmou jsou tyto náklady nízké. </w:t>
      </w:r>
    </w:p>
    <w:p w:rsidR="0016654D" w:rsidRPr="00795817" w:rsidRDefault="000865D6" w:rsidP="0016654D">
      <w:pPr>
        <w:pStyle w:val="Text-Normaln"/>
        <w:widowControl w:val="0"/>
        <w:rPr>
          <w:b/>
        </w:rPr>
      </w:pPr>
      <w:r w:rsidRPr="00795817">
        <w:rPr>
          <w:b/>
        </w:rPr>
        <w:t>Volba varianty a její implementace</w:t>
      </w:r>
    </w:p>
    <w:p w:rsidR="004161B5" w:rsidRPr="00795817" w:rsidRDefault="000865D6" w:rsidP="009865F6">
      <w:pPr>
        <w:pStyle w:val="Normln-tun"/>
      </w:pPr>
      <w:r w:rsidRPr="00795817">
        <w:t>Existence veřejného zájmu je stěžejní podmínkou vyvlastnění, která je zakotvena</w:t>
      </w:r>
      <w:r w:rsidRPr="00795817">
        <w:t xml:space="preserve"> na úrovni ústavní v čl. 11 odst. 4 LZPS. Dle § 3 odst. 1 VyvlZ je vyvlastnění přípustné jen v případě, že veřejný zájem na dosažení účelu vyvlastnění převažuje nad dosavadním zachováním práv vyvlastňovaného. V zásadě tak platí, že v každém vyvlastňovacím </w:t>
      </w:r>
      <w:r w:rsidRPr="00795817">
        <w:t>řízení musí být existence veřejného zájmu prokázána, stejně jako skutečnost, že tento veřejný zájem v konkrétním případě převažuje zájmy vyvlastňovaného.</w:t>
      </w:r>
    </w:p>
    <w:p w:rsidR="00C20967" w:rsidRDefault="000865D6" w:rsidP="009865F6">
      <w:pPr>
        <w:pStyle w:val="Normln-tun"/>
      </w:pPr>
      <w:r w:rsidRPr="00795817">
        <w:t>Protože se jedná relativně o jednu z klíčových věcí, v níž je při správním řízení rozhodováno, lze pře</w:t>
      </w:r>
      <w:r w:rsidRPr="00795817">
        <w:t xml:space="preserve">dpokládat, že přínosy z vyšší právní jistoty a kvality rozhodování budou vyšší než náklady na zpracování metodických pokynů a školení zaměstnanců. </w:t>
      </w:r>
      <w:r w:rsidR="0024478D" w:rsidRPr="00795817">
        <w:t>Předpokladem pro volbu této varianty však je, že případné pravidelné školení zaměstnanců povede k vyšší kvalitě rozhodování.</w:t>
      </w:r>
    </w:p>
    <w:p w:rsidR="00A116F1" w:rsidRDefault="00A116F1" w:rsidP="009865F6">
      <w:pPr>
        <w:pStyle w:val="Normln-tun"/>
        <w:rPr>
          <w:b/>
          <w:bCs/>
          <w:smallCaps/>
          <w:szCs w:val="24"/>
          <w:u w:val="single"/>
        </w:rPr>
      </w:pPr>
    </w:p>
    <w:p w:rsidR="0016654D" w:rsidRPr="00795817" w:rsidRDefault="000865D6" w:rsidP="0016654D">
      <w:pPr>
        <w:pStyle w:val="Nadpis2a"/>
      </w:pPr>
      <w:bookmarkStart w:id="124" w:name="_Toc256000012"/>
      <w:r w:rsidRPr="00795817">
        <w:t>Rozsah vyvlastnění</w:t>
      </w:r>
      <w:bookmarkEnd w:id="124"/>
    </w:p>
    <w:p w:rsidR="0016654D" w:rsidRPr="00795817" w:rsidRDefault="000865D6" w:rsidP="0016654D">
      <w:pPr>
        <w:pStyle w:val="Text-Normaln"/>
        <w:widowControl w:val="0"/>
        <w:rPr>
          <w:b/>
          <w:bCs/>
        </w:rPr>
      </w:pPr>
      <w:r w:rsidRPr="00795817">
        <w:rPr>
          <w:b/>
          <w:bCs/>
        </w:rPr>
        <w:t>Popis současného stavu:</w:t>
      </w:r>
    </w:p>
    <w:p w:rsidR="0016654D" w:rsidRDefault="000865D6" w:rsidP="009865F6">
      <w:pPr>
        <w:pStyle w:val="Normln-tun"/>
      </w:pPr>
      <w:r w:rsidRPr="00795817">
        <w:t xml:space="preserve">Co se týče velikosti vyvlastňovaného pozemku nebo stavby, odejmout vlastnické právo nebo omezit výkon vlastnického práva lze jen </w:t>
      </w:r>
      <w:r w:rsidR="00587019">
        <w:t>k</w:t>
      </w:r>
      <w:r w:rsidRPr="00795817">
        <w:t xml:space="preserve"> </w:t>
      </w:r>
      <w:r w:rsidR="00587019">
        <w:t>části</w:t>
      </w:r>
      <w:r w:rsidRPr="00795817">
        <w:t xml:space="preserve"> nezbytně nutné k dosažení účelu vyvlastnění. Pokud by však </w:t>
      </w:r>
      <w:r w:rsidR="00484777">
        <w:t>nebylo</w:t>
      </w:r>
      <w:r w:rsidR="00484777" w:rsidRPr="00484777">
        <w:t xml:space="preserve"> možné pozemek, stavbu nebo jejich část, popřípadě právo odpovídající věcnému břemenu užívat bez vyvlastňovaného pozemku, stavby nebo jejich částí či věcného břemene buď vůbec nebo jen s nepřiměřenými obtížemi, lze na ně rozšířit vyvlastnění, jestliže o to vyvlastňovaný požádá, i když není nezbytné k dosažení daného účelu</w:t>
      </w:r>
      <w:r w:rsidRPr="00795817">
        <w:t xml:space="preserve">. </w:t>
      </w:r>
    </w:p>
    <w:p w:rsidR="00C4181A" w:rsidRDefault="000865D6" w:rsidP="00E92A17">
      <w:pPr>
        <w:pStyle w:val="Normln-tun"/>
      </w:pPr>
      <w:r w:rsidRPr="00795817">
        <w:t>Vlastníci za pomoci § 4 odst. 3 VyvlZ reagují i na snížení hodnoty zbývajících (okolních) pozemků.</w:t>
      </w:r>
    </w:p>
    <w:p w:rsidR="00E92A17" w:rsidRPr="00795817" w:rsidRDefault="000865D6" w:rsidP="00E92A17">
      <w:pPr>
        <w:pStyle w:val="Normln-tun"/>
      </w:pPr>
      <w:r w:rsidRPr="00795817">
        <w:t>Vyvlastňov</w:t>
      </w:r>
      <w:r>
        <w:t>a</w:t>
      </w:r>
      <w:r w:rsidRPr="00795817">
        <w:t xml:space="preserve">ní takový požadavek </w:t>
      </w:r>
      <w:r>
        <w:t xml:space="preserve">dle konzultací </w:t>
      </w:r>
      <w:r w:rsidRPr="00795817">
        <w:t xml:space="preserve">uplatňují poměrně často, což se </w:t>
      </w:r>
      <w:r w:rsidRPr="00795817">
        <w:t>odráží i v judikatuře soudů. K posouzení, zda je požadavek vyvlastňovaného důvodný, musí vyvlastňovaný předložit důkazy o svých tvrzeních, případně je rovněž třeba provést i další zjištění (např. na místě), pokud s ohledem na umístění pozemku nelze vylouči</w:t>
      </w:r>
      <w:r w:rsidRPr="00795817">
        <w:t>t, že zbývající pozemek nebude možné užívat.</w:t>
      </w:r>
    </w:p>
    <w:p w:rsidR="0016654D" w:rsidRPr="00795817" w:rsidRDefault="000865D6" w:rsidP="0016654D">
      <w:pPr>
        <w:pStyle w:val="Text-Normaln"/>
        <w:widowControl w:val="0"/>
        <w:rPr>
          <w:b/>
          <w:bCs/>
        </w:rPr>
      </w:pPr>
      <w:r w:rsidRPr="00795817">
        <w:rPr>
          <w:b/>
          <w:bCs/>
        </w:rPr>
        <w:t xml:space="preserve">Definice problému: </w:t>
      </w:r>
    </w:p>
    <w:p w:rsidR="000560CF" w:rsidRPr="00795817" w:rsidRDefault="000865D6" w:rsidP="009865F6">
      <w:pPr>
        <w:pStyle w:val="Normln-tun"/>
      </w:pPr>
      <w:r w:rsidRPr="00795817">
        <w:t xml:space="preserve">Sporným se ukázalo být zejména ustanovení § 4 odst. 1 </w:t>
      </w:r>
      <w:bookmarkStart w:id="125" w:name="_Hlk98363311"/>
      <w:r w:rsidRPr="00795817">
        <w:t>VyvlZ</w:t>
      </w:r>
      <w:bookmarkEnd w:id="125"/>
      <w:r w:rsidRPr="00795817">
        <w:t>, neboť muselo být na rovinu postaveno, „co je nezbytné k dosažení účelu vyvlastnění“, zda jen samotný účel nebo i okolnosti s účele</w:t>
      </w:r>
      <w:r w:rsidRPr="00795817">
        <w:t xml:space="preserve">m související. Dále také bylo nutné provést výklad ustanovení § 4 odst. 3 </w:t>
      </w:r>
      <w:r w:rsidRPr="00795817">
        <w:lastRenderedPageBreak/>
        <w:t>VyvlZ, tedy za jakých okolností může dojít k rozšíření vyvlastnění, resp. čím je dáno kritérium nemožnosti užívat nebo užívání s nepřiměřenými obtížemi.</w:t>
      </w:r>
      <w:r>
        <w:rPr>
          <w:rStyle w:val="Znakapoznpodarou"/>
        </w:rPr>
        <w:footnoteReference w:id="17"/>
      </w:r>
    </w:p>
    <w:p w:rsidR="000D5397" w:rsidRPr="00795817" w:rsidRDefault="000865D6" w:rsidP="009865F6">
      <w:pPr>
        <w:pStyle w:val="Normln-tun"/>
      </w:pPr>
      <w:r w:rsidRPr="00795817">
        <w:t xml:space="preserve">Hladký průběh procesu </w:t>
      </w:r>
      <w:r w:rsidR="000A07CE" w:rsidRPr="00795817">
        <w:t xml:space="preserve">dle literatury i konzultací </w:t>
      </w:r>
      <w:r w:rsidR="00387AF2" w:rsidRPr="00795817">
        <w:t>dále</w:t>
      </w:r>
      <w:r w:rsidRPr="00795817">
        <w:t xml:space="preserve"> komplikuje absence podrobnějších pravidel řešení požadavků vlastníků na rozšíření výkupu. Závisí výhradně na ochotě a právních možnostech vyvlastnitelů. Těm zároveň </w:t>
      </w:r>
      <w:r w:rsidR="000A07CE" w:rsidRPr="00795817">
        <w:t>často</w:t>
      </w:r>
      <w:r w:rsidRPr="00795817">
        <w:t xml:space="preserve"> právní předpisy </w:t>
      </w:r>
      <w:r w:rsidR="000A07CE" w:rsidRPr="00795817">
        <w:t xml:space="preserve">ani </w:t>
      </w:r>
      <w:r w:rsidRPr="00795817">
        <w:t>neumožňují nabývat vlastnické pr</w:t>
      </w:r>
      <w:r w:rsidRPr="00795817">
        <w:t xml:space="preserve">ávo k pozemkům, které nepotřebují ke své činnosti. </w:t>
      </w:r>
      <w:r w:rsidR="00134660" w:rsidRPr="00795817">
        <w:t>V</w:t>
      </w:r>
      <w:r w:rsidRPr="00795817">
        <w:t>yvlastnitel</w:t>
      </w:r>
      <w:r w:rsidR="00134660" w:rsidRPr="00795817">
        <w:t>é</w:t>
      </w:r>
      <w:r w:rsidRPr="00795817">
        <w:t xml:space="preserve"> </w:t>
      </w:r>
      <w:r w:rsidR="00A9585C" w:rsidRPr="00795817">
        <w:t xml:space="preserve">tak </w:t>
      </w:r>
      <w:r w:rsidRPr="00795817">
        <w:t xml:space="preserve">nejsou příliš ochotni podstupovat riziko </w:t>
      </w:r>
      <w:r w:rsidR="00134660" w:rsidRPr="00795817">
        <w:t>obvinění</w:t>
      </w:r>
      <w:r w:rsidRPr="00795817">
        <w:t xml:space="preserve"> z nehospodárnosti, a proto tyto </w:t>
      </w:r>
      <w:r w:rsidR="0025281F" w:rsidRPr="00795817">
        <w:t xml:space="preserve">raději </w:t>
      </w:r>
      <w:r w:rsidRPr="00795817">
        <w:t>požadavky zamít</w:t>
      </w:r>
      <w:r w:rsidR="0025281F" w:rsidRPr="00795817">
        <w:t>nou</w:t>
      </w:r>
      <w:r w:rsidR="003E1ABF" w:rsidRPr="00795817">
        <w:t xml:space="preserve"> a</w:t>
      </w:r>
      <w:r w:rsidRPr="00795817">
        <w:t xml:space="preserve"> </w:t>
      </w:r>
      <w:r w:rsidR="003E1ABF" w:rsidRPr="00795817">
        <w:t>p</w:t>
      </w:r>
      <w:r w:rsidRPr="00795817">
        <w:t xml:space="preserve">osouzení obtížnosti užívání zbývající části pozemku </w:t>
      </w:r>
      <w:r w:rsidR="0025281F" w:rsidRPr="00795817">
        <w:t xml:space="preserve">tak </w:t>
      </w:r>
      <w:r w:rsidRPr="00795817">
        <w:t xml:space="preserve">ponechají raději na </w:t>
      </w:r>
      <w:r w:rsidRPr="00795817">
        <w:t xml:space="preserve">vyvlastňovacích úřadech, i když to znamená zpoždění realizace </w:t>
      </w:r>
      <w:r w:rsidR="003E1ABF" w:rsidRPr="00795817">
        <w:t>stavby</w:t>
      </w:r>
      <w:r w:rsidRPr="00795817">
        <w:t xml:space="preserve">. </w:t>
      </w:r>
    </w:p>
    <w:p w:rsidR="000560CF" w:rsidRPr="00795817" w:rsidRDefault="000865D6" w:rsidP="009865F6">
      <w:pPr>
        <w:pStyle w:val="Normln-tun"/>
      </w:pPr>
      <w:r w:rsidRPr="00795817">
        <w:t>Příklad</w:t>
      </w:r>
      <w:r w:rsidR="00501CDF" w:rsidRPr="00795817">
        <w:t>y</w:t>
      </w:r>
      <w:r w:rsidR="00F75128" w:rsidRPr="00795817">
        <w:t xml:space="preserve"> problému z praxe</w:t>
      </w:r>
      <w:r w:rsidRPr="00795817">
        <w:t>:</w:t>
      </w:r>
    </w:p>
    <w:p w:rsidR="00222659" w:rsidRPr="00795817" w:rsidRDefault="000865D6" w:rsidP="009865F6">
      <w:pPr>
        <w:pStyle w:val="Normln-tun"/>
      </w:pPr>
      <w:r w:rsidRPr="00795817">
        <w:t>Řada environmentálních důvodů vyžaduje výstavbu stavebního díla, které může značným způsobem změnit dosavadní podmínky v území: např. se zhorší přístup k poze</w:t>
      </w:r>
      <w:r w:rsidRPr="00795817">
        <w:t>mku, vzniknou menší pozemky, naruší se odtokové poměry apod. Současní vlastníci proto mnohdy neodmítají vyvlastnění jako takové, mají však námitky k jeho vlastnímu provedení či požadují vykoupení i jiných</w:t>
      </w:r>
      <w:r w:rsidR="00A116F1">
        <w:t xml:space="preserve"> </w:t>
      </w:r>
      <w:r w:rsidRPr="00795817">
        <w:t>část</w:t>
      </w:r>
      <w:r w:rsidR="00C40D7D">
        <w:t>í</w:t>
      </w:r>
      <w:r w:rsidR="00A116F1">
        <w:t>,</w:t>
      </w:r>
      <w:r w:rsidRPr="00795817">
        <w:t xml:space="preserve"> než navrhuje vyvlastnitel.</w:t>
      </w:r>
    </w:p>
    <w:p w:rsidR="000560CF" w:rsidRPr="00795817" w:rsidRDefault="000865D6" w:rsidP="009865F6">
      <w:pPr>
        <w:pStyle w:val="Normln-tun"/>
        <w:rPr>
          <w:rFonts w:cs="Garamond"/>
          <w:sz w:val="22"/>
        </w:rPr>
      </w:pPr>
      <w:r w:rsidRPr="00795817">
        <w:t>Dále</w:t>
      </w:r>
      <w:r w:rsidR="00222659" w:rsidRPr="00795817">
        <w:t xml:space="preserve"> lze uvést výrok jednoho ze zemědělců v trase silnice</w:t>
      </w:r>
      <w:r w:rsidR="00AE63E7" w:rsidRPr="00795817">
        <w:t xml:space="preserve"> R35</w:t>
      </w:r>
      <w:r w:rsidR="00222659" w:rsidRPr="00795817">
        <w:t xml:space="preserve">: „Mně by R35 rozdělila pozemky a zkomplikovala přejezdy zemědělské techniky. Jestli prodám dva tisíce metrů, nebo půl hektaru a jestli za stovku, nebo za tři stovky za metr čtverečný, to pro mě není ani tak důležité, jako to, aby mně silnice nerozbila velké pozemky a nezbyly z nich malé kousky, které se jen těžce budou </w:t>
      </w:r>
      <w:r w:rsidR="00791988" w:rsidRPr="00795817">
        <w:t>dát obdělávat.“</w:t>
      </w:r>
      <w:r>
        <w:rPr>
          <w:rStyle w:val="Znakapoznpodarou"/>
          <w:rFonts w:cs="Garamond"/>
          <w:sz w:val="22"/>
        </w:rPr>
        <w:footnoteReference w:id="18"/>
      </w:r>
    </w:p>
    <w:p w:rsidR="0016654D" w:rsidRPr="00795817" w:rsidRDefault="000865D6" w:rsidP="0016654D">
      <w:pPr>
        <w:pStyle w:val="Text-Normaln"/>
        <w:widowControl w:val="0"/>
        <w:rPr>
          <w:rFonts w:cs="Arial"/>
          <w:szCs w:val="24"/>
        </w:rPr>
      </w:pPr>
      <w:r w:rsidRPr="00795817">
        <w:rPr>
          <w:b/>
        </w:rPr>
        <w:t>Cíl:</w:t>
      </w:r>
      <w:r w:rsidRPr="00795817">
        <w:t xml:space="preserve"> </w:t>
      </w:r>
      <w:r w:rsidRPr="00795817">
        <w:rPr>
          <w:rFonts w:cs="Arial"/>
          <w:szCs w:val="24"/>
        </w:rPr>
        <w:t>Zefektivnění</w:t>
      </w:r>
      <w:r w:rsidR="00AE63E7" w:rsidRPr="00795817">
        <w:rPr>
          <w:rFonts w:cs="Arial"/>
          <w:szCs w:val="24"/>
        </w:rPr>
        <w:t xml:space="preserve"> procesu získávání potřebných vlastnických práv vyvlastnitelem, příp. jejich omezení</w:t>
      </w:r>
      <w:r w:rsidR="00286B18" w:rsidRPr="00795817">
        <w:rPr>
          <w:rFonts w:cs="Arial"/>
          <w:szCs w:val="24"/>
        </w:rPr>
        <w:t>; zvýšení právní jistoty</w:t>
      </w:r>
    </w:p>
    <w:p w:rsidR="0016654D" w:rsidRPr="00795817" w:rsidRDefault="000865D6" w:rsidP="0016654D">
      <w:pPr>
        <w:pStyle w:val="Text-Normaln"/>
        <w:widowControl w:val="0"/>
        <w:rPr>
          <w:b/>
        </w:rPr>
      </w:pPr>
      <w:r w:rsidRPr="00795817">
        <w:rPr>
          <w:b/>
        </w:rPr>
        <w:t>Návrh variant řešení:</w:t>
      </w:r>
    </w:p>
    <w:p w:rsidR="0016654D" w:rsidRPr="00795817" w:rsidRDefault="000865D6" w:rsidP="0016654D">
      <w:pPr>
        <w:pStyle w:val="Text-Normaln"/>
        <w:widowControl w:val="0"/>
        <w:rPr>
          <w:i/>
        </w:rPr>
      </w:pPr>
      <w:r w:rsidRPr="00795817">
        <w:rPr>
          <w:b/>
          <w:i/>
        </w:rPr>
        <w:t>Varianta 0:</w:t>
      </w:r>
      <w:r w:rsidRPr="00795817">
        <w:rPr>
          <w:i/>
        </w:rPr>
        <w:t xml:space="preserve"> Zachování současného stavu</w:t>
      </w:r>
    </w:p>
    <w:p w:rsidR="0016654D" w:rsidRPr="00795817" w:rsidRDefault="000865D6" w:rsidP="0016654D">
      <w:pPr>
        <w:pStyle w:val="Text-Normaln"/>
        <w:widowControl w:val="0"/>
        <w:rPr>
          <w:i/>
        </w:rPr>
      </w:pPr>
      <w:r w:rsidRPr="00795817">
        <w:rPr>
          <w:b/>
          <w:i/>
        </w:rPr>
        <w:t>Varianta 1:</w:t>
      </w:r>
      <w:r w:rsidRPr="00795817">
        <w:rPr>
          <w:i/>
        </w:rPr>
        <w:t xml:space="preserve"> </w:t>
      </w:r>
      <w:r w:rsidR="003E5767" w:rsidRPr="00795817">
        <w:rPr>
          <w:i/>
        </w:rPr>
        <w:t xml:space="preserve">Podpora motivace k uzavření dohody před </w:t>
      </w:r>
      <w:r w:rsidR="007351C6" w:rsidRPr="00795817">
        <w:rPr>
          <w:i/>
        </w:rPr>
        <w:t xml:space="preserve">započetím </w:t>
      </w:r>
      <w:r w:rsidR="003E5767" w:rsidRPr="00795817">
        <w:rPr>
          <w:i/>
        </w:rPr>
        <w:t>vyvlastňovací</w:t>
      </w:r>
      <w:r w:rsidR="007351C6" w:rsidRPr="00795817">
        <w:rPr>
          <w:i/>
        </w:rPr>
        <w:t>ho</w:t>
      </w:r>
      <w:r w:rsidR="003E5767" w:rsidRPr="00795817">
        <w:rPr>
          <w:i/>
        </w:rPr>
        <w:t xml:space="preserve"> řízení</w:t>
      </w:r>
      <w:r w:rsidR="004A3111" w:rsidRPr="00795817">
        <w:rPr>
          <w:i/>
        </w:rPr>
        <w:t xml:space="preserve"> </w:t>
      </w:r>
      <w:r w:rsidR="00CF462C">
        <w:rPr>
          <w:i/>
        </w:rPr>
        <w:t>uvolněním regulace v oblasti rozsahu vyvlastnění ve prospěch vyvlastňovaných</w:t>
      </w:r>
      <w:r w:rsidR="003E5767" w:rsidRPr="00795817">
        <w:rPr>
          <w:i/>
        </w:rPr>
        <w:t xml:space="preserve">  </w:t>
      </w:r>
    </w:p>
    <w:p w:rsidR="0016654D" w:rsidRPr="00795817" w:rsidRDefault="000865D6" w:rsidP="0016654D">
      <w:pPr>
        <w:pStyle w:val="Text-Normaln"/>
        <w:widowControl w:val="0"/>
        <w:rPr>
          <w:b/>
          <w:szCs w:val="24"/>
        </w:rPr>
      </w:pPr>
      <w:r w:rsidRPr="00795817">
        <w:rPr>
          <w:b/>
          <w:szCs w:val="24"/>
        </w:rPr>
        <w:t>Identifikace a kvantifikace nák</w:t>
      </w:r>
      <w:r w:rsidRPr="00795817">
        <w:rPr>
          <w:b/>
          <w:szCs w:val="24"/>
        </w:rPr>
        <w:t>ladů a přínosů</w:t>
      </w:r>
    </w:p>
    <w:p w:rsidR="00765105" w:rsidRPr="00795817" w:rsidRDefault="000865D6" w:rsidP="00765105">
      <w:pPr>
        <w:pStyle w:val="Titulek"/>
      </w:pPr>
      <w:r w:rsidRPr="00795817">
        <w:t xml:space="preserve">Tabulka </w:t>
      </w:r>
      <w:r w:rsidRPr="00795817">
        <w:rPr>
          <w:noProof/>
        </w:rPr>
        <w:fldChar w:fldCharType="begin"/>
      </w:r>
      <w:r w:rsidRPr="00795817">
        <w:rPr>
          <w:noProof/>
        </w:rPr>
        <w:instrText xml:space="preserve"> SEQ Tabulka \* ARABIC </w:instrText>
      </w:r>
      <w:r w:rsidRPr="00795817">
        <w:rPr>
          <w:noProof/>
        </w:rPr>
        <w:fldChar w:fldCharType="separate"/>
      </w:r>
      <w:r w:rsidRPr="00795817">
        <w:rPr>
          <w:noProof/>
        </w:rPr>
        <w:t>16</w:t>
      </w:r>
      <w:r w:rsidRPr="00795817">
        <w:rPr>
          <w:noProof/>
        </w:rPr>
        <w:fldChar w:fldCharType="end"/>
      </w:r>
      <w:r w:rsidRPr="00795817">
        <w:t xml:space="preserve">: Identifikace nákladů a přínosů: </w:t>
      </w:r>
    </w:p>
    <w:tbl>
      <w:tblPr>
        <w:tblStyle w:val="Tabulkaseznamu21"/>
        <w:tblW w:w="9072" w:type="dxa"/>
        <w:tblInd w:w="108" w:type="dxa"/>
        <w:tblLook w:val="04A0" w:firstRow="1" w:lastRow="0" w:firstColumn="1" w:lastColumn="0" w:noHBand="0" w:noVBand="1"/>
      </w:tblPr>
      <w:tblGrid>
        <w:gridCol w:w="2268"/>
        <w:gridCol w:w="6804"/>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65105" w:rsidRPr="00795817" w:rsidRDefault="000865D6" w:rsidP="00F31791">
            <w:pPr>
              <w:widowControl w:val="0"/>
              <w:tabs>
                <w:tab w:val="left" w:pos="142"/>
              </w:tabs>
              <w:spacing w:before="60" w:after="60"/>
              <w:rPr>
                <w:rFonts w:asciiTheme="minorHAnsi" w:hAnsiTheme="minorHAnsi" w:cstheme="minorHAnsi"/>
                <w:spacing w:val="-4"/>
                <w:sz w:val="20"/>
                <w:szCs w:val="20"/>
              </w:rPr>
            </w:pPr>
            <w:r w:rsidRPr="00795817">
              <w:rPr>
                <w:rFonts w:asciiTheme="minorHAnsi" w:hAnsiTheme="minorHAnsi" w:cstheme="minorHAnsi"/>
                <w:spacing w:val="-4"/>
                <w:sz w:val="20"/>
                <w:szCs w:val="20"/>
              </w:rPr>
              <w:t>Dotčená strana</w:t>
            </w:r>
          </w:p>
        </w:tc>
        <w:tc>
          <w:tcPr>
            <w:tcW w:w="6804" w:type="dxa"/>
            <w:vAlign w:val="center"/>
          </w:tcPr>
          <w:p w:rsidR="00765105" w:rsidRPr="00795817" w:rsidRDefault="000865D6" w:rsidP="00F31791">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65105"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Vyvlastnitelé</w:t>
            </w:r>
          </w:p>
        </w:tc>
        <w:tc>
          <w:tcPr>
            <w:tcW w:w="6804" w:type="dxa"/>
            <w:vAlign w:val="center"/>
          </w:tcPr>
          <w:p w:rsidR="00154EB5" w:rsidRPr="00795817"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Jednorázové n</w:t>
            </w:r>
            <w:r w:rsidR="00A665F1" w:rsidRPr="00795817">
              <w:rPr>
                <w:rFonts w:asciiTheme="minorHAnsi" w:hAnsiTheme="minorHAnsi" w:cstheme="minorHAnsi"/>
                <w:i/>
                <w:sz w:val="20"/>
                <w:szCs w:val="20"/>
              </w:rPr>
              <w:t>áklady na dodatečné výkupy</w:t>
            </w:r>
          </w:p>
          <w:p w:rsidR="00154EB5" w:rsidRPr="00795817"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Pravidelné personální náklady na zajištění kvality řízení procesů majetkoprávní </w:t>
            </w:r>
            <w:r w:rsidRPr="00795817">
              <w:rPr>
                <w:rFonts w:asciiTheme="minorHAnsi" w:hAnsiTheme="minorHAnsi" w:cstheme="minorHAnsi"/>
                <w:i/>
                <w:sz w:val="20"/>
                <w:szCs w:val="20"/>
              </w:rPr>
              <w:t>přípravy</w:t>
            </w:r>
            <w:r w:rsidR="004D0386" w:rsidRPr="00795817">
              <w:rPr>
                <w:rFonts w:asciiTheme="minorHAnsi" w:hAnsiTheme="minorHAnsi" w:cstheme="minorHAnsi"/>
                <w:i/>
                <w:sz w:val="20"/>
                <w:szCs w:val="20"/>
              </w:rPr>
              <w:t>, náklady na správu dalšího majetku</w:t>
            </w:r>
          </w:p>
          <w:p w:rsidR="00765105" w:rsidRPr="00795817" w:rsidRDefault="000865D6" w:rsidP="00A665F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z w:val="20"/>
                <w:szCs w:val="20"/>
              </w:rPr>
              <w:t>Přínosy ve formě úspor ze z</w:t>
            </w:r>
            <w:r w:rsidR="00154EB5" w:rsidRPr="00795817">
              <w:rPr>
                <w:rFonts w:asciiTheme="minorHAnsi" w:hAnsiTheme="minorHAnsi" w:cstheme="minorHAnsi"/>
                <w:i/>
                <w:sz w:val="20"/>
                <w:szCs w:val="20"/>
              </w:rPr>
              <w:t>krácení procesu majetkoprávní přípravy</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765105"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Vyvlastňovaní</w:t>
            </w:r>
          </w:p>
        </w:tc>
        <w:tc>
          <w:tcPr>
            <w:tcW w:w="6804" w:type="dxa"/>
            <w:vAlign w:val="center"/>
          </w:tcPr>
          <w:p w:rsidR="004D0386" w:rsidRPr="00795817" w:rsidRDefault="000865D6" w:rsidP="00A665F1">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Jednorázové p</w:t>
            </w:r>
            <w:r w:rsidR="00A665F1" w:rsidRPr="00795817">
              <w:rPr>
                <w:rFonts w:asciiTheme="minorHAnsi" w:hAnsiTheme="minorHAnsi" w:cstheme="minorHAnsi"/>
                <w:i/>
                <w:sz w:val="20"/>
                <w:szCs w:val="20"/>
              </w:rPr>
              <w:t>říjmy z dodatečných výkupů</w:t>
            </w:r>
          </w:p>
          <w:p w:rsidR="004D0386" w:rsidRPr="00795817" w:rsidRDefault="000865D6" w:rsidP="006B57E9">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Nižší </w:t>
            </w:r>
            <w:r w:rsidR="006B57E9" w:rsidRPr="00795817">
              <w:rPr>
                <w:rFonts w:asciiTheme="minorHAnsi" w:hAnsiTheme="minorHAnsi" w:cstheme="minorHAnsi"/>
                <w:i/>
                <w:sz w:val="20"/>
                <w:szCs w:val="20"/>
              </w:rPr>
              <w:t xml:space="preserve">pravidelné </w:t>
            </w:r>
            <w:r w:rsidRPr="00795817">
              <w:rPr>
                <w:rFonts w:asciiTheme="minorHAnsi" w:hAnsiTheme="minorHAnsi" w:cstheme="minorHAnsi"/>
                <w:i/>
                <w:sz w:val="20"/>
                <w:szCs w:val="20"/>
              </w:rPr>
              <w:t>n</w:t>
            </w:r>
            <w:r w:rsidR="006B57E9" w:rsidRPr="00795817">
              <w:rPr>
                <w:rFonts w:asciiTheme="minorHAnsi" w:hAnsiTheme="minorHAnsi" w:cstheme="minorHAnsi"/>
                <w:i/>
                <w:sz w:val="20"/>
                <w:szCs w:val="20"/>
              </w:rPr>
              <w:t xml:space="preserve">áklady na správu </w:t>
            </w:r>
            <w:r w:rsidR="00515930">
              <w:rPr>
                <w:rFonts w:asciiTheme="minorHAnsi" w:hAnsiTheme="minorHAnsi" w:cstheme="minorHAnsi"/>
                <w:i/>
                <w:sz w:val="20"/>
                <w:szCs w:val="20"/>
              </w:rPr>
              <w:t xml:space="preserve">nově „neužitečného“ </w:t>
            </w:r>
            <w:r w:rsidR="006B57E9" w:rsidRPr="00795817">
              <w:rPr>
                <w:rFonts w:asciiTheme="minorHAnsi" w:hAnsiTheme="minorHAnsi" w:cstheme="minorHAnsi"/>
                <w:i/>
                <w:sz w:val="20"/>
                <w:szCs w:val="20"/>
              </w:rPr>
              <w:t>majetku</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765105"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Vyvlastňovací úřady</w:t>
            </w:r>
          </w:p>
        </w:tc>
        <w:tc>
          <w:tcPr>
            <w:tcW w:w="6804" w:type="dxa"/>
            <w:vAlign w:val="center"/>
          </w:tcPr>
          <w:p w:rsidR="00765105" w:rsidRPr="00795817"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z w:val="20"/>
                <w:szCs w:val="20"/>
              </w:rPr>
              <w:t xml:space="preserve">Nižší </w:t>
            </w:r>
            <w:r w:rsidRPr="00795817">
              <w:rPr>
                <w:rFonts w:asciiTheme="minorHAnsi" w:hAnsiTheme="minorHAnsi" w:cstheme="minorHAnsi"/>
                <w:i/>
                <w:sz w:val="20"/>
                <w:szCs w:val="20"/>
              </w:rPr>
              <w:t>administrativní náklady</w:t>
            </w:r>
          </w:p>
        </w:tc>
      </w:tr>
    </w:tbl>
    <w:p w:rsidR="00FC2B13" w:rsidRDefault="00FC2B13" w:rsidP="00C71E54">
      <w:pPr>
        <w:pStyle w:val="Text-Normaln"/>
        <w:widowControl w:val="0"/>
        <w:spacing w:before="240"/>
        <w:rPr>
          <w:b/>
        </w:rPr>
      </w:pPr>
    </w:p>
    <w:p w:rsidR="00FC2B13" w:rsidRDefault="000865D6">
      <w:pPr>
        <w:spacing w:before="0" w:after="0"/>
        <w:jc w:val="left"/>
        <w:rPr>
          <w:rFonts w:ascii="Cambria" w:hAnsi="Cambria"/>
          <w:b/>
        </w:rPr>
      </w:pPr>
      <w:r>
        <w:rPr>
          <w:b/>
        </w:rPr>
        <w:br w:type="page"/>
      </w:r>
    </w:p>
    <w:p w:rsidR="0016654D" w:rsidRPr="00795817" w:rsidRDefault="000865D6" w:rsidP="00C71E54">
      <w:pPr>
        <w:pStyle w:val="Text-Normaln"/>
        <w:widowControl w:val="0"/>
        <w:spacing w:before="240"/>
        <w:rPr>
          <w:b/>
        </w:rPr>
      </w:pPr>
      <w:r w:rsidRPr="00795817">
        <w:rPr>
          <w:b/>
        </w:rPr>
        <w:lastRenderedPageBreak/>
        <w:t>Volba varianty a její implementace</w:t>
      </w:r>
    </w:p>
    <w:p w:rsidR="001F71C2" w:rsidRDefault="000865D6" w:rsidP="009865F6">
      <w:pPr>
        <w:pStyle w:val="Normln-tun"/>
      </w:pPr>
      <w:r w:rsidRPr="00795817">
        <w:t xml:space="preserve">V průběhu konzultací </w:t>
      </w:r>
      <w:r w:rsidR="00FB4451" w:rsidRPr="00795817">
        <w:t>nebylo nalezeno řešení, jakým způsobem by bylo možné variantu 1 jednoduše a efektivně legislativně zpracovat. Na jednu stranu je třeba po veřejných subjektech požadovat respektování zásad</w:t>
      </w:r>
      <w:r w:rsidR="00902F79" w:rsidRPr="00795817">
        <w:t xml:space="preserve"> péče</w:t>
      </w:r>
      <w:r w:rsidR="00FB4451" w:rsidRPr="00795817">
        <w:t xml:space="preserve"> </w:t>
      </w:r>
      <w:r w:rsidR="00902F79" w:rsidRPr="00795817">
        <w:t>řádného</w:t>
      </w:r>
      <w:r w:rsidR="00FB4451" w:rsidRPr="00795817">
        <w:t xml:space="preserve"> hospodáře, na stranu druhou by bylo třeba </w:t>
      </w:r>
      <w:r w:rsidR="00902F79" w:rsidRPr="00795817">
        <w:t>jim</w:t>
      </w:r>
      <w:r w:rsidR="00FB4451" w:rsidRPr="00795817">
        <w:t xml:space="preserve"> pro rozhodování ponechat relativně široké pole působnosti – jednotlivé případy se od sebe výrazně liší a </w:t>
      </w:r>
      <w:r w:rsidR="00902F79" w:rsidRPr="00795817">
        <w:t xml:space="preserve">konkrétní podmínky </w:t>
      </w:r>
      <w:r w:rsidR="00FB4451" w:rsidRPr="00795817">
        <w:t xml:space="preserve">je třeba </w:t>
      </w:r>
      <w:r w:rsidR="00902F79" w:rsidRPr="00795817">
        <w:t xml:space="preserve">vždy </w:t>
      </w:r>
      <w:r w:rsidR="00FB4451" w:rsidRPr="00795817">
        <w:t>individuálně posoudit.</w:t>
      </w:r>
      <w:r w:rsidR="007351C6" w:rsidRPr="00795817">
        <w:t xml:space="preserve"> </w:t>
      </w:r>
      <w:r w:rsidR="00515930">
        <w:t>Vzhledem k tomu, že volbou varianty</w:t>
      </w:r>
      <w:r w:rsidR="005F4DDE">
        <w:t> </w:t>
      </w:r>
      <w:r w:rsidR="00515930">
        <w:t>1 by též mohla vzrůst korupční rizika, jako vhodnější se nyní jeví varianta 0.</w:t>
      </w:r>
      <w:r w:rsidR="00FB4451" w:rsidRPr="00795817">
        <w:t xml:space="preserve">  </w:t>
      </w:r>
    </w:p>
    <w:p w:rsidR="00FA6A1D" w:rsidRDefault="00FA6A1D" w:rsidP="002357D7">
      <w:pPr>
        <w:pStyle w:val="Text-Normaln"/>
        <w:widowControl w:val="0"/>
        <w:rPr>
          <w:b/>
        </w:rPr>
      </w:pPr>
    </w:p>
    <w:p w:rsidR="009F2760" w:rsidRPr="009A2C5C" w:rsidRDefault="000865D6" w:rsidP="009F2760">
      <w:pPr>
        <w:pStyle w:val="Nadpis2a"/>
      </w:pPr>
      <w:bookmarkStart w:id="126" w:name="_Toc256000013"/>
      <w:r w:rsidRPr="009A2C5C">
        <w:t>Směna</w:t>
      </w:r>
      <w:bookmarkEnd w:id="126"/>
    </w:p>
    <w:p w:rsidR="009F2760" w:rsidRPr="009A2C5C" w:rsidRDefault="000865D6" w:rsidP="009F2760">
      <w:pPr>
        <w:pStyle w:val="Text-Normaln"/>
        <w:widowControl w:val="0"/>
        <w:rPr>
          <w:b/>
          <w:bCs/>
        </w:rPr>
      </w:pPr>
      <w:r w:rsidRPr="009A2C5C">
        <w:rPr>
          <w:b/>
          <w:bCs/>
        </w:rPr>
        <w:t>Popis současného stavu:</w:t>
      </w:r>
    </w:p>
    <w:p w:rsidR="009F2760" w:rsidRPr="004D460E" w:rsidRDefault="000865D6" w:rsidP="00092796">
      <w:pPr>
        <w:pStyle w:val="Normln-tun"/>
      </w:pPr>
      <w:r>
        <w:t xml:space="preserve">Současný </w:t>
      </w:r>
      <w:r w:rsidRPr="00854FFD">
        <w:t xml:space="preserve">VyvlZ </w:t>
      </w:r>
      <w:r>
        <w:t>stanoví, že m</w:t>
      </w:r>
      <w:r w:rsidR="00F31B43" w:rsidRPr="00092796">
        <w:t>ísto náhrady ve výši obvyklé ceny pozemku nebo stavby včetně jejich příslušenství, došlo-li k odnětí vlastnického práva k</w:t>
      </w:r>
      <w:r w:rsidR="00A62C41">
        <w:t> </w:t>
      </w:r>
      <w:r w:rsidR="00F31B43" w:rsidRPr="00092796">
        <w:t>nim</w:t>
      </w:r>
      <w:r w:rsidR="00A62C41">
        <w:t>,</w:t>
      </w:r>
      <w:r w:rsidR="00F31B43" w:rsidRPr="00092796">
        <w:t xml:space="preserve"> se vyvlastňovanému poskytne jiný </w:t>
      </w:r>
      <w:r w:rsidR="00F31B43" w:rsidRPr="004D460E">
        <w:t>pozemek nebo stavba, dohodne-li se na tom s vyvlastnitelem; právo na vyrovnání rozdílu v ceně vyvlastněného pozemku nebo stavby a náhradního pozemku nebo stavby není dotčeno.</w:t>
      </w:r>
    </w:p>
    <w:p w:rsidR="00092796" w:rsidRPr="004D460E" w:rsidRDefault="000865D6" w:rsidP="00092796">
      <w:pPr>
        <w:pStyle w:val="Normln-tun"/>
      </w:pPr>
      <w:r w:rsidRPr="004D460E">
        <w:t xml:space="preserve">Zákon </w:t>
      </w:r>
      <w:r w:rsidR="00A62C41" w:rsidRPr="004D460E">
        <w:t xml:space="preserve">tak </w:t>
      </w:r>
      <w:r w:rsidRPr="004D460E">
        <w:t xml:space="preserve">nevylučuje </w:t>
      </w:r>
      <w:r w:rsidRPr="004D460E">
        <w:t>naturální náhradu</w:t>
      </w:r>
      <w:r w:rsidR="00883CA4" w:rsidRPr="004D460E">
        <w:t xml:space="preserve"> ve formě</w:t>
      </w:r>
      <w:r w:rsidRPr="004D460E">
        <w:t xml:space="preserve"> směny pozemku nebo poskytnutí náhradní stavby, záleží však na dohodě mezi vyvlastnitelem a vyvlastňovaným. </w:t>
      </w:r>
      <w:r w:rsidR="004A1B41" w:rsidRPr="004D460E">
        <w:t>Obecná úprava subjekty směnné smlouvy nijak neomezuje.</w:t>
      </w:r>
    </w:p>
    <w:p w:rsidR="009F2760" w:rsidRPr="005E01CD" w:rsidRDefault="000865D6" w:rsidP="009F2760">
      <w:pPr>
        <w:pStyle w:val="Text-Normaln"/>
        <w:widowControl w:val="0"/>
        <w:rPr>
          <w:b/>
          <w:bCs/>
        </w:rPr>
      </w:pPr>
      <w:r w:rsidRPr="005E01CD">
        <w:rPr>
          <w:b/>
          <w:bCs/>
        </w:rPr>
        <w:t xml:space="preserve">Definice problému: </w:t>
      </w:r>
    </w:p>
    <w:p w:rsidR="004D460E" w:rsidRDefault="000865D6" w:rsidP="004D460E">
      <w:pPr>
        <w:pStyle w:val="Normln-tun"/>
      </w:pPr>
      <w:r w:rsidRPr="005E01CD">
        <w:t xml:space="preserve">Protože není stanovena povinnost vyvlastnitele </w:t>
      </w:r>
      <w:r w:rsidRPr="005E01CD">
        <w:t>přistoupit na dohodu o směně pozemků, pokud tomu nic nebrání, právní úprava v tomto směru nemotivuje vyvlastnitele ke skutečnému jednání s vyvlastňovaným.</w:t>
      </w:r>
    </w:p>
    <w:p w:rsidR="009F2760" w:rsidRPr="00C344D5" w:rsidRDefault="000865D6" w:rsidP="009F2760">
      <w:pPr>
        <w:pStyle w:val="Text-Normaln"/>
        <w:widowControl w:val="0"/>
        <w:rPr>
          <w:rFonts w:cs="Arial"/>
          <w:szCs w:val="24"/>
        </w:rPr>
      </w:pPr>
      <w:r w:rsidRPr="00C344D5">
        <w:rPr>
          <w:b/>
        </w:rPr>
        <w:t>Cíl:</w:t>
      </w:r>
      <w:r w:rsidRPr="00C344D5">
        <w:t xml:space="preserve"> </w:t>
      </w:r>
      <w:r w:rsidRPr="00C344D5">
        <w:rPr>
          <w:rFonts w:cs="Arial"/>
          <w:szCs w:val="24"/>
        </w:rPr>
        <w:t>Zefektivnění procesu získávání potřebných vlastnických práv vyvlastnitelem, příp. jejich omezení</w:t>
      </w:r>
      <w:r w:rsidRPr="00C344D5">
        <w:rPr>
          <w:rFonts w:cs="Arial"/>
          <w:szCs w:val="24"/>
        </w:rPr>
        <w:t>; zvýšení právní jistoty</w:t>
      </w:r>
    </w:p>
    <w:p w:rsidR="009F2760" w:rsidRPr="00C344D5" w:rsidRDefault="000865D6" w:rsidP="009F2760">
      <w:pPr>
        <w:pStyle w:val="Text-Normaln"/>
        <w:widowControl w:val="0"/>
        <w:rPr>
          <w:b/>
        </w:rPr>
      </w:pPr>
      <w:r w:rsidRPr="00C344D5">
        <w:rPr>
          <w:b/>
        </w:rPr>
        <w:t>Návrh variant řešení:</w:t>
      </w:r>
    </w:p>
    <w:p w:rsidR="009F2760" w:rsidRPr="00C344D5" w:rsidRDefault="000865D6" w:rsidP="009F2760">
      <w:pPr>
        <w:pStyle w:val="Text-Normaln"/>
        <w:widowControl w:val="0"/>
        <w:rPr>
          <w:i/>
        </w:rPr>
      </w:pPr>
      <w:r w:rsidRPr="00C344D5">
        <w:rPr>
          <w:b/>
          <w:i/>
        </w:rPr>
        <w:t>Varianta 0:</w:t>
      </w:r>
      <w:r w:rsidRPr="00C344D5">
        <w:rPr>
          <w:i/>
        </w:rPr>
        <w:t xml:space="preserve"> Zachování současného stavu</w:t>
      </w:r>
    </w:p>
    <w:p w:rsidR="009F2760" w:rsidRPr="00F74980" w:rsidRDefault="000865D6" w:rsidP="009F2760">
      <w:pPr>
        <w:pStyle w:val="Text-Normaln"/>
        <w:widowControl w:val="0"/>
        <w:rPr>
          <w:i/>
        </w:rPr>
      </w:pPr>
      <w:r w:rsidRPr="00F74980">
        <w:rPr>
          <w:b/>
          <w:i/>
        </w:rPr>
        <w:t>Varianta 1:</w:t>
      </w:r>
      <w:r w:rsidRPr="00F74980">
        <w:rPr>
          <w:i/>
        </w:rPr>
        <w:t xml:space="preserve"> </w:t>
      </w:r>
      <w:r w:rsidR="00F74980" w:rsidRPr="00F74980">
        <w:rPr>
          <w:i/>
        </w:rPr>
        <w:t>Zpřísnění regulace ve prospěch vyvlastňovaného</w:t>
      </w:r>
    </w:p>
    <w:p w:rsidR="009F2760" w:rsidRPr="00F74980" w:rsidRDefault="000865D6" w:rsidP="009F2760">
      <w:pPr>
        <w:pStyle w:val="Text-Normaln"/>
        <w:widowControl w:val="0"/>
        <w:rPr>
          <w:b/>
          <w:szCs w:val="24"/>
        </w:rPr>
      </w:pPr>
      <w:r w:rsidRPr="00F74980">
        <w:rPr>
          <w:b/>
          <w:szCs w:val="24"/>
        </w:rPr>
        <w:t>Identifikace a kvantifikace nákladů a přínosů</w:t>
      </w:r>
    </w:p>
    <w:p w:rsidR="009F2760" w:rsidRPr="00F74980" w:rsidRDefault="000865D6" w:rsidP="009F2760">
      <w:pPr>
        <w:pStyle w:val="Titulek"/>
      </w:pPr>
      <w:r w:rsidRPr="00F74980">
        <w:t xml:space="preserve">Tabulka </w:t>
      </w:r>
      <w:r w:rsidRPr="00F74980">
        <w:rPr>
          <w:noProof/>
        </w:rPr>
        <w:fldChar w:fldCharType="begin"/>
      </w:r>
      <w:r w:rsidRPr="00F74980">
        <w:rPr>
          <w:noProof/>
        </w:rPr>
        <w:instrText xml:space="preserve"> SEQ Tabulka \* ARABIC </w:instrText>
      </w:r>
      <w:r w:rsidRPr="00F74980">
        <w:rPr>
          <w:noProof/>
        </w:rPr>
        <w:fldChar w:fldCharType="separate"/>
      </w:r>
      <w:r w:rsidRPr="00F74980">
        <w:rPr>
          <w:noProof/>
        </w:rPr>
        <w:t>17</w:t>
      </w:r>
      <w:r w:rsidRPr="00F74980">
        <w:rPr>
          <w:noProof/>
        </w:rPr>
        <w:fldChar w:fldCharType="end"/>
      </w:r>
      <w:r w:rsidRPr="00F74980">
        <w:t xml:space="preserve">: Identifikace nákladů a přínosů: </w:t>
      </w:r>
    </w:p>
    <w:tbl>
      <w:tblPr>
        <w:tblStyle w:val="Tabulkaseznamu21"/>
        <w:tblW w:w="9072" w:type="dxa"/>
        <w:tblInd w:w="108" w:type="dxa"/>
        <w:tblLook w:val="04A0" w:firstRow="1" w:lastRow="0" w:firstColumn="1" w:lastColumn="0" w:noHBand="0" w:noVBand="1"/>
      </w:tblPr>
      <w:tblGrid>
        <w:gridCol w:w="1985"/>
        <w:gridCol w:w="7087"/>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9F2760" w:rsidRPr="00F74980" w:rsidRDefault="000865D6" w:rsidP="007320A7">
            <w:pPr>
              <w:widowControl w:val="0"/>
              <w:tabs>
                <w:tab w:val="left" w:pos="142"/>
              </w:tabs>
              <w:spacing w:before="60" w:after="60"/>
              <w:rPr>
                <w:rFonts w:asciiTheme="minorHAnsi" w:hAnsiTheme="minorHAnsi" w:cstheme="minorHAnsi"/>
                <w:spacing w:val="-4"/>
                <w:sz w:val="20"/>
                <w:szCs w:val="20"/>
              </w:rPr>
            </w:pPr>
            <w:r w:rsidRPr="00F74980">
              <w:rPr>
                <w:rFonts w:asciiTheme="minorHAnsi" w:hAnsiTheme="minorHAnsi" w:cstheme="minorHAnsi"/>
                <w:spacing w:val="-4"/>
                <w:sz w:val="20"/>
                <w:szCs w:val="20"/>
              </w:rPr>
              <w:t>Dotčená strana</w:t>
            </w:r>
          </w:p>
        </w:tc>
        <w:tc>
          <w:tcPr>
            <w:tcW w:w="7087" w:type="dxa"/>
            <w:vAlign w:val="center"/>
          </w:tcPr>
          <w:p w:rsidR="009F2760" w:rsidRPr="00F74980" w:rsidRDefault="000865D6" w:rsidP="007320A7">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F74980">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7606B" w:rsidRPr="00F74980" w:rsidRDefault="000865D6" w:rsidP="00C7606B">
            <w:pPr>
              <w:widowControl w:val="0"/>
              <w:tabs>
                <w:tab w:val="left" w:pos="142"/>
              </w:tabs>
              <w:spacing w:before="60" w:after="60"/>
              <w:jc w:val="left"/>
              <w:rPr>
                <w:rFonts w:asciiTheme="minorHAnsi" w:hAnsiTheme="minorHAnsi" w:cstheme="minorHAnsi"/>
                <w:spacing w:val="-4"/>
                <w:sz w:val="20"/>
                <w:szCs w:val="20"/>
              </w:rPr>
            </w:pPr>
            <w:r w:rsidRPr="00F74980">
              <w:rPr>
                <w:rFonts w:asciiTheme="minorHAnsi" w:hAnsiTheme="minorHAnsi" w:cstheme="minorHAnsi"/>
                <w:spacing w:val="-4"/>
                <w:sz w:val="20"/>
                <w:szCs w:val="20"/>
              </w:rPr>
              <w:t>Vyvlastnitelé</w:t>
            </w:r>
          </w:p>
        </w:tc>
        <w:tc>
          <w:tcPr>
            <w:tcW w:w="7087" w:type="dxa"/>
            <w:vAlign w:val="center"/>
          </w:tcPr>
          <w:p w:rsidR="00C7606B" w:rsidRPr="00F74980" w:rsidRDefault="000865D6" w:rsidP="00C7606B">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F74980">
              <w:rPr>
                <w:rFonts w:asciiTheme="minorHAnsi" w:hAnsiTheme="minorHAnsi" w:cstheme="minorHAnsi"/>
                <w:i/>
                <w:sz w:val="20"/>
                <w:szCs w:val="20"/>
              </w:rPr>
              <w:t xml:space="preserve">Varianta </w:t>
            </w:r>
            <w:r w:rsidR="00F74980">
              <w:rPr>
                <w:rFonts w:asciiTheme="minorHAnsi" w:hAnsiTheme="minorHAnsi" w:cstheme="minorHAnsi"/>
                <w:i/>
                <w:sz w:val="20"/>
                <w:szCs w:val="20"/>
              </w:rPr>
              <w:t>1</w:t>
            </w:r>
          </w:p>
          <w:p w:rsidR="00C7606B" w:rsidRPr="00F74980" w:rsidRDefault="000865D6" w:rsidP="00C7606B">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F74980">
              <w:rPr>
                <w:rFonts w:asciiTheme="minorHAnsi" w:hAnsiTheme="minorHAnsi" w:cstheme="minorHAnsi"/>
                <w:i/>
                <w:sz w:val="20"/>
                <w:szCs w:val="20"/>
              </w:rPr>
              <w:t>Vyšší administrativní náklady ve fázi před vyvlastňovacím řízením; naopak nižší administrativní náklady díky tomu, že nebude třeba vést vyvlastňovací řízení</w:t>
            </w:r>
          </w:p>
          <w:p w:rsidR="00337024" w:rsidRDefault="000865D6" w:rsidP="00337024">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F74980">
              <w:rPr>
                <w:rFonts w:asciiTheme="minorHAnsi" w:hAnsiTheme="minorHAnsi" w:cstheme="minorHAnsi"/>
                <w:i/>
                <w:sz w:val="20"/>
                <w:szCs w:val="20"/>
              </w:rPr>
              <w:t>Vyšší pravděpodobnost dosažení dohody, a tudíž zkrácení fáze získávání potřebných vlastnických titulů</w:t>
            </w:r>
          </w:p>
          <w:p w:rsidR="004F27F4" w:rsidRPr="00F74980" w:rsidRDefault="000865D6" w:rsidP="00337024">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Pr>
                <w:rFonts w:asciiTheme="minorHAnsi" w:hAnsiTheme="minorHAnsi" w:cstheme="minorHAnsi"/>
                <w:i/>
                <w:sz w:val="20"/>
                <w:szCs w:val="20"/>
              </w:rPr>
              <w:t>Zvýšení právní jistoty</w:t>
            </w:r>
          </w:p>
        </w:tc>
      </w:tr>
      <w:tr w:rsidR="00FC72A1" w:rsidTr="00FC72A1">
        <w:tc>
          <w:tcPr>
            <w:cnfStyle w:val="001000000000" w:firstRow="0" w:lastRow="0" w:firstColumn="1" w:lastColumn="0" w:oddVBand="0" w:evenVBand="0" w:oddHBand="0" w:evenHBand="0" w:firstRowFirstColumn="0" w:firstRowLastColumn="0" w:lastRowFirstColumn="0" w:lastRowLastColumn="0"/>
            <w:tcW w:w="1985" w:type="dxa"/>
            <w:vAlign w:val="center"/>
          </w:tcPr>
          <w:p w:rsidR="00C7606B" w:rsidRPr="00F74980" w:rsidRDefault="000865D6" w:rsidP="00C7606B">
            <w:pPr>
              <w:widowControl w:val="0"/>
              <w:tabs>
                <w:tab w:val="left" w:pos="142"/>
              </w:tabs>
              <w:spacing w:before="60" w:after="60"/>
              <w:jc w:val="left"/>
              <w:rPr>
                <w:rFonts w:asciiTheme="minorHAnsi" w:hAnsiTheme="minorHAnsi" w:cstheme="minorHAnsi"/>
                <w:spacing w:val="-4"/>
                <w:sz w:val="20"/>
                <w:szCs w:val="20"/>
              </w:rPr>
            </w:pPr>
            <w:r w:rsidRPr="00F74980">
              <w:rPr>
                <w:rFonts w:asciiTheme="minorHAnsi" w:hAnsiTheme="minorHAnsi" w:cstheme="minorHAnsi"/>
                <w:spacing w:val="-4"/>
                <w:sz w:val="20"/>
                <w:szCs w:val="20"/>
              </w:rPr>
              <w:t>Vyvlastňovaní</w:t>
            </w:r>
          </w:p>
        </w:tc>
        <w:tc>
          <w:tcPr>
            <w:tcW w:w="7087" w:type="dxa"/>
            <w:vAlign w:val="center"/>
          </w:tcPr>
          <w:p w:rsidR="00C7606B" w:rsidRPr="00F74980" w:rsidRDefault="000865D6" w:rsidP="00C7606B">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F74980">
              <w:rPr>
                <w:rFonts w:asciiTheme="minorHAnsi" w:hAnsiTheme="minorHAnsi" w:cstheme="minorHAnsi"/>
                <w:i/>
                <w:sz w:val="20"/>
                <w:szCs w:val="20"/>
              </w:rPr>
              <w:t xml:space="preserve">Varianta </w:t>
            </w:r>
            <w:r w:rsidR="00F74980">
              <w:rPr>
                <w:rFonts w:asciiTheme="minorHAnsi" w:hAnsiTheme="minorHAnsi" w:cstheme="minorHAnsi"/>
                <w:i/>
                <w:sz w:val="20"/>
                <w:szCs w:val="20"/>
              </w:rPr>
              <w:t>1</w:t>
            </w:r>
          </w:p>
          <w:p w:rsidR="00C7606B" w:rsidRPr="00F74980" w:rsidRDefault="000865D6" w:rsidP="00C7606B">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F74980">
              <w:rPr>
                <w:rFonts w:asciiTheme="minorHAnsi" w:hAnsiTheme="minorHAnsi" w:cstheme="minorHAnsi"/>
                <w:i/>
                <w:sz w:val="20"/>
                <w:szCs w:val="20"/>
              </w:rPr>
              <w:t>Vyšší pravděpodobnost dosažení dohody</w:t>
            </w:r>
            <w:r w:rsidR="003F74BB" w:rsidRPr="00F74980">
              <w:rPr>
                <w:rFonts w:asciiTheme="minorHAnsi" w:hAnsiTheme="minorHAnsi" w:cstheme="minorHAnsi"/>
                <w:i/>
                <w:sz w:val="20"/>
                <w:szCs w:val="20"/>
              </w:rPr>
              <w:t>, vyšší užitek z dosažení preferovaného řešení</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C7606B" w:rsidRPr="00F74980" w:rsidRDefault="000865D6" w:rsidP="00C7606B">
            <w:pPr>
              <w:widowControl w:val="0"/>
              <w:tabs>
                <w:tab w:val="left" w:pos="142"/>
              </w:tabs>
              <w:spacing w:before="60" w:after="60"/>
              <w:jc w:val="left"/>
              <w:rPr>
                <w:rFonts w:asciiTheme="minorHAnsi" w:hAnsiTheme="minorHAnsi" w:cstheme="minorHAnsi"/>
                <w:spacing w:val="-4"/>
                <w:sz w:val="20"/>
                <w:szCs w:val="20"/>
              </w:rPr>
            </w:pPr>
            <w:r w:rsidRPr="00F74980">
              <w:rPr>
                <w:rFonts w:asciiTheme="minorHAnsi" w:hAnsiTheme="minorHAnsi" w:cstheme="minorHAnsi"/>
                <w:spacing w:val="-4"/>
                <w:sz w:val="20"/>
                <w:szCs w:val="20"/>
              </w:rPr>
              <w:t>Vyvlastňovací úřady</w:t>
            </w:r>
          </w:p>
        </w:tc>
        <w:tc>
          <w:tcPr>
            <w:tcW w:w="7087" w:type="dxa"/>
            <w:vAlign w:val="center"/>
          </w:tcPr>
          <w:p w:rsidR="00C7606B" w:rsidRPr="00F74980" w:rsidRDefault="000865D6" w:rsidP="00C7606B">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F74980">
              <w:rPr>
                <w:rFonts w:asciiTheme="minorHAnsi" w:hAnsiTheme="minorHAnsi" w:cstheme="minorHAnsi"/>
                <w:i/>
                <w:sz w:val="20"/>
                <w:szCs w:val="20"/>
              </w:rPr>
              <w:t xml:space="preserve">Varianta </w:t>
            </w:r>
            <w:r w:rsidR="00F74980">
              <w:rPr>
                <w:rFonts w:asciiTheme="minorHAnsi" w:hAnsiTheme="minorHAnsi" w:cstheme="minorHAnsi"/>
                <w:i/>
                <w:sz w:val="20"/>
                <w:szCs w:val="20"/>
              </w:rPr>
              <w:t>1</w:t>
            </w:r>
          </w:p>
          <w:p w:rsidR="00C7606B" w:rsidRPr="00F74980" w:rsidRDefault="000865D6" w:rsidP="00C7606B">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F74980">
              <w:rPr>
                <w:rFonts w:asciiTheme="minorHAnsi" w:hAnsiTheme="minorHAnsi" w:cstheme="minorHAnsi"/>
                <w:i/>
                <w:sz w:val="20"/>
                <w:szCs w:val="20"/>
              </w:rPr>
              <w:t>Nižší administrativní náklady</w:t>
            </w:r>
          </w:p>
        </w:tc>
      </w:tr>
    </w:tbl>
    <w:p w:rsidR="00583FB7" w:rsidRDefault="00583FB7" w:rsidP="009F2760">
      <w:pPr>
        <w:pStyle w:val="Text-Normaln"/>
        <w:widowControl w:val="0"/>
        <w:spacing w:before="240"/>
        <w:rPr>
          <w:b/>
        </w:rPr>
      </w:pPr>
    </w:p>
    <w:p w:rsidR="009F2760" w:rsidRPr="00893565" w:rsidRDefault="000865D6" w:rsidP="009F2760">
      <w:pPr>
        <w:pStyle w:val="Text-Normaln"/>
        <w:widowControl w:val="0"/>
        <w:spacing w:before="240"/>
        <w:rPr>
          <w:b/>
        </w:rPr>
      </w:pPr>
      <w:r w:rsidRPr="00893565">
        <w:rPr>
          <w:b/>
        </w:rPr>
        <w:lastRenderedPageBreak/>
        <w:t>Volba varianty a její implementace</w:t>
      </w:r>
    </w:p>
    <w:p w:rsidR="00893565" w:rsidRDefault="000865D6" w:rsidP="005D4180">
      <w:pPr>
        <w:pStyle w:val="Normln-tun"/>
        <w:rPr>
          <w:highlight w:val="yellow"/>
        </w:rPr>
      </w:pPr>
      <w:r w:rsidRPr="00022C94">
        <w:t>Varianta 1</w:t>
      </w:r>
      <w:r w:rsidR="00B97D9B" w:rsidRPr="00022C94">
        <w:t xml:space="preserve"> </w:t>
      </w:r>
      <w:r w:rsidR="00561F81" w:rsidRPr="00022C94">
        <w:t xml:space="preserve">by </w:t>
      </w:r>
      <w:r w:rsidR="00586014" w:rsidRPr="00022C94">
        <w:t xml:space="preserve">na jedné straně </w:t>
      </w:r>
      <w:r w:rsidR="00B97D9B" w:rsidRPr="00022C94">
        <w:t xml:space="preserve">mohla přinést </w:t>
      </w:r>
      <w:r w:rsidR="00586014" w:rsidRPr="00022C94">
        <w:t xml:space="preserve">více </w:t>
      </w:r>
      <w:r w:rsidR="00B97D9B" w:rsidRPr="00022C94">
        <w:t>spor</w:t>
      </w:r>
      <w:r w:rsidR="00586014" w:rsidRPr="00022C94">
        <w:t>ů</w:t>
      </w:r>
      <w:r w:rsidR="00B97D9B" w:rsidRPr="00022C94">
        <w:t xml:space="preserve">, </w:t>
      </w:r>
      <w:r w:rsidR="005D4180" w:rsidRPr="00022C94">
        <w:t>kdy</w:t>
      </w:r>
      <w:r w:rsidR="00B97D9B" w:rsidRPr="00022C94">
        <w:t xml:space="preserve"> se vyvlastňovaní </w:t>
      </w:r>
      <w:r w:rsidR="005D4180" w:rsidRPr="00022C94">
        <w:t xml:space="preserve">budou </w:t>
      </w:r>
      <w:r w:rsidR="00B97D9B" w:rsidRPr="00022C94">
        <w:t>dovoláva</w:t>
      </w:r>
      <w:r w:rsidR="005D4180" w:rsidRPr="00022C94">
        <w:t>t</w:t>
      </w:r>
      <w:r w:rsidR="00B97D9B" w:rsidRPr="00022C94">
        <w:t xml:space="preserve"> naturální náhrady, čímž by mohlo dojít k navýšení administrativní </w:t>
      </w:r>
      <w:r w:rsidR="005D4180" w:rsidRPr="00022C94">
        <w:t>zátěže</w:t>
      </w:r>
      <w:r w:rsidR="00B97D9B" w:rsidRPr="00022C94">
        <w:t xml:space="preserve"> </w:t>
      </w:r>
      <w:r w:rsidR="00586014" w:rsidRPr="00022C94">
        <w:t xml:space="preserve">a </w:t>
      </w:r>
      <w:r w:rsidR="00A8096C" w:rsidRPr="00022C94">
        <w:t>časový</w:t>
      </w:r>
      <w:r w:rsidR="00586014" w:rsidRPr="00022C94">
        <w:t>m</w:t>
      </w:r>
      <w:r w:rsidR="00A8096C" w:rsidRPr="00022C94">
        <w:t xml:space="preserve"> průtahů</w:t>
      </w:r>
      <w:r w:rsidR="00586014" w:rsidRPr="00022C94">
        <w:t>m</w:t>
      </w:r>
      <w:r w:rsidR="00A8096C" w:rsidRPr="00022C94">
        <w:t xml:space="preserve">. </w:t>
      </w:r>
      <w:r w:rsidRPr="00022C94">
        <w:t>Na druhou stranu může Varianta 1 zvýšit pravděpodobnost uzavření dohody před vlastním vyvlastňovacím řízením. Výhodou</w:t>
      </w:r>
      <w:r>
        <w:t xml:space="preserve"> naturální náhrady je i možnost zajištění srovnatelné nemovité věci (např. u zemědělských pozemků, kde je tato forma náhrady vho</w:t>
      </w:r>
      <w:r>
        <w:t>dnější a vítanější).</w:t>
      </w:r>
    </w:p>
    <w:p w:rsidR="00A8096C" w:rsidRDefault="000865D6" w:rsidP="00B97D9B">
      <w:pPr>
        <w:pStyle w:val="Normln-tun"/>
      </w:pPr>
      <w:r w:rsidRPr="00036BA9">
        <w:t xml:space="preserve">Pokud </w:t>
      </w:r>
      <w:r w:rsidR="004F27F4">
        <w:t xml:space="preserve">tedy </w:t>
      </w:r>
      <w:r w:rsidRPr="00036BA9">
        <w:t xml:space="preserve">bude stanovena podmínka, že </w:t>
      </w:r>
      <w:r w:rsidR="004F27F4">
        <w:t xml:space="preserve">budou-li </w:t>
      </w:r>
      <w:r w:rsidRPr="00036BA9">
        <w:t>v</w:t>
      </w:r>
      <w:r w:rsidR="00716529" w:rsidRPr="00036BA9">
        <w:t>yvlastniteli v uskutečnění směny bránit vážné důvody</w:t>
      </w:r>
      <w:r w:rsidRPr="00036BA9">
        <w:t xml:space="preserve">, </w:t>
      </w:r>
      <w:r w:rsidR="004F27F4">
        <w:t xml:space="preserve">bude moci v případě neuzavření dohody s vyvlastňovaným zažádat o vyvlastnění, </w:t>
      </w:r>
      <w:r w:rsidRPr="00036BA9">
        <w:t>volíme Variantu 1</w:t>
      </w:r>
      <w:r>
        <w:t xml:space="preserve"> jako více motivační a </w:t>
      </w:r>
      <w:r w:rsidR="00D129BB">
        <w:t xml:space="preserve">potenciálně </w:t>
      </w:r>
      <w:r>
        <w:t>mé</w:t>
      </w:r>
      <w:r>
        <w:t>ně nákladnou</w:t>
      </w:r>
      <w:r w:rsidR="00ED2477">
        <w:t>.</w:t>
      </w:r>
      <w:r w:rsidR="00022C94">
        <w:t xml:space="preserve"> (</w:t>
      </w:r>
      <w:r w:rsidR="00ED2477">
        <w:t>P</w:t>
      </w:r>
      <w:r w:rsidR="00022C94">
        <w:t xml:space="preserve">ři porovnávání s Variantou 0 je poměřována možnost jednat o směně a povinnost ze strany vyvlastnitele; </w:t>
      </w:r>
      <w:r w:rsidR="00ED2477">
        <w:t>spory vznikají již dnes a lze předpokládat, že změna regulace nepovede k takovému navýšení jejich počtu, že by náklady převýšily přínosy z vyššího počtu uzavřených dohod a úspor díky tomu, že se nepovede vyvlastňovací řízení.)</w:t>
      </w:r>
    </w:p>
    <w:p w:rsidR="00036BA9" w:rsidRDefault="000865D6" w:rsidP="00036BA9">
      <w:pPr>
        <w:pStyle w:val="Normln-tun"/>
      </w:pPr>
      <w:r>
        <w:t xml:space="preserve">Požádá-li tedy vyvlastňovaný před uzavřením smlouvy o získání práv k předmětu vyvlastnění koupí, bude muset dle Varianty 1 vyvlastnitel vést s vyvlastňovaným jednání </w:t>
      </w:r>
      <w:r>
        <w:t>o směně předmětu vyvlastnění za nemovitou věc ve vlastnictví vyvlastnitele, kterou vyvlastňovaný označí. Budou-li předmět vyvlastnění a nemovitá věc, o níž bude vedeno jednání, stejného druhu a obdobného účelového určení a vyvlastniteli nebudou v uskutečně</w:t>
      </w:r>
      <w:r>
        <w:t>ní směny bránit podstatné důvody, bude muset vyvlastnitel směnu umožnit, jinak nebude splněna podmínka přípustnosti vyvlastnění.</w:t>
      </w:r>
    </w:p>
    <w:p w:rsidR="00036BA9" w:rsidRDefault="000865D6" w:rsidP="00036BA9">
      <w:pPr>
        <w:pStyle w:val="Normln-tun"/>
      </w:pPr>
      <w:r>
        <w:t>Bude-li vyvlastnitelem stát nebo právnická osoba příslušná hospodařit s majetkem státu, předmětem směn</w:t>
      </w:r>
      <w:r w:rsidR="00D129BB">
        <w:t>y</w:t>
      </w:r>
      <w:r>
        <w:t xml:space="preserve"> </w:t>
      </w:r>
      <w:r w:rsidR="00D129BB">
        <w:t xml:space="preserve">bude buď </w:t>
      </w:r>
      <w:r>
        <w:t>nemovit</w:t>
      </w:r>
      <w:r w:rsidR="00D129BB">
        <w:t>á</w:t>
      </w:r>
      <w:r>
        <w:t xml:space="preserve"> věc, </w:t>
      </w:r>
      <w:r w:rsidR="00D129BB">
        <w:t xml:space="preserve">jež vyvlastňovaný označí a </w:t>
      </w:r>
      <w:r>
        <w:t xml:space="preserve">se kterou hospodaří Úřad pro zastupování státu ve věcech majetkových jako s trvale nepotřebnou nemovitou věcí, nebo pozemek, se kterým hospodaří Státní pozemkový úřad. </w:t>
      </w:r>
    </w:p>
    <w:p w:rsidR="009F2760" w:rsidRPr="003F74BB" w:rsidRDefault="000865D6" w:rsidP="00036BA9">
      <w:pPr>
        <w:pStyle w:val="Normln-tun"/>
        <w:rPr>
          <w:highlight w:val="yellow"/>
        </w:rPr>
      </w:pPr>
      <w:r>
        <w:t>Pro fungování tohoto institutu je třeba dále uložit povinnos</w:t>
      </w:r>
      <w:r>
        <w:t xml:space="preserve">t </w:t>
      </w:r>
      <w:r w:rsidR="00036BA9">
        <w:t>vyvlastnitel</w:t>
      </w:r>
      <w:r>
        <w:t>i</w:t>
      </w:r>
      <w:r w:rsidR="00036BA9">
        <w:t xml:space="preserve"> poskytnout vyvlastňovanému přiměřenou součinnost, zejména sdělit vyvlastňovanému údaje o nemovitých věcech ve vlastnictví vyvlastnitele.</w:t>
      </w:r>
      <w:r w:rsidRPr="003F74BB">
        <w:rPr>
          <w:highlight w:val="yellow"/>
        </w:rPr>
        <w:t xml:space="preserve">  </w:t>
      </w:r>
    </w:p>
    <w:p w:rsidR="009F2760" w:rsidRPr="00795817" w:rsidRDefault="009F2760" w:rsidP="002357D7">
      <w:pPr>
        <w:pStyle w:val="Text-Normaln"/>
        <w:widowControl w:val="0"/>
        <w:rPr>
          <w:b/>
        </w:rPr>
      </w:pPr>
    </w:p>
    <w:p w:rsidR="0016654D" w:rsidRPr="00795817" w:rsidRDefault="000865D6" w:rsidP="0016654D">
      <w:pPr>
        <w:pStyle w:val="Nadpis2a"/>
      </w:pPr>
      <w:bookmarkStart w:id="127" w:name="_Toc256000014"/>
      <w:r w:rsidRPr="00795817">
        <w:t>Smlouva o získání práv k pozemku nebo ke stavbě</w:t>
      </w:r>
      <w:bookmarkEnd w:id="127"/>
    </w:p>
    <w:p w:rsidR="0016654D" w:rsidRPr="00795817" w:rsidRDefault="000865D6" w:rsidP="0016654D">
      <w:pPr>
        <w:pStyle w:val="Text-Normaln"/>
        <w:widowControl w:val="0"/>
        <w:rPr>
          <w:b/>
          <w:bCs/>
        </w:rPr>
      </w:pPr>
      <w:r w:rsidRPr="00795817">
        <w:rPr>
          <w:b/>
          <w:bCs/>
        </w:rPr>
        <w:t>Popis současného stavu:</w:t>
      </w:r>
    </w:p>
    <w:p w:rsidR="007E32D1" w:rsidRPr="00795817" w:rsidRDefault="000865D6" w:rsidP="009865F6">
      <w:pPr>
        <w:pStyle w:val="Normln-tun"/>
      </w:pPr>
      <w:r w:rsidRPr="00795817">
        <w:t>Vyvlastňovací proces je možn</w:t>
      </w:r>
      <w:r w:rsidRPr="00795817">
        <w:t>é zahájit až v krajním případě, pokud se nepodaří dosáhnout dohody s vlastníkem o získání práv k pozemku nebo stavbě. V první řadě je nutné vlastníka dotčeného pozemku nebo stavby informovat o účelu, pro který je nutné do vlastnického práva zasáhnout. Dalš</w:t>
      </w:r>
      <w:r w:rsidRPr="00795817">
        <w:t>í fází je nabídka smlouvy, která v míře potřebné pro realizaci veřejně prospěšného účelu omezuje nebo zbavuje vlastníka práv k pozemku nebo stavbě. Smlouva zahrnuje převod pozemku nebo stavby, či vznik, zánik nebo změnu věcného břemene.</w:t>
      </w:r>
    </w:p>
    <w:p w:rsidR="007A6A11" w:rsidRDefault="000865D6" w:rsidP="007A6A11">
      <w:pPr>
        <w:pStyle w:val="Normln-tun"/>
        <w:rPr>
          <w:rFonts w:cstheme="minorHAnsi"/>
        </w:rPr>
      </w:pPr>
      <w:r w:rsidRPr="00B23390">
        <w:t>K návrhu smlouvy je</w:t>
      </w:r>
      <w:r w:rsidRPr="00B23390">
        <w:t xml:space="preserve"> vyvlastnitel povinen předložit</w:t>
      </w:r>
      <w:r>
        <w:t xml:space="preserve"> </w:t>
      </w:r>
      <w:r w:rsidRPr="00B23390">
        <w:t>znalecký posudek, podle kterého navrhl vyvlastňovanému cenu za získání potřebných práv k pozemku nebo ke stavbě, a informaci o účelu vyvlastnění, tedy o konkrétním záměru, který nelze uskutečnit bez získání potřebných práv k</w:t>
      </w:r>
      <w:r w:rsidRPr="00B23390">
        <w:t xml:space="preserve"> pozemku nebo ke stavbě od vyvlastňovaného, s upozorněním, že nedojde-li k uzavření smlouvy, je možné ve veřejném zájmu získat tato práva vyvlastněním. </w:t>
      </w:r>
      <w:r w:rsidRPr="00795817">
        <w:t>Účel vyvlastnění nesmí být definován pouze obecně, ale je nutné vymezit konkrétní záměr a zároveň vysvět</w:t>
      </w:r>
      <w:r w:rsidRPr="00795817">
        <w:t xml:space="preserve">lit, proč nemůže být tento účel realizován bez získání </w:t>
      </w:r>
      <w:r w:rsidRPr="00795817">
        <w:lastRenderedPageBreak/>
        <w:t xml:space="preserve">práv k pozemku nebo stavbě. </w:t>
      </w:r>
      <w:r w:rsidRPr="00B23390">
        <w:t xml:space="preserve">Pokud je předmětem smlouvy část pozemku, je nedílnou součástí návrhu smlouvy geometrický plán tuto část pozemku vymezující. Smlouva o získání potřebných práv k pozemku nebo </w:t>
      </w:r>
      <w:r w:rsidRPr="00B23390">
        <w:t>ke stavbě musí založit právo vyvlastňovaného na vrácení převedených práv, pokud nebude zahájeno uskutečňování účelu převodu do 3 let od uzavření smlouvy.</w:t>
      </w:r>
      <w:r w:rsidR="005E548F" w:rsidRPr="005E548F">
        <w:rPr>
          <w:rFonts w:cstheme="minorHAnsi"/>
        </w:rPr>
        <w:t xml:space="preserve"> </w:t>
      </w:r>
    </w:p>
    <w:p w:rsidR="00CD5BC7" w:rsidRDefault="000865D6" w:rsidP="007A6A11">
      <w:pPr>
        <w:pStyle w:val="Normln-tun"/>
        <w:rPr>
          <w:rFonts w:cstheme="minorHAnsi"/>
        </w:rPr>
      </w:pPr>
      <w:r>
        <w:rPr>
          <w:rFonts w:cstheme="minorHAnsi"/>
        </w:rPr>
        <w:t>V</w:t>
      </w:r>
      <w:r w:rsidR="005E548F" w:rsidRPr="005E548F">
        <w:rPr>
          <w:rFonts w:cstheme="minorHAnsi"/>
        </w:rPr>
        <w:t xml:space="preserve">yvlastnitel </w:t>
      </w:r>
      <w:r>
        <w:rPr>
          <w:rFonts w:cstheme="minorHAnsi"/>
        </w:rPr>
        <w:t xml:space="preserve">je též </w:t>
      </w:r>
      <w:r w:rsidR="005E548F" w:rsidRPr="005E548F">
        <w:rPr>
          <w:rFonts w:cstheme="minorHAnsi"/>
        </w:rPr>
        <w:t xml:space="preserve">povinen k návrhu na uzavření smlouvy přiložit informaci o možnosti vyvlastňovaného předložit vyvlastňovacímu úřadu </w:t>
      </w:r>
      <w:r>
        <w:rPr>
          <w:rFonts w:cstheme="minorHAnsi"/>
        </w:rPr>
        <w:t>vlastní</w:t>
      </w:r>
      <w:r w:rsidR="005E548F" w:rsidRPr="005E548F">
        <w:rPr>
          <w:rFonts w:cstheme="minorHAnsi"/>
        </w:rPr>
        <w:t xml:space="preserve"> znalecký posudek.</w:t>
      </w:r>
      <w:r>
        <w:rPr>
          <w:rFonts w:cstheme="minorHAnsi"/>
        </w:rPr>
        <w:t xml:space="preserve"> </w:t>
      </w:r>
      <w:r w:rsidR="005E548F" w:rsidRPr="005E548F">
        <w:rPr>
          <w:rFonts w:cstheme="minorHAnsi"/>
        </w:rPr>
        <w:t xml:space="preserve">Náhrada za vyvlastnění </w:t>
      </w:r>
      <w:r>
        <w:rPr>
          <w:rFonts w:cstheme="minorHAnsi"/>
        </w:rPr>
        <w:t>se pak stanovuje</w:t>
      </w:r>
      <w:r w:rsidR="005E548F" w:rsidRPr="005E548F">
        <w:rPr>
          <w:rFonts w:cstheme="minorHAnsi"/>
        </w:rPr>
        <w:t xml:space="preserve"> na základě znaleckého posudku vyhotoveného na žádost vyvlastňovaného, pokud jej předloží vyvlastňovacímu úřadu do 30 dnů ode dne, kdy mu bylo doručeno uvědomění o zahájení vyvlastňovacího řízení.  Pokud tak vyvlastňovaný neučiní, </w:t>
      </w:r>
      <w:r>
        <w:rPr>
          <w:rFonts w:cstheme="minorHAnsi"/>
        </w:rPr>
        <w:t>stanoví se</w:t>
      </w:r>
      <w:r w:rsidR="005E548F" w:rsidRPr="005E548F">
        <w:rPr>
          <w:rFonts w:cstheme="minorHAnsi"/>
        </w:rPr>
        <w:t xml:space="preserve"> náhrada na základě znaleckého posudku přiloženého vyvlastnitelem k návrhu na uzavření smlouvy. </w:t>
      </w:r>
      <w:r w:rsidRPr="00B06211">
        <w:rPr>
          <w:rFonts w:cstheme="minorHAnsi"/>
        </w:rPr>
        <w:t>Vyvlastňovací úřad v</w:t>
      </w:r>
      <w:r>
        <w:rPr>
          <w:rFonts w:cstheme="minorHAnsi"/>
        </w:rPr>
        <w:t xml:space="preserve"> rámci správního </w:t>
      </w:r>
      <w:r w:rsidRPr="00B06211">
        <w:rPr>
          <w:rFonts w:cstheme="minorHAnsi"/>
        </w:rPr>
        <w:t>řízení</w:t>
      </w:r>
      <w:r>
        <w:rPr>
          <w:rFonts w:cstheme="minorHAnsi"/>
        </w:rPr>
        <w:t xml:space="preserve"> </w:t>
      </w:r>
      <w:r w:rsidRPr="00B06211">
        <w:rPr>
          <w:rFonts w:cstheme="minorHAnsi"/>
        </w:rPr>
        <w:t>zjišť</w:t>
      </w:r>
      <w:r w:rsidR="00F352E8">
        <w:rPr>
          <w:rFonts w:cstheme="minorHAnsi"/>
        </w:rPr>
        <w:t>uje</w:t>
      </w:r>
      <w:r w:rsidRPr="00B06211">
        <w:rPr>
          <w:rFonts w:cstheme="minorHAnsi"/>
        </w:rPr>
        <w:t>, zda dojde k předložení</w:t>
      </w:r>
      <w:r w:rsidRPr="00B06211">
        <w:rPr>
          <w:rFonts w:cstheme="minorHAnsi"/>
        </w:rPr>
        <w:t xml:space="preserve"> znaleckého posudku vyhotoveného na žádost vyvlastňovaného. </w:t>
      </w:r>
      <w:r w:rsidR="005E548F" w:rsidRPr="005E548F">
        <w:rPr>
          <w:rFonts w:cstheme="minorHAnsi"/>
        </w:rPr>
        <w:t xml:space="preserve">Povinnost hradit náklady spojené s vyhotovením </w:t>
      </w:r>
      <w:r w:rsidR="00F352E8">
        <w:rPr>
          <w:rFonts w:cstheme="minorHAnsi"/>
        </w:rPr>
        <w:t xml:space="preserve">takového </w:t>
      </w:r>
      <w:r w:rsidR="005E548F" w:rsidRPr="005E548F">
        <w:rPr>
          <w:rFonts w:cstheme="minorHAnsi"/>
        </w:rPr>
        <w:t xml:space="preserve">znaleckého posudku </w:t>
      </w:r>
      <w:r w:rsidR="00F352E8">
        <w:rPr>
          <w:rFonts w:cstheme="minorHAnsi"/>
        </w:rPr>
        <w:t>plní</w:t>
      </w:r>
      <w:r w:rsidR="00F352E8" w:rsidRPr="00F352E8">
        <w:rPr>
          <w:rFonts w:cstheme="minorHAnsi"/>
        </w:rPr>
        <w:t xml:space="preserve"> </w:t>
      </w:r>
      <w:r w:rsidR="00F352E8" w:rsidRPr="005E548F">
        <w:rPr>
          <w:rFonts w:cstheme="minorHAnsi"/>
        </w:rPr>
        <w:t>vyvlastnitel</w:t>
      </w:r>
      <w:r w:rsidR="005E548F" w:rsidRPr="005E548F">
        <w:rPr>
          <w:rFonts w:cstheme="minorHAnsi"/>
        </w:rPr>
        <w:t>.</w:t>
      </w:r>
      <w:r>
        <w:rPr>
          <w:rFonts w:cstheme="minorHAnsi"/>
        </w:rPr>
        <w:t xml:space="preserve"> </w:t>
      </w:r>
    </w:p>
    <w:p w:rsidR="007E32D1" w:rsidRDefault="000865D6" w:rsidP="009865F6">
      <w:pPr>
        <w:pStyle w:val="Normln-tun"/>
        <w:rPr>
          <w:rFonts w:cstheme="minorHAnsi"/>
        </w:rPr>
      </w:pPr>
      <w:r w:rsidRPr="00795817">
        <w:rPr>
          <w:rFonts w:cstheme="minorHAnsi"/>
        </w:rPr>
        <w:t>Návrh na uzavření smlouvy je třeba doručit vyvlastňovanému. Dnem následujícím po doručení počíná běže</w:t>
      </w:r>
      <w:r w:rsidRPr="00795817">
        <w:rPr>
          <w:rFonts w:cstheme="minorHAnsi"/>
        </w:rPr>
        <w:t>t lhůta 90 dnů, které jsou určeny k vyjednávání o podmínkách smlouvy mezi vyvlastnitelem a vyvlastňovaným.</w:t>
      </w:r>
      <w:r w:rsidR="00913882">
        <w:rPr>
          <w:rFonts w:cstheme="minorHAnsi"/>
        </w:rPr>
        <w:t xml:space="preserve"> </w:t>
      </w:r>
    </w:p>
    <w:p w:rsidR="007E32D1" w:rsidRPr="00795817" w:rsidRDefault="000865D6" w:rsidP="009865F6">
      <w:pPr>
        <w:pStyle w:val="Normln-tun"/>
        <w:rPr>
          <w:rFonts w:cstheme="minorHAnsi"/>
        </w:rPr>
      </w:pPr>
      <w:r w:rsidRPr="00795817">
        <w:rPr>
          <w:rFonts w:cstheme="minorHAnsi"/>
        </w:rPr>
        <w:t>Předložení návrhu smlouvy k získání práv k pozemku, stavbě nebo k věcnému břemeni a uplynutí zákonem požadované lhůty, aniž se podařilo dosáhnout do</w:t>
      </w:r>
      <w:r w:rsidRPr="00795817">
        <w:rPr>
          <w:rFonts w:cstheme="minorHAnsi"/>
        </w:rPr>
        <w:t>hody, představuje nutný předpoklad pro to, aby bylo možné přistoupit k vyvlastnění. Přesto však zákon o vyvlastnění upravuje některé výjimky, kdy není nutné návrh smlouvy předložit. Jedná se především o situace, kdy by doručení návrhu smlouvy bylo problema</w:t>
      </w:r>
      <w:r w:rsidRPr="00795817">
        <w:rPr>
          <w:rFonts w:cstheme="minorHAnsi"/>
        </w:rPr>
        <w:t>tické a docházelo by tak k neúměrným průtahům, které by mohly zmařit konkrétní záměr vyvlastnitele.</w:t>
      </w:r>
    </w:p>
    <w:p w:rsidR="007E32D1" w:rsidRPr="00795817" w:rsidRDefault="000865D6" w:rsidP="009865F6">
      <w:pPr>
        <w:pStyle w:val="Normln-tun"/>
        <w:rPr>
          <w:rFonts w:cstheme="minorHAnsi"/>
        </w:rPr>
      </w:pPr>
      <w:r w:rsidRPr="00795817">
        <w:rPr>
          <w:rFonts w:cstheme="minorHAnsi"/>
        </w:rPr>
        <w:t>Návrh smlouvy není v první řadě nutné předkládat v případě, kdy je vyvlastňovaný neznámý. Danou problematiku reprezentují zejména pozemky a stavby, které js</w:t>
      </w:r>
      <w:r w:rsidRPr="00795817">
        <w:rPr>
          <w:rFonts w:cstheme="minorHAnsi"/>
        </w:rPr>
        <w:t>ou v katastru nemovitostí evidovány s tím, že jejich vlastník není znám, či jejichž vlastníci vedení v katastru nemovitostí již zřejmě nežijí, nebo pokud je jako vlastník zapsána osoba, kterou nelze identifikovat (je označena například pouze jménem a příjm</w:t>
      </w:r>
      <w:r w:rsidRPr="00795817">
        <w:rPr>
          <w:rFonts w:cstheme="minorHAnsi"/>
        </w:rPr>
        <w:t xml:space="preserve">ením a chybí datum narození). Obdobně není nutné návrh smlouvy vyvlastňovanému předkládat v případě, že je neznámého pobytu, nebo pokud nepřebírá písemnosti na </w:t>
      </w:r>
      <w:r w:rsidR="002A4AA4">
        <w:rPr>
          <w:rFonts w:cstheme="minorHAnsi"/>
        </w:rPr>
        <w:t>znám</w:t>
      </w:r>
      <w:r w:rsidRPr="00795817">
        <w:rPr>
          <w:rFonts w:cstheme="minorHAnsi"/>
        </w:rPr>
        <w:t>é adrese.</w:t>
      </w:r>
    </w:p>
    <w:p w:rsidR="007E32D1" w:rsidRPr="00795817" w:rsidRDefault="000865D6" w:rsidP="009865F6">
      <w:pPr>
        <w:pStyle w:val="Normln-tun"/>
        <w:rPr>
          <w:rFonts w:cstheme="minorHAnsi"/>
        </w:rPr>
      </w:pPr>
      <w:r w:rsidRPr="00795817">
        <w:rPr>
          <w:rFonts w:cstheme="minorHAnsi"/>
        </w:rPr>
        <w:t>Předložení návrhu smlouvy se nevyžaduje také v případě, kdy by stejně nemohlo dojí</w:t>
      </w:r>
      <w:r w:rsidRPr="00795817">
        <w:rPr>
          <w:rFonts w:cstheme="minorHAnsi"/>
        </w:rPr>
        <w:t xml:space="preserve">t k jejímu uzavření z důvodu, že vlastník pozemku nebo stavby či oprávněný z věcného břemene je omezen ve smluvní volnosti, což mu zabraňuje v převodu pozemku nebo stavby. K omezení smluvní volnosti může dojít na základě právního předpisu, nebo na základě </w:t>
      </w:r>
      <w:r w:rsidRPr="00795817">
        <w:rPr>
          <w:rFonts w:cstheme="minorHAnsi"/>
        </w:rPr>
        <w:t>rozhodnutí soudu či jiného orgánu. Naopak se nepřihlíží k případnému omezení obligačnímu, tedy smluvně sjednanému závazku nepřevést nebo nezatížit pozemek nebo stavbu, která je předmětem vyvlastnění.</w:t>
      </w:r>
    </w:p>
    <w:p w:rsidR="007E32D1" w:rsidRPr="00795817" w:rsidRDefault="000865D6" w:rsidP="009865F6">
      <w:pPr>
        <w:pStyle w:val="Normln-tun"/>
        <w:rPr>
          <w:rFonts w:cstheme="minorHAnsi"/>
        </w:rPr>
      </w:pPr>
      <w:r w:rsidRPr="00795817">
        <w:rPr>
          <w:rFonts w:cstheme="minorHAnsi"/>
        </w:rPr>
        <w:t>Jako příklad zákonného omezení lze uvést omezení vlastní</w:t>
      </w:r>
      <w:r w:rsidRPr="00795817">
        <w:rPr>
          <w:rFonts w:cstheme="minorHAnsi"/>
        </w:rPr>
        <w:t>ka s dispozicí s majetkem náležejícím do majetkové podstaty dle insolvenčního zákona.</w:t>
      </w:r>
    </w:p>
    <w:p w:rsidR="00F96FCF" w:rsidRDefault="000865D6" w:rsidP="009865F6">
      <w:pPr>
        <w:pStyle w:val="Normln-tun"/>
      </w:pPr>
      <w:r w:rsidRPr="00795817">
        <w:t>Příkladem omezen</w:t>
      </w:r>
      <w:r w:rsidR="002A4AA4">
        <w:t>í</w:t>
      </w:r>
      <w:r w:rsidRPr="00795817">
        <w:t xml:space="preserve"> ve smluvní volnosti z rozhodnutí správního orgánu může být nařízení exekuce dle exekučního řádu.</w:t>
      </w:r>
      <w:r>
        <w:rPr>
          <w:rStyle w:val="Znakapoznpodarou"/>
          <w:rFonts w:cstheme="minorHAnsi"/>
        </w:rPr>
        <w:footnoteReference w:id="19"/>
      </w:r>
      <w:r w:rsidRPr="00795817">
        <w:t xml:space="preserve"> </w:t>
      </w:r>
    </w:p>
    <w:p w:rsidR="00FC2B13" w:rsidRDefault="000865D6">
      <w:pPr>
        <w:spacing w:before="0" w:after="0"/>
        <w:jc w:val="left"/>
        <w:rPr>
          <w:rFonts w:ascii="Cambria" w:hAnsi="Cambria"/>
          <w:b/>
          <w:bCs/>
        </w:rPr>
      </w:pPr>
      <w:r>
        <w:rPr>
          <w:b/>
          <w:bCs/>
        </w:rPr>
        <w:br w:type="page"/>
      </w:r>
    </w:p>
    <w:p w:rsidR="0016654D" w:rsidRPr="00795817" w:rsidRDefault="000865D6" w:rsidP="0016654D">
      <w:pPr>
        <w:pStyle w:val="Text-Normaln"/>
        <w:widowControl w:val="0"/>
        <w:rPr>
          <w:b/>
          <w:bCs/>
        </w:rPr>
      </w:pPr>
      <w:r w:rsidRPr="00795817">
        <w:rPr>
          <w:b/>
          <w:bCs/>
        </w:rPr>
        <w:lastRenderedPageBreak/>
        <w:t xml:space="preserve">Definice problému: </w:t>
      </w:r>
    </w:p>
    <w:p w:rsidR="00901138" w:rsidRPr="00795817" w:rsidRDefault="000865D6">
      <w:pPr>
        <w:pStyle w:val="Text-Normaln"/>
        <w:widowControl w:val="0"/>
        <w:numPr>
          <w:ilvl w:val="0"/>
          <w:numId w:val="74"/>
        </w:numPr>
        <w:ind w:left="426" w:hanging="426"/>
      </w:pPr>
      <w:r w:rsidRPr="00795817">
        <w:t>V</w:t>
      </w:r>
      <w:r w:rsidR="00F96FCF" w:rsidRPr="00795817">
        <w:t>yvlastnitel se musí na koupi nemovitosti dohodnout se všemi spoluvlastníky, pokud má dojít k jejímu odkoupení jako celku. Neuplatní se princip majorizace pro hospodaření se společnou věcí. Stejné pravidlo platí také v případě zřízení věcného břemene</w:t>
      </w:r>
      <w:r>
        <w:rPr>
          <w:rStyle w:val="Znakapoznpodarou"/>
        </w:rPr>
        <w:footnoteReference w:id="20"/>
      </w:r>
      <w:r w:rsidR="00F96FCF" w:rsidRPr="00795817">
        <w:t>.</w:t>
      </w:r>
    </w:p>
    <w:p w:rsidR="00BE00AA" w:rsidRPr="00795817" w:rsidRDefault="000865D6">
      <w:pPr>
        <w:pStyle w:val="Text-Normaln"/>
        <w:widowControl w:val="0"/>
        <w:numPr>
          <w:ilvl w:val="0"/>
          <w:numId w:val="74"/>
        </w:numPr>
        <w:ind w:left="426" w:hanging="426"/>
      </w:pPr>
      <w:r w:rsidRPr="00795817">
        <w:t xml:space="preserve">Z pohledu </w:t>
      </w:r>
      <w:r w:rsidR="00092A99" w:rsidRPr="00795817">
        <w:t>vlastníka – na</w:t>
      </w:r>
      <w:r w:rsidRPr="00795817">
        <w:t xml:space="preserve"> změnu so</w:t>
      </w:r>
      <w:r w:rsidRPr="00795817">
        <w:t xml:space="preserve">ukromých či podnikatelských plánů jsou 3 měsíce (90 dnů), což může být málo. </w:t>
      </w:r>
      <w:r w:rsidR="004E31DB" w:rsidRPr="00795817">
        <w:t xml:space="preserve">Pro vlastníky obhospodařující půdu po generace nebo provozující na nemovitostech podnikatelskou činnost, může jít s ohledem na náročnost rozhodování o dobu velmi krátkou. </w:t>
      </w:r>
      <w:r w:rsidR="000956D9" w:rsidRPr="00795817">
        <w:t>I když z</w:t>
      </w:r>
      <w:r w:rsidR="004E31DB" w:rsidRPr="00795817">
        <w:t xml:space="preserve">ákon nebrání vyvlastniteli, aby ponechal vlastníkovi lhůtu delší; stejně tak není vyloučena ani pozdější dohoda v rámci vyvlastňovacího řízení. </w:t>
      </w:r>
      <w:r w:rsidRPr="00795817">
        <w:t>Vlastník pozemků se dozví o plánované realizaci veřejně prospěšné stavby na jeho pozemku alespoň v územním řízen</w:t>
      </w:r>
      <w:r w:rsidRPr="00795817">
        <w:t>í. Plochy pro veřejně prospěšné stavby jsou však již vymezovány v průběhu pořizování územně plánovacích dokumentací – napravit by se proto měl spíše informační deficit. Málokdo se pravidelně seznamuje s obsahem úřední desky.</w:t>
      </w:r>
    </w:p>
    <w:p w:rsidR="00AF1578" w:rsidRPr="00795817" w:rsidRDefault="000865D6" w:rsidP="003C2E33">
      <w:pPr>
        <w:pStyle w:val="Text-Normaln"/>
        <w:widowControl w:val="0"/>
        <w:ind w:left="426"/>
      </w:pPr>
      <w:r w:rsidRPr="003C2E33">
        <w:t xml:space="preserve">Na druhou stranu </w:t>
      </w:r>
      <w:r w:rsidR="006774F1">
        <w:t>a</w:t>
      </w:r>
      <w:r w:rsidRPr="003C2E33">
        <w:t xml:space="preserve">plikační </w:t>
      </w:r>
      <w:r w:rsidRPr="003C2E33">
        <w:t>praxe ukazuje, že má-li vlastník dotčené nemovitosti zájem na uzavření dohody, dochází k uzavření smlouvy zpravidla ve lhůtě 30 dnů</w:t>
      </w:r>
      <w:r w:rsidR="006774F1">
        <w:t>;</w:t>
      </w:r>
      <w:r w:rsidRPr="003C2E33">
        <w:t xml:space="preserve"> v poslední třetině lhůty (tj. mezi 60. a 90. dnem) je uzavíráno pouze minimum smluv</w:t>
      </w:r>
      <w:r w:rsidR="006774F1">
        <w:t xml:space="preserve"> (MPO)</w:t>
      </w:r>
      <w:r w:rsidRPr="003C2E33">
        <w:t>.</w:t>
      </w:r>
      <w:r w:rsidR="006774F1">
        <w:t xml:space="preserve"> Kratší l</w:t>
      </w:r>
      <w:r w:rsidRPr="003C2E33">
        <w:t xml:space="preserve">hůta tedy </w:t>
      </w:r>
      <w:r w:rsidR="006774F1">
        <w:t xml:space="preserve">může být </w:t>
      </w:r>
      <w:r w:rsidRPr="003C2E33">
        <w:t xml:space="preserve">plně </w:t>
      </w:r>
      <w:r w:rsidRPr="003C2E33">
        <w:t xml:space="preserve">postačující. Lhůta o delším trvání (tedy stávajících 90 dnů) již pravděpodobnost uzavření smlouvy k získání potřebných práv nijak podstatně nezvyšuje. </w:t>
      </w:r>
      <w:r w:rsidR="006774F1">
        <w:t>P</w:t>
      </w:r>
      <w:r w:rsidRPr="003C2E33">
        <w:t>ře</w:t>
      </w:r>
      <w:r w:rsidR="006774F1">
        <w:t>d</w:t>
      </w:r>
      <w:r w:rsidRPr="003C2E33">
        <w:t xml:space="preserve">stavuje </w:t>
      </w:r>
      <w:r w:rsidR="006774F1">
        <w:t xml:space="preserve">však </w:t>
      </w:r>
      <w:r w:rsidRPr="003C2E33">
        <w:t>prodloužení procesu majetkoprávní přípravy investic staveb prováděných ve veřejném zájmu</w:t>
      </w:r>
      <w:r w:rsidRPr="003C2E33">
        <w:t>.</w:t>
      </w:r>
      <w:r w:rsidR="006774F1">
        <w:t xml:space="preserve"> </w:t>
      </w:r>
    </w:p>
    <w:p w:rsidR="00BE00AA" w:rsidRPr="00795817" w:rsidRDefault="000865D6">
      <w:pPr>
        <w:pStyle w:val="Text-Normaln"/>
        <w:widowControl w:val="0"/>
        <w:numPr>
          <w:ilvl w:val="0"/>
          <w:numId w:val="74"/>
        </w:numPr>
        <w:ind w:left="426" w:hanging="426"/>
      </w:pPr>
      <w:r w:rsidRPr="00795817">
        <w:t xml:space="preserve">K prokázání nemožnosti dohody </w:t>
      </w:r>
      <w:r w:rsidR="00B10254">
        <w:t xml:space="preserve">v obecné úpravě </w:t>
      </w:r>
      <w:r w:rsidRPr="00795817">
        <w:t>nestačí pouze uplynutí lhůty. Je třeba splnit také obsahové požadavky návrhu, ale také adekvátně reagovat na protinávrhy vyvlastňovaného.</w:t>
      </w:r>
      <w:r w:rsidR="00857EE2" w:rsidRPr="00795817">
        <w:t xml:space="preserve"> Stále však platí, že pokud vyvlastnitel nevlastní silnici za účelem dosažení zisku, ale k bezplatnému uspokojování veřejné potřeby, z čehož plyne i zcela odlišná představa o ceně pozemku, tak nedosažení majetkoprávního vypořádání s vlastníkem pozemku pro velký rozdíl v představě o tom, jaká je přiměřená cena vyvlastňovaného pozemku, dostačuje k prokázání této podmínky pro vyvlastnění.</w:t>
      </w:r>
      <w:r>
        <w:rPr>
          <w:rStyle w:val="Znakapoznpodarou"/>
        </w:rPr>
        <w:footnoteReference w:id="21"/>
      </w:r>
    </w:p>
    <w:p w:rsidR="00F40AC6" w:rsidRPr="00795817" w:rsidRDefault="000865D6">
      <w:pPr>
        <w:pStyle w:val="Text-Normaln"/>
        <w:widowControl w:val="0"/>
        <w:numPr>
          <w:ilvl w:val="0"/>
          <w:numId w:val="74"/>
        </w:numPr>
        <w:ind w:left="426" w:hanging="426"/>
      </w:pPr>
      <w:r w:rsidRPr="00795817">
        <w:t>Jednou z povinných součástí návrhu na koupi pozemku je upozornění, že nedojde-li k uzavření smlouvy, je možné ve veřejném zájmu získat tato práva vyvlastněním. Přestože je toto upozornění záko</w:t>
      </w:r>
      <w:r w:rsidRPr="00795817">
        <w:t>nný požadavek (představuje obdobu poučení účastníka řízení) a je v praxi formulováno velmi diplomaticky, tak jeho význam je dvousečný, protože řada vlastníků jej považuje za vyhrůžku a nátlak.</w:t>
      </w:r>
    </w:p>
    <w:p w:rsidR="006E3F1F" w:rsidRDefault="000865D6">
      <w:pPr>
        <w:pStyle w:val="Text-Normaln"/>
        <w:widowControl w:val="0"/>
        <w:numPr>
          <w:ilvl w:val="0"/>
          <w:numId w:val="74"/>
        </w:numPr>
        <w:ind w:left="426" w:hanging="426"/>
      </w:pPr>
      <w:r w:rsidRPr="0021781A">
        <w:t>Nejsou upraveny případy, kdy vlastník, případně každý</w:t>
      </w:r>
      <w:r w:rsidR="00152E6C">
        <w:t>,</w:t>
      </w:r>
      <w:r w:rsidRPr="0021781A">
        <w:t xml:space="preserve"> kdo stav</w:t>
      </w:r>
      <w:r w:rsidRPr="0021781A">
        <w:t xml:space="preserve">bu nebo pozemek užívá, neumožní znalci prohlídku pozemku nebo stavby za účelem vypracování znaleckého posudku pro účely návrhu smlouvy k získání práv k pozemku nebo stavbě potřebných pro uskutečnění účelu vyvlastnění. Znalec pak nemůže vypracovat znalecký </w:t>
      </w:r>
      <w:r w:rsidRPr="0021781A">
        <w:t>posudek a vyvlastnitel tak není schopen naplnit podmínky pro vyvlastnění.</w:t>
      </w:r>
    </w:p>
    <w:p w:rsidR="00311B04" w:rsidRPr="006B31EF" w:rsidRDefault="000865D6">
      <w:pPr>
        <w:pStyle w:val="Text-Normaln"/>
        <w:widowControl w:val="0"/>
        <w:numPr>
          <w:ilvl w:val="0"/>
          <w:numId w:val="74"/>
        </w:numPr>
        <w:ind w:left="426" w:hanging="426"/>
      </w:pPr>
      <w:r w:rsidRPr="006B31EF">
        <w:t xml:space="preserve">Jednání mezi těmito subjekty předcházející uzavření smlouvy zákon podrobněji neupravuje, nijak neomezuje iniciativu vyvlastnitele, nestanoví formu jednání, resp. </w:t>
      </w:r>
      <w:r w:rsidRPr="006B31EF">
        <w:lastRenderedPageBreak/>
        <w:t>vyjednávání – písemn</w:t>
      </w:r>
      <w:r w:rsidRPr="006B31EF">
        <w:t xml:space="preserve">á, ústní, kolik pokusů o dohodu má vyvlastnitel učinit, neuvádí ani výši ceny, která má být vyvlastňovanému nabídnuta. Zákon nijak nestanoví délku doby, po kterou má vyvlastnitel s vyvlastňovaným o získání práv k pozemku nebo stavbě potřebných k tomu, aby </w:t>
      </w:r>
      <w:r w:rsidRPr="006B31EF">
        <w:t>mohl realizovat účel vyvlastnění, vyjednávat. Nevedou-li jednání k cíli, pak nastupuje zákonem předepsaný postup, při kterém se prokazuje, že lze přikročit k nucenému přechodu práv.</w:t>
      </w:r>
    </w:p>
    <w:p w:rsidR="0016654D" w:rsidRPr="00795817" w:rsidRDefault="000865D6" w:rsidP="0016654D">
      <w:pPr>
        <w:pStyle w:val="Text-Normaln"/>
        <w:widowControl w:val="0"/>
        <w:rPr>
          <w:rFonts w:cs="Arial"/>
          <w:szCs w:val="24"/>
        </w:rPr>
      </w:pPr>
      <w:r w:rsidRPr="0021781A">
        <w:rPr>
          <w:b/>
        </w:rPr>
        <w:t>Cíl:</w:t>
      </w:r>
      <w:r w:rsidRPr="0021781A">
        <w:t xml:space="preserve"> </w:t>
      </w:r>
      <w:r w:rsidR="00D70E8E" w:rsidRPr="0021781A">
        <w:rPr>
          <w:rFonts w:cs="Arial"/>
          <w:szCs w:val="24"/>
        </w:rPr>
        <w:t>Zefektivnění procesu získávání potřebných vlastnických práv vyvlastnitelem, příp. jejich omezení; zvýšení právní</w:t>
      </w:r>
      <w:r w:rsidR="00D70E8E" w:rsidRPr="00795817">
        <w:rPr>
          <w:rFonts w:cs="Arial"/>
          <w:szCs w:val="24"/>
        </w:rPr>
        <w:t xml:space="preserve"> jistoty</w:t>
      </w:r>
    </w:p>
    <w:p w:rsidR="0016654D" w:rsidRPr="00795817" w:rsidRDefault="000865D6" w:rsidP="0016654D">
      <w:pPr>
        <w:pStyle w:val="Text-Normaln"/>
        <w:widowControl w:val="0"/>
        <w:rPr>
          <w:b/>
        </w:rPr>
      </w:pPr>
      <w:r w:rsidRPr="00795817">
        <w:rPr>
          <w:b/>
        </w:rPr>
        <w:t>Návrh variant řešení:</w:t>
      </w:r>
    </w:p>
    <w:p w:rsidR="0016654D" w:rsidRPr="00795817" w:rsidRDefault="000865D6" w:rsidP="0016654D">
      <w:pPr>
        <w:pStyle w:val="Text-Normaln"/>
        <w:widowControl w:val="0"/>
        <w:rPr>
          <w:i/>
        </w:rPr>
      </w:pPr>
      <w:r w:rsidRPr="00795817">
        <w:rPr>
          <w:b/>
          <w:i/>
        </w:rPr>
        <w:t>Varianta 0:</w:t>
      </w:r>
      <w:r w:rsidRPr="00795817">
        <w:rPr>
          <w:i/>
        </w:rPr>
        <w:t xml:space="preserve"> Zachování současného stavu</w:t>
      </w:r>
    </w:p>
    <w:p w:rsidR="009C2A1B" w:rsidRDefault="000865D6" w:rsidP="00F12294">
      <w:pPr>
        <w:pStyle w:val="Text-Normaln"/>
        <w:widowControl w:val="0"/>
        <w:rPr>
          <w:i/>
        </w:rPr>
      </w:pPr>
      <w:r w:rsidRPr="00795817">
        <w:rPr>
          <w:b/>
          <w:i/>
        </w:rPr>
        <w:t xml:space="preserve">Varianta </w:t>
      </w:r>
      <w:r w:rsidR="00A0704F">
        <w:rPr>
          <w:b/>
          <w:i/>
        </w:rPr>
        <w:t>1</w:t>
      </w:r>
      <w:r w:rsidR="006774F1">
        <w:rPr>
          <w:b/>
          <w:i/>
        </w:rPr>
        <w:t>a</w:t>
      </w:r>
      <w:r w:rsidRPr="00795817">
        <w:rPr>
          <w:i/>
        </w:rPr>
        <w:t xml:space="preserve">: </w:t>
      </w:r>
      <w:r w:rsidR="00F07A58" w:rsidRPr="00795817">
        <w:rPr>
          <w:i/>
        </w:rPr>
        <w:t>Prodloužení lhůty v písm. B/</w:t>
      </w:r>
    </w:p>
    <w:p w:rsidR="006774F1" w:rsidRPr="00795817" w:rsidRDefault="000865D6" w:rsidP="00F12294">
      <w:pPr>
        <w:pStyle w:val="Text-Normaln"/>
        <w:widowControl w:val="0"/>
        <w:rPr>
          <w:i/>
        </w:rPr>
      </w:pPr>
      <w:r w:rsidRPr="00795817">
        <w:rPr>
          <w:b/>
          <w:i/>
        </w:rPr>
        <w:t xml:space="preserve">Varianta </w:t>
      </w:r>
      <w:r w:rsidR="00A0704F">
        <w:rPr>
          <w:b/>
          <w:i/>
        </w:rPr>
        <w:t>1</w:t>
      </w:r>
      <w:r>
        <w:rPr>
          <w:b/>
          <w:i/>
        </w:rPr>
        <w:t>b:</w:t>
      </w:r>
      <w:r>
        <w:rPr>
          <w:i/>
        </w:rPr>
        <w:t xml:space="preserve"> Zkrácení</w:t>
      </w:r>
      <w:r w:rsidRPr="004A3284">
        <w:rPr>
          <w:i/>
        </w:rPr>
        <w:t xml:space="preserve"> </w:t>
      </w:r>
      <w:r w:rsidRPr="00795817">
        <w:rPr>
          <w:i/>
        </w:rPr>
        <w:t>lhůty v písm. B/</w:t>
      </w:r>
    </w:p>
    <w:p w:rsidR="00E36A52" w:rsidRDefault="000865D6" w:rsidP="00E36A52">
      <w:pPr>
        <w:pStyle w:val="Text-Normaln"/>
        <w:widowControl w:val="0"/>
        <w:rPr>
          <w:i/>
          <w:highlight w:val="yellow"/>
        </w:rPr>
      </w:pPr>
      <w:r w:rsidRPr="00E36A52">
        <w:rPr>
          <w:b/>
          <w:bCs/>
          <w:i/>
        </w:rPr>
        <w:t xml:space="preserve">Varianta </w:t>
      </w:r>
      <w:r w:rsidR="00A0704F">
        <w:rPr>
          <w:b/>
          <w:bCs/>
          <w:i/>
        </w:rPr>
        <w:t>2</w:t>
      </w:r>
      <w:r w:rsidR="00D6341E">
        <w:rPr>
          <w:b/>
          <w:bCs/>
          <w:i/>
        </w:rPr>
        <w:t>a</w:t>
      </w:r>
      <w:r w:rsidRPr="00E36A52">
        <w:rPr>
          <w:b/>
          <w:bCs/>
          <w:i/>
        </w:rPr>
        <w:t>:</w:t>
      </w:r>
      <w:r>
        <w:rPr>
          <w:i/>
        </w:rPr>
        <w:t xml:space="preserve"> </w:t>
      </w:r>
      <w:r w:rsidR="008374E1">
        <w:rPr>
          <w:i/>
        </w:rPr>
        <w:t xml:space="preserve">Spoluvlastnictví - </w:t>
      </w:r>
      <w:r w:rsidRPr="00E36A52">
        <w:rPr>
          <w:i/>
        </w:rPr>
        <w:t xml:space="preserve">bude postačovat, aby </w:t>
      </w:r>
      <w:r w:rsidRPr="00E36A52">
        <w:rPr>
          <w:i/>
        </w:rPr>
        <w:t>vyvlastnitel prokazatelně učinil návrh na uzavření smlouvy pouze vůči jedinému spoluvlastníkovi</w:t>
      </w:r>
      <w:r w:rsidR="00F561F4">
        <w:rPr>
          <w:i/>
        </w:rPr>
        <w:t xml:space="preserve"> </w:t>
      </w:r>
    </w:p>
    <w:p w:rsidR="00E36A52" w:rsidRPr="00E36A52" w:rsidRDefault="000865D6" w:rsidP="00D048D0">
      <w:pPr>
        <w:pStyle w:val="Text-Normaln"/>
        <w:widowControl w:val="0"/>
        <w:rPr>
          <w:i/>
        </w:rPr>
      </w:pPr>
      <w:r w:rsidRPr="00E36A52">
        <w:rPr>
          <w:b/>
          <w:bCs/>
          <w:i/>
        </w:rPr>
        <w:t xml:space="preserve">Varianta </w:t>
      </w:r>
      <w:r w:rsidR="00A0704F">
        <w:rPr>
          <w:b/>
          <w:bCs/>
          <w:i/>
        </w:rPr>
        <w:t>2</w:t>
      </w:r>
      <w:r>
        <w:rPr>
          <w:b/>
          <w:bCs/>
          <w:i/>
        </w:rPr>
        <w:t xml:space="preserve">b: </w:t>
      </w:r>
      <w:r w:rsidR="0017710F">
        <w:rPr>
          <w:i/>
        </w:rPr>
        <w:t xml:space="preserve">Spoluvlastnictví - </w:t>
      </w:r>
      <w:r w:rsidR="0017710F" w:rsidRPr="00E36A52">
        <w:rPr>
          <w:i/>
        </w:rPr>
        <w:t xml:space="preserve">bude postačovat, aby </w:t>
      </w:r>
      <w:r w:rsidRPr="008374E1">
        <w:rPr>
          <w:i/>
        </w:rPr>
        <w:t xml:space="preserve">podmínka podle </w:t>
      </w:r>
      <w:r w:rsidR="0017710F">
        <w:rPr>
          <w:i/>
        </w:rPr>
        <w:t xml:space="preserve">§ 5 </w:t>
      </w:r>
      <w:r w:rsidRPr="008374E1">
        <w:rPr>
          <w:i/>
        </w:rPr>
        <w:t>odst</w:t>
      </w:r>
      <w:r w:rsidR="0017710F">
        <w:rPr>
          <w:i/>
        </w:rPr>
        <w:t>.</w:t>
      </w:r>
      <w:r w:rsidRPr="008374E1">
        <w:rPr>
          <w:i/>
        </w:rPr>
        <w:t xml:space="preserve"> 1 </w:t>
      </w:r>
      <w:r w:rsidR="00D048D0">
        <w:rPr>
          <w:i/>
        </w:rPr>
        <w:t xml:space="preserve">(„nepodařilo se uzavřít smlouvu“) </w:t>
      </w:r>
      <w:r w:rsidR="0017710F">
        <w:rPr>
          <w:i/>
        </w:rPr>
        <w:t>byla</w:t>
      </w:r>
      <w:r w:rsidRPr="008374E1">
        <w:rPr>
          <w:i/>
        </w:rPr>
        <w:t xml:space="preserve"> splněna, pokud </w:t>
      </w:r>
      <w:r w:rsidR="0017710F">
        <w:rPr>
          <w:i/>
        </w:rPr>
        <w:t>bude</w:t>
      </w:r>
      <w:r w:rsidRPr="008374E1">
        <w:rPr>
          <w:i/>
        </w:rPr>
        <w:t xml:space="preserve"> prokázána alespoň u jednoho ze spoluvlastníků</w:t>
      </w:r>
      <w:r w:rsidR="00FE1D57">
        <w:rPr>
          <w:i/>
        </w:rPr>
        <w:t>,</w:t>
      </w:r>
      <w:r w:rsidRPr="008374E1">
        <w:rPr>
          <w:i/>
        </w:rPr>
        <w:t xml:space="preserve"> </w:t>
      </w:r>
      <w:r w:rsidR="00FE1D57">
        <w:rPr>
          <w:i/>
        </w:rPr>
        <w:t>a</w:t>
      </w:r>
      <w:r w:rsidRPr="008374E1">
        <w:rPr>
          <w:i/>
        </w:rPr>
        <w:t xml:space="preserve"> podmínky podle </w:t>
      </w:r>
      <w:r w:rsidR="0017710F">
        <w:rPr>
          <w:i/>
        </w:rPr>
        <w:t xml:space="preserve">§ 5 </w:t>
      </w:r>
      <w:r w:rsidR="0017710F" w:rsidRPr="008374E1">
        <w:rPr>
          <w:i/>
        </w:rPr>
        <w:t>odst</w:t>
      </w:r>
      <w:r w:rsidR="0017710F">
        <w:rPr>
          <w:i/>
        </w:rPr>
        <w:t>.</w:t>
      </w:r>
      <w:r w:rsidR="007E58A4">
        <w:rPr>
          <w:i/>
        </w:rPr>
        <w:t> </w:t>
      </w:r>
      <w:r w:rsidRPr="008374E1">
        <w:rPr>
          <w:i/>
        </w:rPr>
        <w:t xml:space="preserve">5 </w:t>
      </w:r>
      <w:r w:rsidR="00D048D0">
        <w:rPr>
          <w:i/>
        </w:rPr>
        <w:t>(</w:t>
      </w:r>
      <w:r w:rsidR="003C35A3">
        <w:rPr>
          <w:i/>
        </w:rPr>
        <w:t xml:space="preserve">„uzavření smlouvy není požadováno, </w:t>
      </w:r>
      <w:r w:rsidR="00D048D0" w:rsidRPr="00D048D0">
        <w:rPr>
          <w:i/>
        </w:rPr>
        <w:t>není-li vyvlastňovaný znám, není-li znám jeho pobyt, nebo nepodařilo-li se mu doručit na známou adresu, nebo</w:t>
      </w:r>
      <w:r w:rsidR="00D048D0">
        <w:rPr>
          <w:i/>
        </w:rPr>
        <w:t xml:space="preserve"> </w:t>
      </w:r>
      <w:r w:rsidR="00D048D0" w:rsidRPr="00D048D0">
        <w:rPr>
          <w:i/>
        </w:rPr>
        <w:t>je-li vyvlastňovaný omezen ve smluvní volnosti</w:t>
      </w:r>
      <w:r w:rsidR="003C35A3">
        <w:rPr>
          <w:i/>
        </w:rPr>
        <w:t>“</w:t>
      </w:r>
      <w:r w:rsidR="00D048D0">
        <w:rPr>
          <w:i/>
        </w:rPr>
        <w:t>)</w:t>
      </w:r>
      <w:r w:rsidR="007E58A4" w:rsidRPr="007E58A4">
        <w:rPr>
          <w:i/>
        </w:rPr>
        <w:t xml:space="preserve"> </w:t>
      </w:r>
      <w:r w:rsidR="007E58A4">
        <w:rPr>
          <w:i/>
        </w:rPr>
        <w:t>byly</w:t>
      </w:r>
      <w:r w:rsidR="007E58A4" w:rsidRPr="008374E1">
        <w:rPr>
          <w:i/>
        </w:rPr>
        <w:t xml:space="preserve"> splněny</w:t>
      </w:r>
      <w:r w:rsidRPr="008374E1">
        <w:rPr>
          <w:i/>
        </w:rPr>
        <w:t xml:space="preserve">, pokud </w:t>
      </w:r>
      <w:r w:rsidR="0017710F">
        <w:rPr>
          <w:i/>
        </w:rPr>
        <w:t>budou</w:t>
      </w:r>
      <w:r w:rsidRPr="008374E1">
        <w:rPr>
          <w:i/>
        </w:rPr>
        <w:t xml:space="preserve"> prokázány alespoň </w:t>
      </w:r>
      <w:r w:rsidR="0017710F">
        <w:rPr>
          <w:i/>
        </w:rPr>
        <w:t xml:space="preserve">např. </w:t>
      </w:r>
      <w:r w:rsidRPr="008374E1">
        <w:rPr>
          <w:i/>
        </w:rPr>
        <w:t>u třetiny spoluvlastníků</w:t>
      </w:r>
      <w:r w:rsidR="0017710F">
        <w:rPr>
          <w:i/>
        </w:rPr>
        <w:t xml:space="preserve"> (</w:t>
      </w:r>
      <w:r w:rsidRPr="008374E1">
        <w:rPr>
          <w:i/>
        </w:rPr>
        <w:t>nejméně však u dvou</w:t>
      </w:r>
      <w:r w:rsidR="0017710F">
        <w:rPr>
          <w:i/>
        </w:rPr>
        <w:t>)</w:t>
      </w:r>
      <w:r w:rsidRPr="008374E1">
        <w:rPr>
          <w:i/>
        </w:rPr>
        <w:t>.</w:t>
      </w:r>
    </w:p>
    <w:p w:rsidR="006E3F1F" w:rsidRDefault="000865D6" w:rsidP="0017710F">
      <w:pPr>
        <w:pStyle w:val="Text-Normaln"/>
        <w:widowControl w:val="0"/>
        <w:rPr>
          <w:i/>
        </w:rPr>
      </w:pPr>
      <w:r w:rsidRPr="00E36A52">
        <w:rPr>
          <w:b/>
          <w:bCs/>
          <w:i/>
        </w:rPr>
        <w:t xml:space="preserve">Varianta </w:t>
      </w:r>
      <w:r w:rsidR="00A0704F">
        <w:rPr>
          <w:b/>
          <w:bCs/>
          <w:i/>
        </w:rPr>
        <w:t>3</w:t>
      </w:r>
      <w:r>
        <w:rPr>
          <w:b/>
          <w:bCs/>
          <w:i/>
        </w:rPr>
        <w:t xml:space="preserve">: </w:t>
      </w:r>
      <w:r>
        <w:rPr>
          <w:i/>
        </w:rPr>
        <w:t xml:space="preserve">Není třeba snažit se o uzavření dohody, </w:t>
      </w:r>
      <w:r w:rsidRPr="0017710F">
        <w:rPr>
          <w:i/>
        </w:rPr>
        <w:t xml:space="preserve">pokud vyvlastňovaný nebo </w:t>
      </w:r>
      <w:r>
        <w:rPr>
          <w:i/>
        </w:rPr>
        <w:t>ten</w:t>
      </w:r>
      <w:r w:rsidRPr="0017710F">
        <w:rPr>
          <w:i/>
        </w:rPr>
        <w:t>, kdo pozemek nebo stavbu užívá</w:t>
      </w:r>
      <w:r>
        <w:rPr>
          <w:i/>
        </w:rPr>
        <w:t>,</w:t>
      </w:r>
      <w:r w:rsidRPr="0017710F">
        <w:rPr>
          <w:i/>
        </w:rPr>
        <w:t xml:space="preserve"> neumožní znalci za účelem vypr</w:t>
      </w:r>
      <w:r w:rsidRPr="0017710F">
        <w:rPr>
          <w:i/>
        </w:rPr>
        <w:t xml:space="preserve">acování znaleckého posudku </w:t>
      </w:r>
      <w:r>
        <w:rPr>
          <w:i/>
        </w:rPr>
        <w:t xml:space="preserve">pro </w:t>
      </w:r>
      <w:r w:rsidRPr="0017710F">
        <w:rPr>
          <w:i/>
        </w:rPr>
        <w:t>účely návrhu smlouvy prohlídku pozemku nebo stavby potřebnou k vypracování posudku</w:t>
      </w:r>
      <w:r w:rsidR="0087685B">
        <w:rPr>
          <w:i/>
        </w:rPr>
        <w:t>, protože znalecký posudek se povinně přikládá k návrhu smlouvy</w:t>
      </w:r>
      <w:r w:rsidRPr="0017710F">
        <w:rPr>
          <w:i/>
        </w:rPr>
        <w:t>.</w:t>
      </w:r>
    </w:p>
    <w:p w:rsidR="0017710F" w:rsidRPr="00795817" w:rsidRDefault="000865D6" w:rsidP="0017710F">
      <w:pPr>
        <w:pStyle w:val="Text-Normaln"/>
        <w:widowControl w:val="0"/>
        <w:rPr>
          <w:i/>
        </w:rPr>
      </w:pPr>
      <w:r w:rsidRPr="00795817">
        <w:rPr>
          <w:b/>
          <w:i/>
        </w:rPr>
        <w:t xml:space="preserve">Varianta </w:t>
      </w:r>
      <w:r w:rsidR="00A0704F">
        <w:rPr>
          <w:b/>
          <w:i/>
        </w:rPr>
        <w:t>4</w:t>
      </w:r>
      <w:r w:rsidRPr="00795817">
        <w:rPr>
          <w:b/>
          <w:i/>
        </w:rPr>
        <w:t>a</w:t>
      </w:r>
      <w:r w:rsidRPr="00795817">
        <w:rPr>
          <w:i/>
        </w:rPr>
        <w:t xml:space="preserve">: Vydání pokynů s určením základních prvků správného vyjednávání o </w:t>
      </w:r>
      <w:r w:rsidRPr="00795817">
        <w:rPr>
          <w:i/>
        </w:rPr>
        <w:t>dohodě</w:t>
      </w:r>
    </w:p>
    <w:p w:rsidR="0017710F" w:rsidRDefault="000865D6" w:rsidP="0017710F">
      <w:pPr>
        <w:pStyle w:val="Text-Normaln"/>
        <w:widowControl w:val="0"/>
        <w:rPr>
          <w:i/>
        </w:rPr>
      </w:pPr>
      <w:r w:rsidRPr="00795817">
        <w:rPr>
          <w:b/>
          <w:i/>
        </w:rPr>
        <w:t xml:space="preserve">Varianta </w:t>
      </w:r>
      <w:r w:rsidR="00A0704F">
        <w:rPr>
          <w:b/>
          <w:i/>
        </w:rPr>
        <w:t>4</w:t>
      </w:r>
      <w:r w:rsidRPr="00795817">
        <w:rPr>
          <w:b/>
          <w:i/>
        </w:rPr>
        <w:t>b</w:t>
      </w:r>
      <w:r w:rsidRPr="00795817">
        <w:rPr>
          <w:i/>
        </w:rPr>
        <w:t>: Detailnější pokyny ohledně postupu vyjednávání dohody ve VyvlZ</w:t>
      </w:r>
    </w:p>
    <w:p w:rsidR="0016654D" w:rsidRPr="00795817" w:rsidRDefault="000865D6" w:rsidP="0016654D">
      <w:pPr>
        <w:pStyle w:val="Text-Normaln"/>
        <w:widowControl w:val="0"/>
        <w:rPr>
          <w:b/>
          <w:szCs w:val="24"/>
        </w:rPr>
      </w:pPr>
      <w:r w:rsidRPr="00795817">
        <w:rPr>
          <w:b/>
          <w:szCs w:val="24"/>
        </w:rPr>
        <w:t>Identifikace a kvantifikace nákladů a přínosů</w:t>
      </w:r>
    </w:p>
    <w:p w:rsidR="00494B93" w:rsidRPr="00795817" w:rsidRDefault="000865D6" w:rsidP="00494B93">
      <w:pPr>
        <w:pStyle w:val="Titulek"/>
      </w:pPr>
      <w:r w:rsidRPr="00795817">
        <w:t xml:space="preserve">Tabulka </w:t>
      </w:r>
      <w:r w:rsidRPr="00795817">
        <w:rPr>
          <w:noProof/>
        </w:rPr>
        <w:fldChar w:fldCharType="begin"/>
      </w:r>
      <w:r w:rsidRPr="00795817">
        <w:rPr>
          <w:noProof/>
        </w:rPr>
        <w:instrText xml:space="preserve"> SEQ Tabulka \* ARABIC </w:instrText>
      </w:r>
      <w:r w:rsidRPr="00795817">
        <w:rPr>
          <w:noProof/>
        </w:rPr>
        <w:fldChar w:fldCharType="separate"/>
      </w:r>
      <w:r w:rsidRPr="00795817">
        <w:rPr>
          <w:noProof/>
        </w:rPr>
        <w:t>18</w:t>
      </w:r>
      <w:r w:rsidRPr="00795817">
        <w:rPr>
          <w:noProof/>
        </w:rPr>
        <w:fldChar w:fldCharType="end"/>
      </w:r>
      <w:r w:rsidRPr="00795817">
        <w:t xml:space="preserve">: Identifikace nákladů a přínosů: </w:t>
      </w:r>
    </w:p>
    <w:tbl>
      <w:tblPr>
        <w:tblStyle w:val="Tabulkaseznamu21"/>
        <w:tblW w:w="9072" w:type="dxa"/>
        <w:tblInd w:w="108" w:type="dxa"/>
        <w:tblLook w:val="04A0" w:firstRow="1" w:lastRow="0" w:firstColumn="1" w:lastColumn="0" w:noHBand="0" w:noVBand="1"/>
      </w:tblPr>
      <w:tblGrid>
        <w:gridCol w:w="1985"/>
        <w:gridCol w:w="7087"/>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494B93" w:rsidRPr="00795817" w:rsidRDefault="000865D6" w:rsidP="00F31791">
            <w:pPr>
              <w:widowControl w:val="0"/>
              <w:tabs>
                <w:tab w:val="left" w:pos="142"/>
              </w:tabs>
              <w:spacing w:before="60" w:after="60"/>
              <w:rPr>
                <w:rFonts w:asciiTheme="minorHAnsi" w:hAnsiTheme="minorHAnsi" w:cstheme="minorHAnsi"/>
                <w:spacing w:val="-4"/>
                <w:sz w:val="20"/>
                <w:szCs w:val="20"/>
              </w:rPr>
            </w:pPr>
            <w:r w:rsidRPr="00795817">
              <w:rPr>
                <w:rFonts w:asciiTheme="minorHAnsi" w:hAnsiTheme="minorHAnsi" w:cstheme="minorHAnsi"/>
                <w:spacing w:val="-4"/>
                <w:sz w:val="20"/>
                <w:szCs w:val="20"/>
              </w:rPr>
              <w:t>Dotčená strana</w:t>
            </w:r>
          </w:p>
        </w:tc>
        <w:tc>
          <w:tcPr>
            <w:tcW w:w="7087" w:type="dxa"/>
            <w:vAlign w:val="center"/>
          </w:tcPr>
          <w:p w:rsidR="00494B93" w:rsidRPr="00795817" w:rsidRDefault="000865D6" w:rsidP="00F31791">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494B93"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Vyvlastnitelé</w:t>
            </w:r>
          </w:p>
        </w:tc>
        <w:tc>
          <w:tcPr>
            <w:tcW w:w="7087" w:type="dxa"/>
            <w:vAlign w:val="center"/>
          </w:tcPr>
          <w:p w:rsidR="00405C61"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1</w:t>
            </w:r>
            <w:r w:rsidR="0017710F">
              <w:rPr>
                <w:rFonts w:asciiTheme="minorHAnsi" w:hAnsiTheme="minorHAnsi" w:cstheme="minorHAnsi"/>
                <w:i/>
                <w:sz w:val="20"/>
                <w:szCs w:val="20"/>
              </w:rPr>
              <w:t>a</w:t>
            </w:r>
            <w:r w:rsidR="00451B4B" w:rsidRPr="00795817">
              <w:rPr>
                <w:rFonts w:asciiTheme="minorHAnsi" w:hAnsiTheme="minorHAnsi" w:cstheme="minorHAnsi"/>
                <w:i/>
                <w:sz w:val="20"/>
                <w:szCs w:val="20"/>
              </w:rPr>
              <w:t xml:space="preserve"> – Prolongace fáze získávání potřebných vlastnických titulů </w:t>
            </w:r>
          </w:p>
          <w:p w:rsidR="006C640F"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1</w:t>
            </w:r>
            <w:r>
              <w:rPr>
                <w:rFonts w:asciiTheme="minorHAnsi" w:hAnsiTheme="minorHAnsi" w:cstheme="minorHAnsi"/>
                <w:i/>
                <w:sz w:val="20"/>
                <w:szCs w:val="20"/>
              </w:rPr>
              <w:t>b</w:t>
            </w:r>
            <w:r w:rsidRPr="00795817">
              <w:rPr>
                <w:rFonts w:asciiTheme="minorHAnsi" w:hAnsiTheme="minorHAnsi" w:cstheme="minorHAnsi"/>
                <w:i/>
                <w:sz w:val="20"/>
                <w:szCs w:val="20"/>
              </w:rPr>
              <w:t xml:space="preserve"> – </w:t>
            </w:r>
            <w:r>
              <w:rPr>
                <w:rFonts w:asciiTheme="minorHAnsi" w:hAnsiTheme="minorHAnsi" w:cstheme="minorHAnsi"/>
                <w:i/>
                <w:sz w:val="20"/>
                <w:szCs w:val="20"/>
              </w:rPr>
              <w:t>Zkrácení</w:t>
            </w:r>
            <w:r w:rsidRPr="00795817">
              <w:rPr>
                <w:rFonts w:asciiTheme="minorHAnsi" w:hAnsiTheme="minorHAnsi" w:cstheme="minorHAnsi"/>
                <w:i/>
                <w:sz w:val="20"/>
                <w:szCs w:val="20"/>
              </w:rPr>
              <w:t xml:space="preserve"> fáze získávání potřebných vlastnických titulů </w:t>
            </w:r>
          </w:p>
          <w:p w:rsidR="00A528AA" w:rsidRPr="00795817" w:rsidRDefault="000865D6" w:rsidP="00A528AA">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2</w:t>
            </w:r>
            <w:r w:rsidRPr="00795817">
              <w:rPr>
                <w:rFonts w:asciiTheme="minorHAnsi" w:hAnsiTheme="minorHAnsi" w:cstheme="minorHAnsi"/>
                <w:i/>
                <w:sz w:val="20"/>
                <w:szCs w:val="20"/>
              </w:rPr>
              <w:t>a –</w:t>
            </w:r>
            <w:r>
              <w:rPr>
                <w:rFonts w:asciiTheme="minorHAnsi" w:hAnsiTheme="minorHAnsi" w:cstheme="minorHAnsi"/>
                <w:i/>
                <w:sz w:val="20"/>
                <w:szCs w:val="20"/>
              </w:rPr>
              <w:t xml:space="preserve"> Větší zkrácení</w:t>
            </w:r>
            <w:r w:rsidRPr="00795817">
              <w:rPr>
                <w:rFonts w:asciiTheme="minorHAnsi" w:hAnsiTheme="minorHAnsi" w:cstheme="minorHAnsi"/>
                <w:i/>
                <w:sz w:val="20"/>
                <w:szCs w:val="20"/>
              </w:rPr>
              <w:t xml:space="preserve"> fáze získávání potřebných vlastnických titulů</w:t>
            </w:r>
            <w:r>
              <w:rPr>
                <w:rFonts w:asciiTheme="minorHAnsi" w:hAnsiTheme="minorHAnsi" w:cstheme="minorHAnsi"/>
                <w:i/>
                <w:sz w:val="20"/>
                <w:szCs w:val="20"/>
              </w:rPr>
              <w:t xml:space="preserve"> než u Varianty </w:t>
            </w:r>
            <w:r w:rsidR="00A0704F">
              <w:rPr>
                <w:rFonts w:asciiTheme="minorHAnsi" w:hAnsiTheme="minorHAnsi" w:cstheme="minorHAnsi"/>
                <w:i/>
                <w:sz w:val="20"/>
                <w:szCs w:val="20"/>
              </w:rPr>
              <w:t>2</w:t>
            </w:r>
            <w:r>
              <w:rPr>
                <w:rFonts w:asciiTheme="minorHAnsi" w:hAnsiTheme="minorHAnsi" w:cstheme="minorHAnsi"/>
                <w:i/>
                <w:sz w:val="20"/>
                <w:szCs w:val="20"/>
              </w:rPr>
              <w:t>b</w:t>
            </w:r>
          </w:p>
          <w:p w:rsidR="00A528AA" w:rsidRPr="00795817" w:rsidRDefault="000865D6" w:rsidP="00A528AA">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2</w:t>
            </w:r>
            <w:r w:rsidRPr="00795817">
              <w:rPr>
                <w:rFonts w:asciiTheme="minorHAnsi" w:hAnsiTheme="minorHAnsi" w:cstheme="minorHAnsi"/>
                <w:i/>
                <w:sz w:val="20"/>
                <w:szCs w:val="20"/>
              </w:rPr>
              <w:t xml:space="preserve">b – </w:t>
            </w:r>
            <w:r>
              <w:rPr>
                <w:rFonts w:asciiTheme="minorHAnsi" w:hAnsiTheme="minorHAnsi" w:cstheme="minorHAnsi"/>
                <w:i/>
                <w:sz w:val="20"/>
                <w:szCs w:val="20"/>
              </w:rPr>
              <w:t>Zkrácení</w:t>
            </w:r>
            <w:r w:rsidRPr="00795817">
              <w:rPr>
                <w:rFonts w:asciiTheme="minorHAnsi" w:hAnsiTheme="minorHAnsi" w:cstheme="minorHAnsi"/>
                <w:i/>
                <w:sz w:val="20"/>
                <w:szCs w:val="20"/>
              </w:rPr>
              <w:t xml:space="preserve"> fáze získávání potřebných vlastnických titulů</w:t>
            </w:r>
          </w:p>
          <w:p w:rsidR="00A528AA"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3</w:t>
            </w:r>
            <w:r>
              <w:rPr>
                <w:rFonts w:asciiTheme="minorHAnsi" w:hAnsiTheme="minorHAnsi" w:cstheme="minorHAnsi"/>
                <w:i/>
                <w:sz w:val="20"/>
                <w:szCs w:val="20"/>
              </w:rPr>
              <w:t xml:space="preserve"> </w:t>
            </w:r>
            <w:r w:rsidRPr="00795817">
              <w:rPr>
                <w:rFonts w:asciiTheme="minorHAnsi" w:hAnsiTheme="minorHAnsi" w:cstheme="minorHAnsi"/>
                <w:i/>
                <w:sz w:val="20"/>
                <w:szCs w:val="20"/>
              </w:rPr>
              <w:t xml:space="preserve">– </w:t>
            </w:r>
            <w:r>
              <w:rPr>
                <w:rFonts w:asciiTheme="minorHAnsi" w:hAnsiTheme="minorHAnsi" w:cstheme="minorHAnsi"/>
                <w:i/>
                <w:sz w:val="20"/>
                <w:szCs w:val="20"/>
              </w:rPr>
              <w:t>Zkrácení</w:t>
            </w:r>
            <w:r w:rsidRPr="00795817">
              <w:rPr>
                <w:rFonts w:asciiTheme="minorHAnsi" w:hAnsiTheme="minorHAnsi" w:cstheme="minorHAnsi"/>
                <w:i/>
                <w:sz w:val="20"/>
                <w:szCs w:val="20"/>
              </w:rPr>
              <w:t xml:space="preserve"> fáze získávání potřebných vlastnických titulů</w:t>
            </w:r>
            <w:r>
              <w:rPr>
                <w:rFonts w:asciiTheme="minorHAnsi" w:hAnsiTheme="minorHAnsi" w:cstheme="minorHAnsi"/>
                <w:i/>
                <w:sz w:val="20"/>
                <w:szCs w:val="20"/>
              </w:rPr>
              <w:t xml:space="preserve"> </w:t>
            </w:r>
          </w:p>
          <w:p w:rsidR="00405C61" w:rsidRPr="00795817" w:rsidRDefault="000865D6" w:rsidP="00F3179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4</w:t>
            </w:r>
            <w:r w:rsidRPr="00795817">
              <w:rPr>
                <w:rFonts w:asciiTheme="minorHAnsi" w:hAnsiTheme="minorHAnsi" w:cstheme="minorHAnsi"/>
                <w:i/>
                <w:sz w:val="20"/>
                <w:szCs w:val="20"/>
              </w:rPr>
              <w:t>a</w:t>
            </w:r>
            <w:r w:rsidR="00451B4B" w:rsidRPr="00795817">
              <w:rPr>
                <w:rFonts w:asciiTheme="minorHAnsi" w:hAnsiTheme="minorHAnsi" w:cstheme="minorHAnsi"/>
                <w:i/>
                <w:sz w:val="20"/>
                <w:szCs w:val="20"/>
              </w:rPr>
              <w:t xml:space="preserve"> – Vyšší právní jistota</w:t>
            </w:r>
          </w:p>
          <w:p w:rsidR="00405C61" w:rsidRPr="00795817" w:rsidRDefault="000865D6" w:rsidP="00405C6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4</w:t>
            </w:r>
            <w:r w:rsidRPr="00795817">
              <w:rPr>
                <w:rFonts w:asciiTheme="minorHAnsi" w:hAnsiTheme="minorHAnsi" w:cstheme="minorHAnsi"/>
                <w:i/>
                <w:sz w:val="20"/>
                <w:szCs w:val="20"/>
              </w:rPr>
              <w:t>b</w:t>
            </w:r>
            <w:r w:rsidR="00451B4B" w:rsidRPr="00795817">
              <w:rPr>
                <w:rFonts w:asciiTheme="minorHAnsi" w:hAnsiTheme="minorHAnsi" w:cstheme="minorHAnsi"/>
                <w:i/>
                <w:sz w:val="20"/>
                <w:szCs w:val="20"/>
              </w:rPr>
              <w:t xml:space="preserve"> – Vyšší právní jistota; nižší míra</w:t>
            </w:r>
            <w:r w:rsidR="00C52201" w:rsidRPr="00795817">
              <w:rPr>
                <w:rFonts w:asciiTheme="minorHAnsi" w:hAnsiTheme="minorHAnsi" w:cstheme="minorHAnsi"/>
                <w:i/>
                <w:sz w:val="20"/>
                <w:szCs w:val="20"/>
              </w:rPr>
              <w:t xml:space="preserve"> smluvní volnosti</w:t>
            </w:r>
            <w:r w:rsidR="00451B4B" w:rsidRPr="00795817">
              <w:rPr>
                <w:rFonts w:asciiTheme="minorHAnsi" w:hAnsiTheme="minorHAnsi" w:cstheme="minorHAnsi"/>
                <w:i/>
                <w:sz w:val="20"/>
                <w:szCs w:val="20"/>
              </w:rPr>
              <w:t xml:space="preserve"> </w:t>
            </w:r>
          </w:p>
        </w:tc>
      </w:tr>
      <w:tr w:rsidR="00FC72A1" w:rsidTr="00FC72A1">
        <w:tc>
          <w:tcPr>
            <w:cnfStyle w:val="001000000000" w:firstRow="0" w:lastRow="0" w:firstColumn="1" w:lastColumn="0" w:oddVBand="0" w:evenVBand="0" w:oddHBand="0" w:evenHBand="0" w:firstRowFirstColumn="0" w:firstRowLastColumn="0" w:lastRowFirstColumn="0" w:lastRowLastColumn="0"/>
            <w:tcW w:w="1985" w:type="dxa"/>
            <w:vAlign w:val="center"/>
          </w:tcPr>
          <w:p w:rsidR="00494B93"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Vyvlastňovaní</w:t>
            </w:r>
          </w:p>
        </w:tc>
        <w:tc>
          <w:tcPr>
            <w:tcW w:w="7087" w:type="dxa"/>
            <w:vAlign w:val="center"/>
          </w:tcPr>
          <w:p w:rsidR="00405C61" w:rsidRDefault="000865D6" w:rsidP="00405C61">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1</w:t>
            </w:r>
            <w:r w:rsidR="0017710F">
              <w:rPr>
                <w:rFonts w:asciiTheme="minorHAnsi" w:hAnsiTheme="minorHAnsi" w:cstheme="minorHAnsi"/>
                <w:i/>
                <w:sz w:val="20"/>
                <w:szCs w:val="20"/>
              </w:rPr>
              <w:t>a</w:t>
            </w:r>
            <w:r w:rsidR="00451B4B" w:rsidRPr="00795817">
              <w:rPr>
                <w:rFonts w:asciiTheme="minorHAnsi" w:hAnsiTheme="minorHAnsi" w:cstheme="minorHAnsi"/>
                <w:i/>
                <w:sz w:val="20"/>
                <w:szCs w:val="20"/>
              </w:rPr>
              <w:t xml:space="preserve"> – Přínosy plynoucí z možnosti přizpůsobit se (své podnikání) novým podmínkám</w:t>
            </w:r>
          </w:p>
          <w:p w:rsidR="007B7EAF" w:rsidRDefault="000865D6" w:rsidP="007B7EAF">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1</w:t>
            </w:r>
            <w:r>
              <w:rPr>
                <w:rFonts w:asciiTheme="minorHAnsi" w:hAnsiTheme="minorHAnsi" w:cstheme="minorHAnsi"/>
                <w:i/>
                <w:sz w:val="20"/>
                <w:szCs w:val="20"/>
              </w:rPr>
              <w:t>b</w:t>
            </w:r>
            <w:r w:rsidRPr="00795817">
              <w:rPr>
                <w:rFonts w:asciiTheme="minorHAnsi" w:hAnsiTheme="minorHAnsi" w:cstheme="minorHAnsi"/>
                <w:i/>
                <w:sz w:val="20"/>
                <w:szCs w:val="20"/>
              </w:rPr>
              <w:t xml:space="preserve"> – </w:t>
            </w:r>
            <w:r>
              <w:rPr>
                <w:rFonts w:asciiTheme="minorHAnsi" w:hAnsiTheme="minorHAnsi" w:cstheme="minorHAnsi"/>
                <w:i/>
                <w:sz w:val="20"/>
                <w:szCs w:val="20"/>
              </w:rPr>
              <w:t>Náklady</w:t>
            </w:r>
            <w:r w:rsidRPr="00795817">
              <w:rPr>
                <w:rFonts w:asciiTheme="minorHAnsi" w:hAnsiTheme="minorHAnsi" w:cstheme="minorHAnsi"/>
                <w:i/>
                <w:sz w:val="20"/>
                <w:szCs w:val="20"/>
              </w:rPr>
              <w:t xml:space="preserve"> plynoucí z </w:t>
            </w:r>
            <w:r>
              <w:rPr>
                <w:rFonts w:asciiTheme="minorHAnsi" w:hAnsiTheme="minorHAnsi" w:cstheme="minorHAnsi"/>
                <w:i/>
                <w:sz w:val="20"/>
                <w:szCs w:val="20"/>
              </w:rPr>
              <w:t>ne</w:t>
            </w:r>
            <w:r w:rsidRPr="00795817">
              <w:rPr>
                <w:rFonts w:asciiTheme="minorHAnsi" w:hAnsiTheme="minorHAnsi" w:cstheme="minorHAnsi"/>
                <w:i/>
                <w:sz w:val="20"/>
                <w:szCs w:val="20"/>
              </w:rPr>
              <w:t xml:space="preserve">možnosti </w:t>
            </w:r>
            <w:r>
              <w:rPr>
                <w:rFonts w:asciiTheme="minorHAnsi" w:hAnsiTheme="minorHAnsi" w:cstheme="minorHAnsi"/>
                <w:i/>
                <w:sz w:val="20"/>
                <w:szCs w:val="20"/>
              </w:rPr>
              <w:t xml:space="preserve">se </w:t>
            </w:r>
            <w:r w:rsidRPr="00795817">
              <w:rPr>
                <w:rFonts w:asciiTheme="minorHAnsi" w:hAnsiTheme="minorHAnsi" w:cstheme="minorHAnsi"/>
                <w:i/>
                <w:sz w:val="20"/>
                <w:szCs w:val="20"/>
              </w:rPr>
              <w:t>přizpůsobit (své podnikání) novým podmínkám</w:t>
            </w:r>
          </w:p>
          <w:p w:rsidR="00A528AA" w:rsidRPr="00795817" w:rsidRDefault="000865D6" w:rsidP="00A528AA">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2</w:t>
            </w:r>
            <w:r w:rsidRPr="00795817">
              <w:rPr>
                <w:rFonts w:asciiTheme="minorHAnsi" w:hAnsiTheme="minorHAnsi" w:cstheme="minorHAnsi"/>
                <w:i/>
                <w:sz w:val="20"/>
                <w:szCs w:val="20"/>
              </w:rPr>
              <w:t xml:space="preserve">a – </w:t>
            </w:r>
            <w:r>
              <w:rPr>
                <w:rFonts w:asciiTheme="minorHAnsi" w:hAnsiTheme="minorHAnsi" w:cstheme="minorHAnsi"/>
                <w:i/>
                <w:sz w:val="20"/>
                <w:szCs w:val="20"/>
              </w:rPr>
              <w:t>Potenciální újma dalších spoluvlastníků</w:t>
            </w:r>
          </w:p>
          <w:p w:rsidR="00A528AA" w:rsidRDefault="000865D6" w:rsidP="00A528AA">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2</w:t>
            </w:r>
            <w:r w:rsidRPr="00795817">
              <w:rPr>
                <w:rFonts w:asciiTheme="minorHAnsi" w:hAnsiTheme="minorHAnsi" w:cstheme="minorHAnsi"/>
                <w:i/>
                <w:sz w:val="20"/>
                <w:szCs w:val="20"/>
              </w:rPr>
              <w:t>b</w:t>
            </w:r>
            <w:r>
              <w:rPr>
                <w:rFonts w:asciiTheme="minorHAnsi" w:hAnsiTheme="minorHAnsi" w:cstheme="minorHAnsi"/>
                <w:i/>
                <w:sz w:val="20"/>
                <w:szCs w:val="20"/>
              </w:rPr>
              <w:t xml:space="preserve"> </w:t>
            </w:r>
            <w:r w:rsidRPr="00795817">
              <w:rPr>
                <w:rFonts w:asciiTheme="minorHAnsi" w:hAnsiTheme="minorHAnsi" w:cstheme="minorHAnsi"/>
                <w:i/>
                <w:sz w:val="20"/>
                <w:szCs w:val="20"/>
              </w:rPr>
              <w:t xml:space="preserve">– </w:t>
            </w:r>
            <w:r>
              <w:rPr>
                <w:rFonts w:asciiTheme="minorHAnsi" w:hAnsiTheme="minorHAnsi" w:cstheme="minorHAnsi"/>
                <w:i/>
                <w:sz w:val="20"/>
                <w:szCs w:val="20"/>
              </w:rPr>
              <w:t xml:space="preserve">Vyšší riziko </w:t>
            </w:r>
            <w:r>
              <w:rPr>
                <w:rFonts w:asciiTheme="minorHAnsi" w:hAnsiTheme="minorHAnsi" w:cstheme="minorHAnsi"/>
                <w:i/>
                <w:sz w:val="20"/>
                <w:szCs w:val="20"/>
              </w:rPr>
              <w:t>potenciální újmy dalších spoluvlastníků než ve Variantě 3a</w:t>
            </w:r>
          </w:p>
          <w:p w:rsidR="00A528AA" w:rsidRDefault="000865D6" w:rsidP="00A528AA">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lastRenderedPageBreak/>
              <w:t xml:space="preserve">Varianta </w:t>
            </w:r>
            <w:r w:rsidR="00A0704F">
              <w:rPr>
                <w:rFonts w:asciiTheme="minorHAnsi" w:hAnsiTheme="minorHAnsi" w:cstheme="minorHAnsi"/>
                <w:i/>
                <w:sz w:val="20"/>
                <w:szCs w:val="20"/>
              </w:rPr>
              <w:t>3</w:t>
            </w:r>
            <w:r>
              <w:rPr>
                <w:rFonts w:asciiTheme="minorHAnsi" w:hAnsiTheme="minorHAnsi" w:cstheme="minorHAnsi"/>
                <w:i/>
                <w:sz w:val="20"/>
                <w:szCs w:val="20"/>
              </w:rPr>
              <w:t xml:space="preserve"> </w:t>
            </w:r>
            <w:r w:rsidRPr="00795817">
              <w:rPr>
                <w:rFonts w:asciiTheme="minorHAnsi" w:hAnsiTheme="minorHAnsi" w:cstheme="minorHAnsi"/>
                <w:i/>
                <w:sz w:val="20"/>
                <w:szCs w:val="20"/>
              </w:rPr>
              <w:t>–</w:t>
            </w:r>
            <w:r>
              <w:rPr>
                <w:rFonts w:asciiTheme="minorHAnsi" w:hAnsiTheme="minorHAnsi" w:cstheme="minorHAnsi"/>
                <w:i/>
                <w:sz w:val="20"/>
                <w:szCs w:val="20"/>
              </w:rPr>
              <w:t xml:space="preserve"> </w:t>
            </w:r>
            <w:r w:rsidRPr="00795817">
              <w:rPr>
                <w:rFonts w:asciiTheme="minorHAnsi" w:hAnsiTheme="minorHAnsi" w:cstheme="minorHAnsi"/>
                <w:i/>
                <w:sz w:val="20"/>
                <w:szCs w:val="20"/>
              </w:rPr>
              <w:t>Náklady ve formě rizika případné újmy</w:t>
            </w:r>
          </w:p>
          <w:p w:rsidR="00405C61" w:rsidRPr="00795817" w:rsidRDefault="000865D6" w:rsidP="00405C61">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4</w:t>
            </w:r>
            <w:r w:rsidRPr="00795817">
              <w:rPr>
                <w:rFonts w:asciiTheme="minorHAnsi" w:hAnsiTheme="minorHAnsi" w:cstheme="minorHAnsi"/>
                <w:i/>
                <w:sz w:val="20"/>
                <w:szCs w:val="20"/>
              </w:rPr>
              <w:t>a</w:t>
            </w:r>
            <w:r w:rsidR="00451B4B" w:rsidRPr="00795817">
              <w:rPr>
                <w:rFonts w:asciiTheme="minorHAnsi" w:hAnsiTheme="minorHAnsi" w:cstheme="minorHAnsi"/>
                <w:i/>
                <w:sz w:val="20"/>
                <w:szCs w:val="20"/>
              </w:rPr>
              <w:t xml:space="preserve"> – Vyšší právní jistota</w:t>
            </w:r>
          </w:p>
          <w:p w:rsidR="00494B93" w:rsidRPr="00795817" w:rsidRDefault="000865D6" w:rsidP="00405C61">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4</w:t>
            </w:r>
            <w:r w:rsidRPr="00795817">
              <w:rPr>
                <w:rFonts w:asciiTheme="minorHAnsi" w:hAnsiTheme="minorHAnsi" w:cstheme="minorHAnsi"/>
                <w:i/>
                <w:sz w:val="20"/>
                <w:szCs w:val="20"/>
              </w:rPr>
              <w:t>b</w:t>
            </w:r>
            <w:r w:rsidR="00451B4B" w:rsidRPr="00795817">
              <w:rPr>
                <w:rFonts w:asciiTheme="minorHAnsi" w:hAnsiTheme="minorHAnsi" w:cstheme="minorHAnsi"/>
                <w:i/>
                <w:sz w:val="20"/>
                <w:szCs w:val="20"/>
              </w:rPr>
              <w:t xml:space="preserve"> – Vyšší právní jistota</w:t>
            </w:r>
            <w:r w:rsidR="00C52201" w:rsidRPr="00795817">
              <w:rPr>
                <w:rFonts w:asciiTheme="minorHAnsi" w:hAnsiTheme="minorHAnsi" w:cstheme="minorHAnsi"/>
                <w:i/>
                <w:sz w:val="20"/>
                <w:szCs w:val="20"/>
              </w:rPr>
              <w:t>; nižší míra smluvní volnosti</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494B93" w:rsidRPr="00795817" w:rsidRDefault="000865D6" w:rsidP="00F31791">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lastRenderedPageBreak/>
              <w:t>Vyvlastňovací úřady</w:t>
            </w:r>
          </w:p>
        </w:tc>
        <w:tc>
          <w:tcPr>
            <w:tcW w:w="7087" w:type="dxa"/>
            <w:vAlign w:val="center"/>
          </w:tcPr>
          <w:p w:rsidR="00405C61" w:rsidRPr="00795817" w:rsidRDefault="000865D6" w:rsidP="00405C6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4</w:t>
            </w:r>
            <w:r w:rsidRPr="00795817">
              <w:rPr>
                <w:rFonts w:asciiTheme="minorHAnsi" w:hAnsiTheme="minorHAnsi" w:cstheme="minorHAnsi"/>
                <w:i/>
                <w:sz w:val="20"/>
                <w:szCs w:val="20"/>
              </w:rPr>
              <w:t>a</w:t>
            </w:r>
            <w:r w:rsidR="00451B4B" w:rsidRPr="00795817">
              <w:rPr>
                <w:rFonts w:asciiTheme="minorHAnsi" w:hAnsiTheme="minorHAnsi" w:cstheme="minorHAnsi"/>
                <w:i/>
                <w:sz w:val="20"/>
                <w:szCs w:val="20"/>
              </w:rPr>
              <w:t xml:space="preserve"> – Náklady na vydání pokynů</w:t>
            </w:r>
          </w:p>
          <w:p w:rsidR="00494B93" w:rsidRPr="00795817" w:rsidRDefault="000865D6" w:rsidP="00405C61">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i/>
                <w:sz w:val="20"/>
                <w:szCs w:val="20"/>
              </w:rPr>
              <w:t xml:space="preserve">Varianta </w:t>
            </w:r>
            <w:r w:rsidR="00A0704F">
              <w:rPr>
                <w:rFonts w:asciiTheme="minorHAnsi" w:hAnsiTheme="minorHAnsi" w:cstheme="minorHAnsi"/>
                <w:i/>
                <w:sz w:val="20"/>
                <w:szCs w:val="20"/>
              </w:rPr>
              <w:t>4</w:t>
            </w:r>
            <w:r w:rsidRPr="00795817">
              <w:rPr>
                <w:rFonts w:asciiTheme="minorHAnsi" w:hAnsiTheme="minorHAnsi" w:cstheme="minorHAnsi"/>
                <w:i/>
                <w:sz w:val="20"/>
                <w:szCs w:val="20"/>
              </w:rPr>
              <w:t>b</w:t>
            </w:r>
            <w:r w:rsidR="00451B4B" w:rsidRPr="00795817">
              <w:rPr>
                <w:rFonts w:asciiTheme="minorHAnsi" w:hAnsiTheme="minorHAnsi" w:cstheme="minorHAnsi"/>
                <w:i/>
                <w:sz w:val="20"/>
                <w:szCs w:val="20"/>
              </w:rPr>
              <w:t xml:space="preserve"> – Vyšší právní jistota</w:t>
            </w:r>
          </w:p>
        </w:tc>
      </w:tr>
    </w:tbl>
    <w:p w:rsidR="0016654D" w:rsidRPr="00795817" w:rsidRDefault="000865D6" w:rsidP="00C71E54">
      <w:pPr>
        <w:pStyle w:val="Text-Normaln"/>
        <w:widowControl w:val="0"/>
        <w:spacing w:before="240"/>
        <w:rPr>
          <w:b/>
        </w:rPr>
      </w:pPr>
      <w:r w:rsidRPr="00795817">
        <w:rPr>
          <w:b/>
        </w:rPr>
        <w:t>Volba varianty a její implementace</w:t>
      </w:r>
    </w:p>
    <w:p w:rsidR="001C7341" w:rsidRPr="001C7341" w:rsidRDefault="000865D6" w:rsidP="00861838">
      <w:pPr>
        <w:pStyle w:val="Normln-tun"/>
      </w:pPr>
      <w:r>
        <w:t>U</w:t>
      </w:r>
      <w:r w:rsidR="00B068D0" w:rsidRPr="00FB799D">
        <w:t xml:space="preserve"> </w:t>
      </w:r>
      <w:r>
        <w:t>v</w:t>
      </w:r>
      <w:r w:rsidR="00B068D0" w:rsidRPr="00FB799D">
        <w:t xml:space="preserve">ariant </w:t>
      </w:r>
      <w:r w:rsidR="00A0704F">
        <w:t>1</w:t>
      </w:r>
      <w:r>
        <w:t xml:space="preserve"> se p</w:t>
      </w:r>
      <w:r w:rsidR="00B068D0" w:rsidRPr="00FB799D">
        <w:t>roblematické případy, které vyvlastnitelé zmiňovali, týkaly</w:t>
      </w:r>
      <w:r w:rsidR="005908D2" w:rsidRPr="00FB799D">
        <w:t xml:space="preserve"> spíše vyhledávání a</w:t>
      </w:r>
      <w:r w:rsidR="005908D2" w:rsidRPr="00795817">
        <w:t xml:space="preserve"> kontaktování účastníků v rámci správního řízení. To bude řešeno v některé z následujících kapitol. </w:t>
      </w:r>
      <w:r w:rsidR="00332FFC" w:rsidRPr="00795817">
        <w:t xml:space="preserve">Co se týče </w:t>
      </w:r>
      <w:r w:rsidR="00332FFC" w:rsidRPr="004C4192">
        <w:rPr>
          <w:b/>
          <w:bCs/>
        </w:rPr>
        <w:t xml:space="preserve">Varianty </w:t>
      </w:r>
      <w:r w:rsidR="00A0704F" w:rsidRPr="004C4192">
        <w:rPr>
          <w:b/>
          <w:bCs/>
        </w:rPr>
        <w:t>1</w:t>
      </w:r>
      <w:r w:rsidR="006774F1" w:rsidRPr="004C4192">
        <w:rPr>
          <w:b/>
          <w:bCs/>
        </w:rPr>
        <w:t>a</w:t>
      </w:r>
      <w:r w:rsidR="00332FFC" w:rsidRPr="00795817">
        <w:t>, cíle tohoto</w:t>
      </w:r>
      <w:r w:rsidR="00B068D0" w:rsidRPr="00795817">
        <w:t xml:space="preserve"> </w:t>
      </w:r>
      <w:r w:rsidR="00332FFC" w:rsidRPr="00795817">
        <w:t xml:space="preserve">věcného okruhu lze splnit i snížením informačního deficitu na straně vlastníků již v průběhu pořizování územně plánovacích dokumentací. Konkrétní řešení </w:t>
      </w:r>
      <w:r w:rsidR="00771F7E">
        <w:t xml:space="preserve">v tomto směru </w:t>
      </w:r>
      <w:r w:rsidR="00332FFC" w:rsidRPr="00795817">
        <w:t>musí být dáno do souladu se zněním nového stavebního zákona.</w:t>
      </w:r>
      <w:r>
        <w:t xml:space="preserve"> </w:t>
      </w:r>
      <w:r w:rsidR="00771F7E">
        <w:t>Bylo by tak spíše vhodné</w:t>
      </w:r>
      <w:r>
        <w:t xml:space="preserve"> uvažovat o </w:t>
      </w:r>
      <w:r w:rsidRPr="004C4192">
        <w:rPr>
          <w:b/>
          <w:bCs/>
        </w:rPr>
        <w:t xml:space="preserve">Variantě </w:t>
      </w:r>
      <w:r w:rsidR="00A0704F" w:rsidRPr="004C4192">
        <w:rPr>
          <w:b/>
          <w:bCs/>
        </w:rPr>
        <w:t>1</w:t>
      </w:r>
      <w:r w:rsidRPr="004C4192">
        <w:rPr>
          <w:b/>
          <w:bCs/>
        </w:rPr>
        <w:t>b</w:t>
      </w:r>
      <w:r>
        <w:t xml:space="preserve">, která může být podpořena některým z motivačních opatření pro preferenci dohod jak na straně </w:t>
      </w:r>
      <w:r>
        <w:t>vyvlastňovaných, tak na straně vyvlastnitelů.</w:t>
      </w:r>
      <w:r w:rsidR="00861838">
        <w:t xml:space="preserve"> Nicméně protože se nelze z pohledu </w:t>
      </w:r>
      <w:r w:rsidR="00F561F4">
        <w:t xml:space="preserve">kvantitativních </w:t>
      </w:r>
      <w:r w:rsidR="00861838">
        <w:t xml:space="preserve">nákladů a přínosů výrazněji </w:t>
      </w:r>
      <w:r w:rsidR="00861838" w:rsidRPr="00F561F4">
        <w:t>přiklonit ani k jedné z variant (kratší lhůta by nemusela stačit k tomu, aby vyvlastňovaný zvážil svůj další postup, nechal si své pozemky, stavby, jednotky či práva sám ocenit, vyhledal nové místo pro své podnikání, vytipoval v součinnosti s vyvlastnitelem pozemky vhodné pro směnu atd.), doporučujeme ponechání současného stavu</w:t>
      </w:r>
      <w:r w:rsidRPr="00F561F4">
        <w:t>.</w:t>
      </w:r>
    </w:p>
    <w:p w:rsidR="006C0090" w:rsidRDefault="000865D6" w:rsidP="00701048">
      <w:pPr>
        <w:pStyle w:val="Normln-tun"/>
      </w:pPr>
      <w:r w:rsidRPr="00795817">
        <w:t>Vyvlastnění je krajním zásahem do vlastnictví, právní řá</w:t>
      </w:r>
      <w:r w:rsidRPr="00795817">
        <w:t xml:space="preserve">d pro něj stanoví zvlášť přísné podmínky. </w:t>
      </w:r>
      <w:r w:rsidR="00031B35">
        <w:t>Zároveň není vhodné, aby se p</w:t>
      </w:r>
      <w:r w:rsidR="00D6341E" w:rsidRPr="003C2E33">
        <w:t>odmínky vyvlastnění u nemovitých věcí ve spoluvlastnictví více osob</w:t>
      </w:r>
      <w:r w:rsidR="00031B35">
        <w:t xml:space="preserve"> </w:t>
      </w:r>
      <w:r w:rsidR="00D6341E" w:rsidRPr="003C2E33">
        <w:t xml:space="preserve">jakkoli odchylovaly od pravidel spoluvlastnictví podle </w:t>
      </w:r>
      <w:r w:rsidR="00D6341E" w:rsidRPr="006C0090">
        <w:t>občanského zákoníku.</w:t>
      </w:r>
      <w:r w:rsidRPr="006C0090">
        <w:t xml:space="preserve"> Bude-li tak pozemek či stavba ve spoluvla</w:t>
      </w:r>
      <w:r w:rsidRPr="006C0090">
        <w:t>stnictví více osob, měl by vyvlastnitel zaslat návrh všem spoluvlastníkům. Půjde-li o zatížení pozemku věcným břemenem či právem stavby, měly by</w:t>
      </w:r>
      <w:r w:rsidR="00D6341E" w:rsidRPr="006C0090">
        <w:t xml:space="preserve"> o záležitostech zatížení společné věci </w:t>
      </w:r>
      <w:r>
        <w:t xml:space="preserve">opět </w:t>
      </w:r>
      <w:r w:rsidR="00D6341E" w:rsidRPr="006C0090">
        <w:t>rozhodnout všichni spoluvlastníci.</w:t>
      </w:r>
      <w:r w:rsidR="00D6341E" w:rsidRPr="003C2E33">
        <w:t xml:space="preserve"> </w:t>
      </w:r>
      <w:r>
        <w:t>M</w:t>
      </w:r>
      <w:r w:rsidRPr="003C2E33">
        <w:t>ožn</w:t>
      </w:r>
      <w:r>
        <w:t>é</w:t>
      </w:r>
      <w:r w:rsidRPr="003C2E33">
        <w:t xml:space="preserve"> zahájit vyvlastňovací říze</w:t>
      </w:r>
      <w:r w:rsidRPr="003C2E33">
        <w:t xml:space="preserve">ní </w:t>
      </w:r>
      <w:r>
        <w:t>by mělo být t</w:t>
      </w:r>
      <w:r w:rsidR="00D6341E" w:rsidRPr="003C2E33">
        <w:t xml:space="preserve">eprve </w:t>
      </w:r>
      <w:r>
        <w:t xml:space="preserve">tehdy, </w:t>
      </w:r>
      <w:r w:rsidR="00D6341E" w:rsidRPr="003C2E33">
        <w:t xml:space="preserve">pokud </w:t>
      </w:r>
      <w:r>
        <w:t xml:space="preserve">by </w:t>
      </w:r>
      <w:r w:rsidR="00D6341E" w:rsidRPr="003C2E33">
        <w:t>se dohoda nezdař</w:t>
      </w:r>
      <w:r>
        <w:t>ila</w:t>
      </w:r>
      <w:r w:rsidR="00D6341E" w:rsidRPr="003C2E33">
        <w:t xml:space="preserve"> </w:t>
      </w:r>
      <w:r>
        <w:t>nebo by</w:t>
      </w:r>
      <w:r w:rsidR="00D6341E" w:rsidRPr="003C2E33">
        <w:t xml:space="preserve"> vlastník ne</w:t>
      </w:r>
      <w:r>
        <w:t>byl</w:t>
      </w:r>
      <w:r w:rsidR="00D6341E" w:rsidRPr="003C2E33">
        <w:t xml:space="preserve"> zastižen nebo nem</w:t>
      </w:r>
      <w:r>
        <w:t>ohl</w:t>
      </w:r>
      <w:r w:rsidR="00D6341E" w:rsidRPr="003C2E33">
        <w:t xml:space="preserve"> s vlastnictvím disponovat. To </w:t>
      </w:r>
      <w:r>
        <w:t xml:space="preserve">by </w:t>
      </w:r>
      <w:r w:rsidR="00D6341E" w:rsidRPr="003C2E33">
        <w:t xml:space="preserve">přitom </w:t>
      </w:r>
      <w:r>
        <w:t xml:space="preserve">mělo </w:t>
      </w:r>
      <w:r w:rsidR="00D6341E" w:rsidRPr="003C2E33">
        <w:t>plat</w:t>
      </w:r>
      <w:r>
        <w:t>it</w:t>
      </w:r>
      <w:r w:rsidR="00D6341E" w:rsidRPr="003C2E33">
        <w:t xml:space="preserve"> pro každého spoluvlastníka zvlášť.</w:t>
      </w:r>
      <w:r w:rsidR="00031B35">
        <w:t xml:space="preserve"> </w:t>
      </w:r>
    </w:p>
    <w:p w:rsidR="00D6341E" w:rsidRDefault="000865D6" w:rsidP="00701048">
      <w:pPr>
        <w:pStyle w:val="Normln-tun"/>
      </w:pPr>
      <w:r w:rsidRPr="00031B35">
        <w:t xml:space="preserve">Podle </w:t>
      </w:r>
      <w:r w:rsidR="00031B35" w:rsidRPr="004C4192">
        <w:rPr>
          <w:b/>
          <w:bCs/>
        </w:rPr>
        <w:t xml:space="preserve">Varianty </w:t>
      </w:r>
      <w:r w:rsidR="00A0704F" w:rsidRPr="004C4192">
        <w:rPr>
          <w:b/>
          <w:bCs/>
        </w:rPr>
        <w:t>2</w:t>
      </w:r>
      <w:r w:rsidR="00031B35" w:rsidRPr="004C4192">
        <w:rPr>
          <w:b/>
          <w:bCs/>
        </w:rPr>
        <w:t>a</w:t>
      </w:r>
      <w:r w:rsidRPr="00031B35">
        <w:t xml:space="preserve"> </w:t>
      </w:r>
      <w:r w:rsidR="00031B35">
        <w:t>by mohl</w:t>
      </w:r>
      <w:r w:rsidRPr="00031B35">
        <w:t xml:space="preserve"> vyvlastňovatel kontaktovat jen jednoho z</w:t>
      </w:r>
      <w:r w:rsidRPr="00031B35">
        <w:t xml:space="preserve">e spoluvlastníků a jen vůči tomuto vlastníku </w:t>
      </w:r>
      <w:r w:rsidR="00031B35">
        <w:t>by se</w:t>
      </w:r>
      <w:r w:rsidRPr="00031B35">
        <w:t xml:space="preserve"> zkouma</w:t>
      </w:r>
      <w:r w:rsidR="00031B35">
        <w:t>lo</w:t>
      </w:r>
      <w:r w:rsidRPr="00031B35">
        <w:t xml:space="preserve"> splnění podmínek vyvlastnění. Ostatní spoluvlastníci </w:t>
      </w:r>
      <w:r w:rsidR="00031B35">
        <w:t>by tím byli</w:t>
      </w:r>
      <w:r w:rsidRPr="00031B35">
        <w:t xml:space="preserve"> vyloučení z užívání a rozhodování o jejich vlastnictví. </w:t>
      </w:r>
      <w:r w:rsidR="00431B89">
        <w:t xml:space="preserve">Navíc Varianta </w:t>
      </w:r>
      <w:r w:rsidR="00A0704F">
        <w:t>2</w:t>
      </w:r>
      <w:r w:rsidR="00431B89">
        <w:t>a</w:t>
      </w:r>
      <w:r w:rsidRPr="003C2E33">
        <w:t xml:space="preserve"> obsahuje zneužiteln</w:t>
      </w:r>
      <w:r w:rsidR="00431B89">
        <w:t>ou</w:t>
      </w:r>
      <w:r w:rsidRPr="003C2E33">
        <w:t xml:space="preserve"> </w:t>
      </w:r>
      <w:r w:rsidR="00431B89">
        <w:t>možnost</w:t>
      </w:r>
      <w:r w:rsidRPr="003C2E33">
        <w:t xml:space="preserve">, pokud se vyvlastniteli </w:t>
      </w:r>
      <w:r w:rsidRPr="003C2E33">
        <w:t>nepodařilo ve lhůtě 90 dnů uzavřít smlouvu o získání práv k pozemku nebo ke stavbě</w:t>
      </w:r>
      <w:r w:rsidR="00431B89">
        <w:t>.</w:t>
      </w:r>
      <w:r w:rsidRPr="003C2E33">
        <w:t xml:space="preserve"> Lhůta k uzavření smlouvy s vyvlastňovaným počíná běžet dnem následujícím po doručení návrhu na uzavření smlouvy vyvlastňovanému. Podle § 5 odst. 5 se splnění podmínky podle</w:t>
      </w:r>
      <w:r w:rsidRPr="003C2E33">
        <w:t xml:space="preserve"> odstavce 1 se nevyžaduje, (a) není-li vyvlastňovaný znám, není-li znám jeho pobyt, nebo nepodařilo-li se mu doručit na adresu zapsanou do katastru nemovitostí, nebo (b) je-li vyvlastňovaný omezen ve smluvní volnosti právními předpisy, rozhodnutím soudu ne</w:t>
      </w:r>
      <w:r w:rsidRPr="003C2E33">
        <w:t xml:space="preserve">bo rozhodnutím jiného orgánu veřejné moci, kterým mu bylo zakázáno převést vyvlastňované právo na někoho jiného. Problém </w:t>
      </w:r>
      <w:r w:rsidR="00431B89">
        <w:t>by tak mohl</w:t>
      </w:r>
      <w:r w:rsidRPr="003C2E33">
        <w:t xml:space="preserve"> nastat tehdy, </w:t>
      </w:r>
      <w:r w:rsidR="00431B89">
        <w:t>pokud by byla</w:t>
      </w:r>
      <w:r w:rsidRPr="003C2E33">
        <w:t xml:space="preserve"> předmětem vyvlastňovacího řízení nemovitost</w:t>
      </w:r>
      <w:r w:rsidR="00431B89">
        <w:t xml:space="preserve"> </w:t>
      </w:r>
      <w:r w:rsidRPr="003C2E33">
        <w:t xml:space="preserve">ve spoluvlastnictví osob, z nichž nejméně jedna </w:t>
      </w:r>
      <w:r w:rsidR="00431B89">
        <w:t>by měla</w:t>
      </w:r>
      <w:r w:rsidRPr="003C2E33">
        <w:t xml:space="preserve"> trvalé bydliště na obecním, resp. městském úřadě. Takovým osobám se velmi často doručovat nedaří. </w:t>
      </w:r>
    </w:p>
    <w:p w:rsidR="00357C34" w:rsidRDefault="000865D6" w:rsidP="00357C34">
      <w:pPr>
        <w:pStyle w:val="Normln-tun"/>
      </w:pPr>
      <w:r>
        <w:t xml:space="preserve">Tomuto riziku se snaží předejít </w:t>
      </w:r>
      <w:r w:rsidRPr="004C4192">
        <w:rPr>
          <w:b/>
          <w:bCs/>
        </w:rPr>
        <w:t xml:space="preserve">Varianta </w:t>
      </w:r>
      <w:r w:rsidR="00A0704F" w:rsidRPr="004C4192">
        <w:rPr>
          <w:b/>
          <w:bCs/>
        </w:rPr>
        <w:t>2</w:t>
      </w:r>
      <w:r w:rsidRPr="004C4192">
        <w:rPr>
          <w:b/>
          <w:bCs/>
        </w:rPr>
        <w:t>b</w:t>
      </w:r>
      <w:r>
        <w:t>, nicméně i pro ni je validní druhý předcházející odstavec. Bylo by zároveň velmi sporné, jak nastavit podmín</w:t>
      </w:r>
      <w:r>
        <w:t xml:space="preserve">ku vhodného počtu spoluvlastníků k oslovení. K tomuto by bylo třeba získat data za všechna vyvlastňovací řízení a na jejich základě zvolit spravedlivou hodnotu tak, aby k neoslovení </w:t>
      </w:r>
      <w:r>
        <w:lastRenderedPageBreak/>
        <w:t>všech vlastníků nedocházelo příliš často, avšak na druhou stranu bylo vyvl</w:t>
      </w:r>
      <w:r>
        <w:t xml:space="preserve">astniteli umožněno neoslovovat vlastníka, který je „problematický“ v tom směru, že dohledávání jeho místa pobytu je časově i administrativně náročné až nemožné.  </w:t>
      </w:r>
    </w:p>
    <w:p w:rsidR="00357C34" w:rsidRPr="003C2E33" w:rsidRDefault="000865D6" w:rsidP="00357C34">
      <w:pPr>
        <w:pStyle w:val="Normln-tun"/>
      </w:pPr>
      <w:r>
        <w:t xml:space="preserve">Jako nejvhodnější se tak jeví </w:t>
      </w:r>
      <w:r w:rsidRPr="004C4192">
        <w:rPr>
          <w:b/>
          <w:bCs/>
        </w:rPr>
        <w:t>zachování současného stavu</w:t>
      </w:r>
      <w:r>
        <w:t>. Navíc m</w:t>
      </w:r>
      <w:r w:rsidRPr="00361EE8">
        <w:t>ožnost získat spoluvlastnick</w:t>
      </w:r>
      <w:r w:rsidRPr="00361EE8">
        <w:t xml:space="preserve">ý podíl usnadnila novela občanského zákoníku, která nově formulovala ustanovení § 1124 a 1125 a upustila, až na výjimky tam uvedené, od zákonného předkupního práva ke spoluvlastnickému podílu. Zákon č. 163/2020 Sb., nabyl účinnosti 1. 7. 2020.    </w:t>
      </w:r>
    </w:p>
    <w:p w:rsidR="00031B35" w:rsidRDefault="000865D6" w:rsidP="00701048">
      <w:pPr>
        <w:pStyle w:val="Normln-tun"/>
      </w:pPr>
      <w:r w:rsidRPr="004C4192">
        <w:rPr>
          <w:b/>
          <w:bCs/>
        </w:rPr>
        <w:t>Variantu</w:t>
      </w:r>
      <w:r w:rsidRPr="004C4192">
        <w:rPr>
          <w:b/>
          <w:bCs/>
        </w:rPr>
        <w:t xml:space="preserve"> </w:t>
      </w:r>
      <w:r w:rsidR="00A0704F" w:rsidRPr="004C4192">
        <w:rPr>
          <w:b/>
          <w:bCs/>
        </w:rPr>
        <w:t>3</w:t>
      </w:r>
      <w:r>
        <w:t xml:space="preserve"> lze zhodnotit následovně: v</w:t>
      </w:r>
      <w:r w:rsidR="000527F4">
        <w:t>e fázi, kdy jde o zpracování znaleckého posudku, podle kterého je navrhována</w:t>
      </w:r>
      <w:r w:rsidR="003053AF">
        <w:t xml:space="preserve"> potenciálně</w:t>
      </w:r>
      <w:r w:rsidR="000527F4">
        <w:t xml:space="preserve"> vyvlastňovanému cena za získání potřebných práv dohodou</w:t>
      </w:r>
      <w:r w:rsidR="003053AF">
        <w:t>,</w:t>
      </w:r>
      <w:r w:rsidR="000527F4">
        <w:t xml:space="preserve"> jde o podklad pro právní jednání v oblasti soukromého práva. Znalci nelze zákonem o vyvlastnění zřizovat právo vstupu na cizí nemovitosti a ukládat povinnosti jejich vlastníkům či uživatelům a zasahovat tak do pokojného užívání majetku, aniž to </w:t>
      </w:r>
      <w:r w:rsidR="000527F4" w:rsidRPr="00EA53EA">
        <w:t xml:space="preserve">nezbytně vyžaduje veřejný zájem. Takové oprávnění pro zpracování znaleckých posudků pro účely právního jednání v oblasti soukromého práva neplyne ani z občanského soudního řádu a znalcům je neposkytuje ani zákon č. </w:t>
      </w:r>
      <w:r w:rsidR="00BA17FE" w:rsidRPr="00EA53EA">
        <w:t>254/2019 Sb., o znalcích, znaleckých kancelářích a znaleckých ústavech</w:t>
      </w:r>
      <w:r w:rsidR="000527F4" w:rsidRPr="00EA53EA">
        <w:t>. Požadovaná úprava</w:t>
      </w:r>
      <w:r w:rsidR="000527F4">
        <w:t xml:space="preserve"> by byla v rozporu s čl. 1 dodatkového protokolu č. 1 k Úmluvě o ochraně lidských práv a základních svobod, podle kterého má každá fyzická nebo právnická osoba právo pokojně užívat svůj majetek, protože takový zásah vůbec není přiměřený a nutný.</w:t>
      </w:r>
      <w:r w:rsidR="003053AF">
        <w:t xml:space="preserve"> </w:t>
      </w:r>
      <w:r w:rsidR="003053AF" w:rsidRPr="0094338B">
        <w:rPr>
          <w:b/>
          <w:bCs/>
        </w:rPr>
        <w:t xml:space="preserve">Variantu </w:t>
      </w:r>
      <w:r w:rsidR="0094338B" w:rsidRPr="0094338B">
        <w:rPr>
          <w:b/>
          <w:bCs/>
        </w:rPr>
        <w:t>3</w:t>
      </w:r>
      <w:r w:rsidR="003053AF" w:rsidRPr="0094338B">
        <w:rPr>
          <w:b/>
          <w:bCs/>
        </w:rPr>
        <w:t xml:space="preserve"> tak zamítáme.</w:t>
      </w:r>
      <w:r w:rsidR="005B1F16" w:rsidRPr="005B1F16">
        <w:t xml:space="preserve"> </w:t>
      </w:r>
      <w:r w:rsidR="005B1F16">
        <w:t>Vzhledem k případům, kdy se vlastník pozemku či stavby rozhodne se znalcem či odhadcem nespolupracovat a vstup na pozemek či do stavby jim neumožnit, však bude výslovně stanoveno, že v takovém případě znalec či odhadce vypracují posudek či ocenění podle údajů, které lze opatřit jinak.</w:t>
      </w:r>
    </w:p>
    <w:p w:rsidR="0084060B" w:rsidRPr="00161891" w:rsidRDefault="000865D6" w:rsidP="00701048">
      <w:pPr>
        <w:pStyle w:val="Normln-tun"/>
      </w:pPr>
      <w:r w:rsidRPr="00795817">
        <w:t xml:space="preserve">Vyvlastnění je krajním zásahem do vlastnictví, právní řád pro něj stanoví zvlášť přísné podmínky. K vyvlastnění je možné přistoupit až v případě prokázání nemožnosti získání potřebných práv dohodou. Je proto třeba mít upřesněný postup vyvlastnitele před </w:t>
      </w:r>
      <w:r w:rsidRPr="00795817">
        <w:t xml:space="preserve">podáním žádosti o vyvlastnění, zejména </w:t>
      </w:r>
      <w:r>
        <w:t xml:space="preserve">pravidla </w:t>
      </w:r>
      <w:r w:rsidRPr="00795817">
        <w:t>pokus</w:t>
      </w:r>
      <w:r>
        <w:t>u</w:t>
      </w:r>
      <w:r w:rsidRPr="00795817">
        <w:t xml:space="preserve"> o získání práv potřebných k realizaci účelu vyvlastnění dohodou</w:t>
      </w:r>
      <w:r>
        <w:t>.</w:t>
      </w:r>
      <w:r w:rsidRPr="00795817">
        <w:t xml:space="preserve"> </w:t>
      </w:r>
      <w:r>
        <w:t>Z</w:t>
      </w:r>
      <w:r w:rsidRPr="00795817">
        <w:t>ároveň je však třeba respektovat, že jde o jednání soukromoprávního charakteru</w:t>
      </w:r>
      <w:r>
        <w:t>,</w:t>
      </w:r>
      <w:r w:rsidRPr="00795817">
        <w:t xml:space="preserve"> a neomezovat </w:t>
      </w:r>
      <w:r>
        <w:t xml:space="preserve">příslušné </w:t>
      </w:r>
      <w:r w:rsidRPr="00795817">
        <w:t xml:space="preserve">subjekty ve smluvní volnosti. I </w:t>
      </w:r>
      <w:r w:rsidRPr="00795817">
        <w:t>na základě výstupů z konzultací se</w:t>
      </w:r>
      <w:r>
        <w:t xml:space="preserve"> proto</w:t>
      </w:r>
      <w:r w:rsidRPr="00795817">
        <w:t xml:space="preserve"> </w:t>
      </w:r>
      <w:r w:rsidRPr="004C4192">
        <w:rPr>
          <w:b/>
          <w:bCs/>
        </w:rPr>
        <w:t xml:space="preserve">Varianta </w:t>
      </w:r>
      <w:r w:rsidR="00A0704F" w:rsidRPr="004C4192">
        <w:rPr>
          <w:b/>
          <w:bCs/>
        </w:rPr>
        <w:t>4</w:t>
      </w:r>
      <w:r w:rsidRPr="004C4192">
        <w:rPr>
          <w:b/>
          <w:bCs/>
        </w:rPr>
        <w:t>b</w:t>
      </w:r>
      <w:r w:rsidRPr="00795817">
        <w:t xml:space="preserve"> zamítá. Odhad nákladů </w:t>
      </w:r>
      <w:r w:rsidR="004C4192">
        <w:rPr>
          <w:b/>
          <w:bCs/>
        </w:rPr>
        <w:t>V</w:t>
      </w:r>
      <w:r w:rsidRPr="004C4192">
        <w:rPr>
          <w:b/>
          <w:bCs/>
        </w:rPr>
        <w:t xml:space="preserve">arianty </w:t>
      </w:r>
      <w:r w:rsidR="00A0704F" w:rsidRPr="004C4192">
        <w:rPr>
          <w:b/>
          <w:bCs/>
        </w:rPr>
        <w:t>4</w:t>
      </w:r>
      <w:r w:rsidRPr="004C4192">
        <w:rPr>
          <w:b/>
          <w:bCs/>
        </w:rPr>
        <w:t>a</w:t>
      </w:r>
      <w:r w:rsidRPr="00795817">
        <w:t xml:space="preserve"> lze učinit obdobně jako u věcného okruhu </w:t>
      </w:r>
      <w:r>
        <w:t>B</w:t>
      </w:r>
      <w:r w:rsidRPr="00795817">
        <w:t xml:space="preserve">. Protože jednorázové náklady na tvorbu pokynů jsou při jejich rozpuštění v čase zanedbatelné, přínosy mohou být vzhledem k závažnosti </w:t>
      </w:r>
      <w:r w:rsidRPr="00161891">
        <w:t xml:space="preserve">tématu pro vyvlastňovaného značné. </w:t>
      </w:r>
      <w:r w:rsidRPr="00161891">
        <w:rPr>
          <w:b/>
          <w:bCs/>
        </w:rPr>
        <w:t xml:space="preserve">Varianta </w:t>
      </w:r>
      <w:r w:rsidR="00A0704F" w:rsidRPr="00161891">
        <w:rPr>
          <w:b/>
          <w:bCs/>
        </w:rPr>
        <w:t>4</w:t>
      </w:r>
      <w:r w:rsidRPr="00161891">
        <w:rPr>
          <w:b/>
          <w:bCs/>
        </w:rPr>
        <w:t xml:space="preserve">a </w:t>
      </w:r>
      <w:r w:rsidRPr="00161891">
        <w:t xml:space="preserve">se </w:t>
      </w:r>
      <w:r w:rsidR="00841AD9" w:rsidRPr="00161891">
        <w:t xml:space="preserve">tak </w:t>
      </w:r>
      <w:r w:rsidRPr="00161891">
        <w:t>jeví jako</w:t>
      </w:r>
      <w:r w:rsidRPr="00161891">
        <w:rPr>
          <w:b/>
          <w:bCs/>
        </w:rPr>
        <w:t xml:space="preserve"> vhodná.</w:t>
      </w:r>
      <w:r w:rsidRPr="00161891">
        <w:t xml:space="preserve"> </w:t>
      </w:r>
    </w:p>
    <w:p w:rsidR="00841AD9" w:rsidRPr="00161891" w:rsidRDefault="000865D6" w:rsidP="00161891">
      <w:pPr>
        <w:pStyle w:val="Normln-tun"/>
      </w:pPr>
      <w:r w:rsidRPr="00161891">
        <w:t xml:space="preserve">Zákon by </w:t>
      </w:r>
      <w:r w:rsidR="0084060B" w:rsidRPr="00161891">
        <w:t xml:space="preserve">tak </w:t>
      </w:r>
      <w:r w:rsidR="00DF18DD" w:rsidRPr="00161891">
        <w:t>mohl především</w:t>
      </w:r>
      <w:r w:rsidRPr="00161891">
        <w:t xml:space="preserve"> stanovit, </w:t>
      </w:r>
    </w:p>
    <w:p w:rsidR="004600EB" w:rsidRPr="00161891" w:rsidRDefault="000865D6">
      <w:pPr>
        <w:pStyle w:val="Normln-tun"/>
        <w:numPr>
          <w:ilvl w:val="0"/>
          <w:numId w:val="81"/>
        </w:numPr>
      </w:pPr>
      <w:r w:rsidRPr="00161891">
        <w:t>že vyvlas</w:t>
      </w:r>
      <w:r w:rsidRPr="00161891">
        <w:t>tnitel musí pro uzavření smlouvy vyvíjet snahu, kterou po něm lze rozumně požadovat, a při neúspěchu pak k žádosti o zahájení vyvlastňovacího řízení přiložit</w:t>
      </w:r>
    </w:p>
    <w:p w:rsidR="00E907F9" w:rsidRPr="00161891" w:rsidRDefault="000865D6">
      <w:pPr>
        <w:pStyle w:val="Normln-tun"/>
        <w:numPr>
          <w:ilvl w:val="1"/>
          <w:numId w:val="80"/>
        </w:numPr>
      </w:pPr>
      <w:r w:rsidRPr="00161891">
        <w:t>návrh smlouvy o získání práv včetně jeho příloh,</w:t>
      </w:r>
    </w:p>
    <w:p w:rsidR="00E907F9" w:rsidRPr="00161891" w:rsidRDefault="000865D6">
      <w:pPr>
        <w:pStyle w:val="Normln-tun"/>
        <w:numPr>
          <w:ilvl w:val="1"/>
          <w:numId w:val="80"/>
        </w:numPr>
      </w:pPr>
      <w:r w:rsidRPr="00161891">
        <w:t>doklad prokazující, že návrh smlouvy o získání pr</w:t>
      </w:r>
      <w:r w:rsidRPr="00161891">
        <w:t>áv byl vyvlastňovanému doručen, popřípadě doklad prokazující, že vyvlastňovaný odmítl návrh smlouvy o získání práv převzít,</w:t>
      </w:r>
    </w:p>
    <w:p w:rsidR="00E907F9" w:rsidRPr="00161891" w:rsidRDefault="000865D6">
      <w:pPr>
        <w:pStyle w:val="Normln-tun"/>
        <w:numPr>
          <w:ilvl w:val="1"/>
          <w:numId w:val="80"/>
        </w:numPr>
      </w:pPr>
      <w:r w:rsidRPr="00161891">
        <w:t>doklad prokazující odeslání návrhu smlouvy o získání práv vyvlastňovanému, jestliže se návrh smlouvy o získání práv doručuje do cizi</w:t>
      </w:r>
      <w:r w:rsidRPr="00161891">
        <w:t>ny,</w:t>
      </w:r>
    </w:p>
    <w:p w:rsidR="00E907F9" w:rsidRPr="00161891" w:rsidRDefault="000865D6">
      <w:pPr>
        <w:pStyle w:val="Normln-tun"/>
        <w:numPr>
          <w:ilvl w:val="1"/>
          <w:numId w:val="80"/>
        </w:numPr>
      </w:pPr>
      <w:r w:rsidRPr="00161891">
        <w:lastRenderedPageBreak/>
        <w:t>doklad prokazující, že vyvlastnitel vyvíjel snahu, kterou po něm lze rozumně požadovat, o uzavření smlouvy o získání práv,</w:t>
      </w:r>
    </w:p>
    <w:p w:rsidR="00E907F9" w:rsidRPr="00161891" w:rsidRDefault="000865D6">
      <w:pPr>
        <w:pStyle w:val="Normln-tun"/>
        <w:numPr>
          <w:ilvl w:val="1"/>
          <w:numId w:val="80"/>
        </w:numPr>
      </w:pPr>
      <w:r w:rsidRPr="00161891">
        <w:t xml:space="preserve">v případě, že vyvlastňovaný na návrh smlouvy o získání práv neodpověděl, čestné prohlášení vyvlastnitele, že se mu nepodařilo uzavřít smlouvu o získání práv proto, že vyvlastňovaný na návrh smlouvy o získání práv neodpověděl. </w:t>
      </w:r>
    </w:p>
    <w:p w:rsidR="00282CCA" w:rsidRPr="00161891" w:rsidRDefault="000865D6" w:rsidP="00161891">
      <w:pPr>
        <w:pStyle w:val="Normln-tun"/>
        <w:ind w:left="1078"/>
      </w:pPr>
      <w:r w:rsidRPr="00161891">
        <w:t>Stávající právní úprava vymez</w:t>
      </w:r>
      <w:r w:rsidRPr="00161891">
        <w:t>uje tyto náležitosti dostatečně, v novém zákoně je však ještě prostor k jejich upřesnění, nicméně ne v konkrétním módu.</w:t>
      </w:r>
      <w:r w:rsidR="00A21F26" w:rsidRPr="00161891">
        <w:t xml:space="preserve"> Obsah žádosti, resp. její rozsah, tím může podstatně narůst. Vyvlastňovací úřad však bude mít přesné informace o tom, jak kontraktační proces probíhal, o tom, jak vyvlastnitel o získání práv dohodou usiloval, a tím pádem i o tom, zda je podmínka nemožnosti získat práva dohodou splněna. Zvýší se tak právní jistota všech stran, příp. sníží administrativní náklady spojené s případnými opravnými prostředky.</w:t>
      </w:r>
    </w:p>
    <w:p w:rsidR="00D6341E" w:rsidRPr="00161891" w:rsidRDefault="000865D6">
      <w:pPr>
        <w:pStyle w:val="Normln-tun"/>
        <w:numPr>
          <w:ilvl w:val="0"/>
          <w:numId w:val="81"/>
        </w:numPr>
      </w:pPr>
      <w:r w:rsidRPr="00161891">
        <w:t>že smlouv</w:t>
      </w:r>
      <w:r w:rsidR="00841AD9" w:rsidRPr="00161891">
        <w:t>a</w:t>
      </w:r>
      <w:r w:rsidRPr="00161891">
        <w:t xml:space="preserve"> </w:t>
      </w:r>
      <w:r w:rsidR="00841AD9" w:rsidRPr="00161891">
        <w:t xml:space="preserve">musí </w:t>
      </w:r>
      <w:r w:rsidRPr="00161891">
        <w:t>vyřeš</w:t>
      </w:r>
      <w:r w:rsidR="00841AD9" w:rsidRPr="00161891">
        <w:t>it</w:t>
      </w:r>
      <w:r w:rsidRPr="00161891">
        <w:t xml:space="preserve"> majetkové vztahy mezi vyvlastnitelem a vyvlastňovaným</w:t>
      </w:r>
      <w:r w:rsidR="00841AD9" w:rsidRPr="00161891">
        <w:t xml:space="preserve"> dlouhodobě</w:t>
      </w:r>
      <w:r w:rsidRPr="00161891">
        <w:t>, což splňují např. smlouvy kupní či o smlouvy zřízení služebnosti nebo práva stavby, a naopak nesplňují smlouvy o smlouvě budoucí</w:t>
      </w:r>
      <w:r w:rsidR="0030317E" w:rsidRPr="00161891">
        <w:t>;</w:t>
      </w:r>
    </w:p>
    <w:p w:rsidR="00FF1FB5" w:rsidRPr="00161891" w:rsidRDefault="000865D6">
      <w:pPr>
        <w:pStyle w:val="Normln-tun"/>
        <w:numPr>
          <w:ilvl w:val="0"/>
          <w:numId w:val="81"/>
        </w:numPr>
      </w:pPr>
      <w:r w:rsidRPr="00161891">
        <w:t>že smlouva musí založ</w:t>
      </w:r>
      <w:r w:rsidRPr="00161891">
        <w:t xml:space="preserve">it vyvlastňovanému právo na vrácení práv, nezahájí-li vyvlastnitel realizaci záměru do </w:t>
      </w:r>
      <w:r w:rsidR="00161891">
        <w:t>2</w:t>
      </w:r>
      <w:r w:rsidRPr="00161891">
        <w:t xml:space="preserve"> let od uzavření smlouvy</w:t>
      </w:r>
      <w:r w:rsidR="00FB6467" w:rsidRPr="00161891">
        <w:t xml:space="preserve"> (přičemž j</w:t>
      </w:r>
      <w:r w:rsidRPr="00161891">
        <w:t xml:space="preserve">iž </w:t>
      </w:r>
      <w:r w:rsidR="00FB6467" w:rsidRPr="00161891">
        <w:t>dle</w:t>
      </w:r>
      <w:r w:rsidRPr="00161891">
        <w:t xml:space="preserve"> současné praxe k tomu, aby vyvlastnitel tomuto následku předešel, nemusí nutně zahájit realizaci záměru na pozemcích či stavbá</w:t>
      </w:r>
      <w:r w:rsidRPr="00161891">
        <w:t>ch vyvlastňovaného</w:t>
      </w:r>
      <w:r w:rsidR="00FB6467" w:rsidRPr="00161891">
        <w:t>, ale b</w:t>
      </w:r>
      <w:r w:rsidRPr="00161891">
        <w:t>ude-li záměr součástí většího celku povoleného jedním úkonem dle stavebního zákona, bude realizace účelu vyvlastnění zahájena provedením jakýchkoliv prací, které stavební úřad povolil a které jsou součástí tohoto záměru</w:t>
      </w:r>
      <w:r w:rsidR="00FB6467" w:rsidRPr="00161891">
        <w:t>;</w:t>
      </w:r>
      <w:r w:rsidRPr="00161891">
        <w:t xml:space="preserve"> </w:t>
      </w:r>
      <w:r w:rsidR="00FB6467" w:rsidRPr="00161891">
        <w:t xml:space="preserve">není třeba </w:t>
      </w:r>
      <w:r w:rsidRPr="00161891">
        <w:t>na tomto řešení nic měnit</w:t>
      </w:r>
      <w:r w:rsidR="00FB6467" w:rsidRPr="00161891">
        <w:t>)</w:t>
      </w:r>
      <w:r w:rsidR="00161891">
        <w:t>.</w:t>
      </w:r>
    </w:p>
    <w:p w:rsidR="00421EF8" w:rsidRPr="008C248E" w:rsidRDefault="000865D6" w:rsidP="00DF18DD">
      <w:pPr>
        <w:pStyle w:val="Normln-tun"/>
        <w:ind w:left="356"/>
      </w:pPr>
      <w:r w:rsidRPr="008C248E">
        <w:t xml:space="preserve">Metodické pokyny pak mohou obsahovat konkrétně, že </w:t>
      </w:r>
    </w:p>
    <w:p w:rsidR="00E51A2C" w:rsidRPr="008C248E" w:rsidRDefault="000865D6">
      <w:pPr>
        <w:pStyle w:val="Normln-tun"/>
        <w:numPr>
          <w:ilvl w:val="0"/>
          <w:numId w:val="80"/>
        </w:numPr>
      </w:pPr>
      <w:r w:rsidRPr="008C248E">
        <w:t>vyvíjení snahy se neprokáže, pokud:</w:t>
      </w:r>
    </w:p>
    <w:p w:rsidR="00E51A2C" w:rsidRPr="008C248E" w:rsidRDefault="000865D6">
      <w:pPr>
        <w:pStyle w:val="Normln-tun"/>
        <w:numPr>
          <w:ilvl w:val="1"/>
          <w:numId w:val="80"/>
        </w:numPr>
      </w:pPr>
      <w:r w:rsidRPr="008C248E">
        <w:t xml:space="preserve">se </w:t>
      </w:r>
      <w:r w:rsidR="00421EF8" w:rsidRPr="008C248E">
        <w:t xml:space="preserve">vyvlastnitel </w:t>
      </w:r>
      <w:r w:rsidRPr="008C248E">
        <w:t>omezí na odeslání návrhu vyvlastňovanému a poté s ním již dále nejedná, ač má protistrana o jednání zájem,</w:t>
      </w:r>
    </w:p>
    <w:p w:rsidR="00E51A2C" w:rsidRPr="008C248E" w:rsidRDefault="000865D6">
      <w:pPr>
        <w:pStyle w:val="Normln-tun"/>
        <w:numPr>
          <w:ilvl w:val="1"/>
          <w:numId w:val="80"/>
        </w:numPr>
      </w:pPr>
      <w:r w:rsidRPr="008C248E">
        <w:t>vyvlastnitel ner</w:t>
      </w:r>
      <w:r w:rsidRPr="008C248E">
        <w:t>eaguje na alternativní požadavky vyvlastňovaného, např. požadavek vyšší kupní ceny, nebo reaguje jen zástupnými důvody,</w:t>
      </w:r>
    </w:p>
    <w:p w:rsidR="00421EF8" w:rsidRPr="008C248E" w:rsidRDefault="000865D6">
      <w:pPr>
        <w:pStyle w:val="Normln-tun"/>
        <w:numPr>
          <w:ilvl w:val="1"/>
          <w:numId w:val="80"/>
        </w:numPr>
      </w:pPr>
      <w:r w:rsidRPr="008C248E">
        <w:t xml:space="preserve">vyvlastnitel </w:t>
      </w:r>
      <w:r w:rsidR="00E51A2C" w:rsidRPr="008C248E">
        <w:t>odmítne návrh vyvlastňovaného na směnu nemovitostí, ač vhodnými nemovitostmi disponuje a neexistuje důvod, aby je nesměnil</w:t>
      </w:r>
    </w:p>
    <w:p w:rsidR="00421EF8" w:rsidRPr="008C248E" w:rsidRDefault="000865D6">
      <w:pPr>
        <w:pStyle w:val="Normln-tun"/>
        <w:numPr>
          <w:ilvl w:val="1"/>
          <w:numId w:val="80"/>
        </w:numPr>
      </w:pPr>
      <w:r w:rsidRPr="008C248E">
        <w:t xml:space="preserve">příp. další </w:t>
      </w:r>
      <w:r w:rsidR="00F21B89" w:rsidRPr="008C248E">
        <w:t>požadavky na obsah jednání</w:t>
      </w:r>
      <w:r w:rsidRPr="008C248E">
        <w:t>.</w:t>
      </w:r>
    </w:p>
    <w:p w:rsidR="00421EF8" w:rsidRPr="008C248E" w:rsidRDefault="000865D6">
      <w:pPr>
        <w:pStyle w:val="Normln-tun"/>
        <w:numPr>
          <w:ilvl w:val="0"/>
          <w:numId w:val="80"/>
        </w:numPr>
      </w:pPr>
      <w:r>
        <w:t>jestliže</w:t>
      </w:r>
      <w:r w:rsidR="00F21B89" w:rsidRPr="008C248E">
        <w:t xml:space="preserve"> vyvlastňovaný jasně </w:t>
      </w:r>
      <w:r w:rsidR="00155608" w:rsidRPr="008C248E">
        <w:t>sdělí</w:t>
      </w:r>
      <w:r w:rsidR="00F21B89" w:rsidRPr="008C248E">
        <w:t xml:space="preserve">, že nemá zájem přistoupit na žádné nabízené řešení a uzavřít s vyvlastnitelem dohodu, </w:t>
      </w:r>
      <w:r w:rsidRPr="008C248E">
        <w:t xml:space="preserve">nemusí </w:t>
      </w:r>
      <w:r w:rsidR="00F21B89" w:rsidRPr="008C248E">
        <w:t>vyvlastnitel zbytečn</w:t>
      </w:r>
      <w:r w:rsidRPr="008C248E">
        <w:t>ě</w:t>
      </w:r>
      <w:r w:rsidR="00F21B89" w:rsidRPr="008C248E">
        <w:t xml:space="preserve"> vynaklád</w:t>
      </w:r>
      <w:r w:rsidRPr="008C248E">
        <w:t>at další</w:t>
      </w:r>
      <w:r w:rsidR="00F21B89" w:rsidRPr="008C248E">
        <w:t xml:space="preserve"> prostředk</w:t>
      </w:r>
      <w:r w:rsidRPr="008C248E">
        <w:t>y</w:t>
      </w:r>
      <w:r w:rsidR="00F21B89" w:rsidRPr="008C248E">
        <w:t xml:space="preserve"> na jednání s</w:t>
      </w:r>
      <w:r w:rsidR="007A110B" w:rsidRPr="008C248E">
        <w:t> </w:t>
      </w:r>
      <w:r w:rsidR="00F21B89" w:rsidRPr="008C248E">
        <w:t>vyvlastňovaným</w:t>
      </w:r>
      <w:r w:rsidR="007A110B" w:rsidRPr="008C248E">
        <w:t xml:space="preserve"> atp.</w:t>
      </w:r>
    </w:p>
    <w:p w:rsidR="00334FB2" w:rsidRPr="008C248E" w:rsidRDefault="000865D6" w:rsidP="009B7C7D">
      <w:pPr>
        <w:pStyle w:val="Normln-tun"/>
        <w:rPr>
          <w:rFonts w:eastAsia="Times New Roman"/>
        </w:rPr>
      </w:pPr>
      <w:r w:rsidRPr="008C248E">
        <w:t xml:space="preserve">Nová </w:t>
      </w:r>
      <w:r w:rsidRPr="008C248E">
        <w:t xml:space="preserve">právní úprava </w:t>
      </w:r>
      <w:r w:rsidR="003C3369" w:rsidRPr="008C248E">
        <w:t xml:space="preserve">stejně jako ta stávající </w:t>
      </w:r>
      <w:r w:rsidRPr="008C248E">
        <w:t>musí stanovit, v jakých výjimečných případech nebude nutné, aby vyvlastnitel ke své žádosti o zahájení vyvlastňovacího řízení přikládal informaci o neúspěšném jednání s</w:t>
      </w:r>
      <w:r w:rsidR="003C3369" w:rsidRPr="008C248E">
        <w:t> </w:t>
      </w:r>
      <w:r w:rsidRPr="008C248E">
        <w:t>vyvlastňovaným</w:t>
      </w:r>
      <w:r w:rsidR="003C3369" w:rsidRPr="008C248E">
        <w:t>, a to pokud vyvlastňovaný</w:t>
      </w:r>
      <w:r w:rsidR="009B7C7D" w:rsidRPr="008C248E">
        <w:t xml:space="preserve"> </w:t>
      </w:r>
      <w:r w:rsidRPr="008C248E">
        <w:rPr>
          <w:rFonts w:eastAsia="Times New Roman"/>
        </w:rPr>
        <w:t>není zn</w:t>
      </w:r>
      <w:r w:rsidRPr="008C248E">
        <w:rPr>
          <w:rFonts w:eastAsia="Times New Roman"/>
        </w:rPr>
        <w:t>ám;</w:t>
      </w:r>
      <w:r w:rsidR="009B7C7D" w:rsidRPr="008C248E">
        <w:rPr>
          <w:rFonts w:eastAsia="Times New Roman"/>
        </w:rPr>
        <w:t xml:space="preserve"> </w:t>
      </w:r>
      <w:r w:rsidRPr="008C248E">
        <w:rPr>
          <w:rFonts w:eastAsia="Times New Roman"/>
        </w:rPr>
        <w:t>není znám jeho pobyt;</w:t>
      </w:r>
      <w:r w:rsidR="009B7C7D" w:rsidRPr="008C248E">
        <w:rPr>
          <w:rFonts w:eastAsia="Times New Roman"/>
        </w:rPr>
        <w:t xml:space="preserve"> </w:t>
      </w:r>
      <w:r w:rsidRPr="008C248E">
        <w:rPr>
          <w:rFonts w:eastAsia="Times New Roman"/>
        </w:rPr>
        <w:t>nepodařilo se mu doručit na adresu</w:t>
      </w:r>
      <w:r w:rsidR="009B7C7D" w:rsidRPr="008C248E">
        <w:rPr>
          <w:rFonts w:eastAsia="Times New Roman"/>
        </w:rPr>
        <w:t xml:space="preserve"> </w:t>
      </w:r>
      <w:r w:rsidR="008C248E" w:rsidRPr="008C248E">
        <w:rPr>
          <w:rFonts w:eastAsia="Times New Roman"/>
        </w:rPr>
        <w:t xml:space="preserve">trvalého bydliště nebo sídla </w:t>
      </w:r>
      <w:r w:rsidR="009B7C7D" w:rsidRPr="008C248E">
        <w:rPr>
          <w:rFonts w:eastAsia="Times New Roman"/>
        </w:rPr>
        <w:t xml:space="preserve">či je </w:t>
      </w:r>
      <w:r w:rsidRPr="008C248E">
        <w:rPr>
          <w:rFonts w:eastAsia="Times New Roman"/>
        </w:rPr>
        <w:t xml:space="preserve">omezen ve smluvní volnosti </w:t>
      </w:r>
      <w:r w:rsidR="009B7C7D" w:rsidRPr="008C248E">
        <w:rPr>
          <w:rFonts w:eastAsia="Times New Roman"/>
        </w:rPr>
        <w:t xml:space="preserve">(pokud nemá </w:t>
      </w:r>
      <w:r w:rsidRPr="008C248E">
        <w:rPr>
          <w:rFonts w:eastAsia="Times New Roman"/>
        </w:rPr>
        <w:t>vyvlastňovaný ustanoveného nebo zákonného zástupce, s nímž může vyvlastnitel jednat o dohodě</w:t>
      </w:r>
      <w:r w:rsidR="009B7C7D" w:rsidRPr="008C248E">
        <w:rPr>
          <w:rFonts w:eastAsia="Times New Roman"/>
        </w:rPr>
        <w:t>)</w:t>
      </w:r>
      <w:r w:rsidRPr="008C248E">
        <w:rPr>
          <w:rFonts w:eastAsia="Times New Roman"/>
        </w:rPr>
        <w:t>.</w:t>
      </w:r>
    </w:p>
    <w:p w:rsidR="0084060B" w:rsidRDefault="000865D6" w:rsidP="0084060B">
      <w:pPr>
        <w:pStyle w:val="Normln-tun"/>
      </w:pPr>
      <w:r w:rsidRPr="00795817">
        <w:lastRenderedPageBreak/>
        <w:t xml:space="preserve">V rámci pokynů doporučujeme návodně a z pohledu vyvlastňovaného přívětivě zformulovat upozornění, že nedojde-li k uzavření smlouvy, je možné ve veřejném zájmu získat tato práva vyvlastněním.   </w:t>
      </w:r>
    </w:p>
    <w:p w:rsidR="00334FB2" w:rsidRPr="00795817" w:rsidRDefault="00334FB2" w:rsidP="00701048">
      <w:pPr>
        <w:pStyle w:val="Normln-tun"/>
      </w:pPr>
    </w:p>
    <w:p w:rsidR="009F2760" w:rsidRPr="00977A5E" w:rsidRDefault="000865D6" w:rsidP="009F2760">
      <w:pPr>
        <w:pStyle w:val="Nadpis2a"/>
        <w:rPr>
          <w:b w:val="0"/>
          <w:bCs w:val="0"/>
          <w:smallCaps w:val="0"/>
        </w:rPr>
      </w:pPr>
      <w:bookmarkStart w:id="128" w:name="_Toc256000015"/>
      <w:r w:rsidRPr="00977A5E">
        <w:t>Doručování</w:t>
      </w:r>
      <w:r w:rsidR="00370A95" w:rsidRPr="00977A5E">
        <w:t xml:space="preserve"> </w:t>
      </w:r>
      <w:r w:rsidR="00125DE7" w:rsidRPr="00977A5E">
        <w:t xml:space="preserve">návrhu </w:t>
      </w:r>
      <w:r w:rsidR="00370A95" w:rsidRPr="00977A5E">
        <w:t>smlouvy</w:t>
      </w:r>
      <w:bookmarkEnd w:id="128"/>
    </w:p>
    <w:p w:rsidR="009F2760" w:rsidRPr="00977A5E" w:rsidRDefault="000865D6" w:rsidP="009F2760">
      <w:pPr>
        <w:pStyle w:val="Text-Normaln"/>
        <w:widowControl w:val="0"/>
        <w:rPr>
          <w:b/>
          <w:bCs/>
        </w:rPr>
      </w:pPr>
      <w:r w:rsidRPr="00977A5E">
        <w:rPr>
          <w:b/>
          <w:bCs/>
        </w:rPr>
        <w:t>Popis současného stavu:</w:t>
      </w:r>
    </w:p>
    <w:p w:rsidR="002549BC" w:rsidRPr="00977A5E" w:rsidRDefault="000865D6" w:rsidP="004167D1">
      <w:pPr>
        <w:pStyle w:val="Normln-tun"/>
      </w:pPr>
      <w:r w:rsidRPr="00795817">
        <w:t>Vyvlastňova</w:t>
      </w:r>
      <w:r w:rsidRPr="00795817">
        <w:t>cí proces je možné zahájit až v krajním případě, pokud se nepodaří dosáhnout dohody s vlastníkem o získání práv k pozemku nebo stavbě.</w:t>
      </w:r>
      <w:r w:rsidR="00AD0851">
        <w:t xml:space="preserve"> </w:t>
      </w:r>
      <w:r w:rsidR="00F06D6E" w:rsidRPr="00F06D6E">
        <w:t xml:space="preserve">Prvním krokem v procesu uzavírání smlouvy </w:t>
      </w:r>
      <w:r w:rsidR="00161547">
        <w:t>je</w:t>
      </w:r>
      <w:r w:rsidR="00F06D6E" w:rsidRPr="00F06D6E">
        <w:t xml:space="preserve"> návrh, který vyvlastnitel zašle vyvlastňovanému a jímž navrhne uzavření </w:t>
      </w:r>
      <w:r w:rsidR="00F06D6E" w:rsidRPr="00977A5E">
        <w:t xml:space="preserve">smlouvy. </w:t>
      </w:r>
      <w:r w:rsidR="008F1450" w:rsidRPr="00977A5E">
        <w:t xml:space="preserve">Vyvlastnitel je </w:t>
      </w:r>
      <w:r w:rsidR="00044035" w:rsidRPr="00977A5E">
        <w:t xml:space="preserve">v tomto směru </w:t>
      </w:r>
      <w:r w:rsidR="008F1450" w:rsidRPr="00977A5E">
        <w:t xml:space="preserve">odpovědný za prokazatelné odeslání návrhu vyvlastňovanému. Návrh smlouvy </w:t>
      </w:r>
      <w:r w:rsidR="00044035" w:rsidRPr="00977A5E">
        <w:t xml:space="preserve">se </w:t>
      </w:r>
      <w:r w:rsidR="0094200D" w:rsidRPr="00977A5E">
        <w:t xml:space="preserve">pak </w:t>
      </w:r>
      <w:r w:rsidR="00044035" w:rsidRPr="00977A5E">
        <w:t xml:space="preserve">musí k vyvlastňovanému dostat, neboť </w:t>
      </w:r>
      <w:r w:rsidR="008F1450" w:rsidRPr="00977A5E">
        <w:t>je</w:t>
      </w:r>
      <w:r w:rsidR="00125DE7" w:rsidRPr="00977A5E">
        <w:t>n</w:t>
      </w:r>
      <w:r w:rsidR="008F1450" w:rsidRPr="00977A5E">
        <w:t xml:space="preserve"> </w:t>
      </w:r>
      <w:r w:rsidR="00125DE7" w:rsidRPr="00977A5E">
        <w:t xml:space="preserve">tak </w:t>
      </w:r>
      <w:r w:rsidR="008F1450" w:rsidRPr="00977A5E">
        <w:t>vyvlastňovanému dána možnost se s obsahem návrhu</w:t>
      </w:r>
      <w:r w:rsidR="00044035" w:rsidRPr="00977A5E">
        <w:t xml:space="preserve"> seznámit</w:t>
      </w:r>
      <w:r w:rsidR="008F1450" w:rsidRPr="00977A5E">
        <w:t>.</w:t>
      </w:r>
      <w:r w:rsidR="0094200D" w:rsidRPr="00977A5E">
        <w:t xml:space="preserve"> Z p</w:t>
      </w:r>
      <w:r w:rsidR="008F1450" w:rsidRPr="00977A5E">
        <w:t>ovinnost</w:t>
      </w:r>
      <w:r w:rsidR="0094200D" w:rsidRPr="00977A5E">
        <w:t>i</w:t>
      </w:r>
      <w:r w:rsidR="008F1450" w:rsidRPr="00977A5E">
        <w:t xml:space="preserve"> prokazatelného </w:t>
      </w:r>
      <w:r w:rsidR="0094200D" w:rsidRPr="00977A5E">
        <w:t xml:space="preserve">odeslání, resp. </w:t>
      </w:r>
      <w:r w:rsidR="008F1450" w:rsidRPr="00977A5E">
        <w:t>doručení</w:t>
      </w:r>
      <w:r w:rsidR="0094200D" w:rsidRPr="00977A5E">
        <w:t>,</w:t>
      </w:r>
      <w:r w:rsidR="008F1450" w:rsidRPr="00977A5E">
        <w:t xml:space="preserve"> návrhu </w:t>
      </w:r>
      <w:r w:rsidR="0094200D" w:rsidRPr="00977A5E">
        <w:t>plyne</w:t>
      </w:r>
      <w:r w:rsidR="008F1450" w:rsidRPr="00977A5E">
        <w:t xml:space="preserve">, že nejčastěji </w:t>
      </w:r>
      <w:r w:rsidRPr="00977A5E">
        <w:t>j</w:t>
      </w:r>
      <w:r w:rsidR="008F1450" w:rsidRPr="00977A5E">
        <w:t>e využíváno doručování prostřednictvím provozovatele poštovních služeb do vlastních rukou</w:t>
      </w:r>
      <w:r w:rsidRPr="00977A5E">
        <w:t xml:space="preserve">. </w:t>
      </w:r>
      <w:r w:rsidR="008F1450" w:rsidRPr="00977A5E">
        <w:t xml:space="preserve"> </w:t>
      </w:r>
    </w:p>
    <w:p w:rsidR="004167D1" w:rsidRPr="00977A5E" w:rsidRDefault="000865D6" w:rsidP="004167D1">
      <w:pPr>
        <w:pStyle w:val="Normln-tun"/>
        <w:rPr>
          <w:rFonts w:cstheme="minorHAnsi"/>
        </w:rPr>
      </w:pPr>
      <w:r w:rsidRPr="00977A5E">
        <w:rPr>
          <w:rFonts w:cstheme="minorHAnsi"/>
        </w:rPr>
        <w:t xml:space="preserve">Možnosti vyvlastnitele zjišťovat údaje potřebné pro komunikaci s vyvlastňovaným jsou omezené. Jelikož není </w:t>
      </w:r>
      <w:r w:rsidRPr="00977A5E">
        <w:rPr>
          <w:rFonts w:cstheme="minorHAnsi"/>
        </w:rPr>
        <w:t>vyvlastňovacím úřadem, nemá oprávnění využívat údaje ze základního registru obyvatel, z informačního systému evidence obyvatel ani z informačního systému cizinců. Protože povinnými údaji zapisovanými do katastru nemovitostí, který je veřejným seznamem, jso</w:t>
      </w:r>
      <w:r w:rsidRPr="00977A5E">
        <w:rPr>
          <w:rFonts w:cstheme="minorHAnsi"/>
        </w:rPr>
        <w:t>u u fyzické osoby adresa místa trvalého pobytu, a nemá-li ji, adresa bydliště, u právnické osoby se zapisuje sídlo, pracují vyvlastnitelé s těmito údaji.</w:t>
      </w:r>
      <w:r w:rsidR="008F1450" w:rsidRPr="00977A5E">
        <w:t xml:space="preserve"> </w:t>
      </w:r>
    </w:p>
    <w:p w:rsidR="002549BC" w:rsidRPr="00977A5E" w:rsidRDefault="000865D6" w:rsidP="004167D1">
      <w:pPr>
        <w:pStyle w:val="Normln-tun"/>
        <w:rPr>
          <w:rFonts w:cstheme="minorHAnsi"/>
        </w:rPr>
      </w:pPr>
      <w:r w:rsidRPr="00977A5E">
        <w:t>S ohledem na rozvoj elektronické komunikace existuje i možnost zaslání do datové schránky, mají-li ji</w:t>
      </w:r>
      <w:r w:rsidRPr="00977A5E">
        <w:t xml:space="preserve"> vyvlastňovaný a vyvlastnitel zřízenou.</w:t>
      </w:r>
    </w:p>
    <w:p w:rsidR="008F1450" w:rsidRPr="00977A5E" w:rsidRDefault="000865D6" w:rsidP="008F1450">
      <w:pPr>
        <w:pStyle w:val="Normln-tun"/>
        <w:rPr>
          <w:sz w:val="22"/>
        </w:rPr>
      </w:pPr>
      <w:r w:rsidRPr="00977A5E">
        <w:t>Doručování do zahraničí je komplikovanější. Provozovatelé poštovních služeb v</w:t>
      </w:r>
      <w:r w:rsidR="000202BA" w:rsidRPr="00977A5E">
        <w:t> </w:t>
      </w:r>
      <w:r w:rsidRPr="00977A5E">
        <w:t>zahraničí</w:t>
      </w:r>
      <w:r w:rsidR="000202BA" w:rsidRPr="00977A5E">
        <w:t xml:space="preserve"> </w:t>
      </w:r>
      <w:r w:rsidR="00125DE7" w:rsidRPr="00977A5E">
        <w:t>totiž</w:t>
      </w:r>
      <w:r w:rsidRPr="00977A5E">
        <w:t xml:space="preserve"> nemusí být vždy schopni písemnosti určené do vlastních rukou doručit. Nicméně v souladu s principem ochrany zájmů vyvlastň</w:t>
      </w:r>
      <w:r w:rsidRPr="00977A5E">
        <w:t>ovaného a zejména s ohledem na důsledky vyvlastňovacího řízení (v kontextu čl. 11 Listiny základních práv a svobod) by se měl vyvlastnitel o doručení návrhu vždy pokusit a toto úřadu doložit. Tam, kde není možné prostřednictvím provozovatele poštovních slu</w:t>
      </w:r>
      <w:r w:rsidRPr="00977A5E">
        <w:t xml:space="preserve">žeb prokázat doručení do vlastních rukou, uplatní </w:t>
      </w:r>
      <w:r w:rsidR="000202BA" w:rsidRPr="00977A5E">
        <w:t xml:space="preserve">se v případě cizího státu pravidlo, </w:t>
      </w:r>
      <w:r w:rsidRPr="00977A5E">
        <w:t xml:space="preserve">že zásilka došla třicátý den po odeslání. </w:t>
      </w:r>
    </w:p>
    <w:p w:rsidR="009F2760" w:rsidRPr="00754514" w:rsidRDefault="000865D6" w:rsidP="009F2760">
      <w:pPr>
        <w:pStyle w:val="Text-Normaln"/>
        <w:widowControl w:val="0"/>
        <w:rPr>
          <w:b/>
          <w:bCs/>
        </w:rPr>
      </w:pPr>
      <w:r w:rsidRPr="00754514">
        <w:rPr>
          <w:b/>
          <w:bCs/>
        </w:rPr>
        <w:t xml:space="preserve">Definice problému: </w:t>
      </w:r>
    </w:p>
    <w:p w:rsidR="009F2760" w:rsidRPr="00754514" w:rsidRDefault="000865D6" w:rsidP="00754514">
      <w:pPr>
        <w:pStyle w:val="Text-Normaln"/>
        <w:widowControl w:val="0"/>
      </w:pPr>
      <w:r w:rsidRPr="00754514">
        <w:t>Administrativní zátěž spojená s</w:t>
      </w:r>
      <w:r w:rsidR="00754514" w:rsidRPr="00754514">
        <w:t> </w:t>
      </w:r>
      <w:r w:rsidRPr="00754514">
        <w:t>doručováním</w:t>
      </w:r>
      <w:r w:rsidR="00754514" w:rsidRPr="00754514">
        <w:t>, časové průtahy,</w:t>
      </w:r>
      <w:r w:rsidRPr="00754514">
        <w:t xml:space="preserve"> </w:t>
      </w:r>
      <w:r w:rsidR="00754514" w:rsidRPr="00754514">
        <w:t>p</w:t>
      </w:r>
      <w:r w:rsidRPr="00754514">
        <w:t>roblém</w:t>
      </w:r>
      <w:r w:rsidR="00754514" w:rsidRPr="00754514">
        <w:t>y</w:t>
      </w:r>
      <w:r w:rsidRPr="00754514">
        <w:t xml:space="preserve"> doručování do zahraničí</w:t>
      </w:r>
    </w:p>
    <w:p w:rsidR="009F2760" w:rsidRPr="00754514" w:rsidRDefault="000865D6" w:rsidP="009F2760">
      <w:pPr>
        <w:pStyle w:val="Text-Normaln"/>
        <w:widowControl w:val="0"/>
        <w:rPr>
          <w:rFonts w:cs="Arial"/>
          <w:szCs w:val="24"/>
        </w:rPr>
      </w:pPr>
      <w:r w:rsidRPr="00754514">
        <w:rPr>
          <w:b/>
        </w:rPr>
        <w:t>Cíl:</w:t>
      </w:r>
      <w:r w:rsidRPr="00754514">
        <w:t xml:space="preserve"> </w:t>
      </w:r>
      <w:r w:rsidRPr="00754514">
        <w:rPr>
          <w:rFonts w:cs="Arial"/>
          <w:szCs w:val="24"/>
        </w:rPr>
        <w:t>Zefektivnění procesu získávání potřebných vlastnických práv vyvlastnitelem, příp. jejich omezení; zvýšení právní jistoty</w:t>
      </w:r>
    </w:p>
    <w:p w:rsidR="009F2760" w:rsidRPr="00775C54" w:rsidRDefault="000865D6" w:rsidP="009F2760">
      <w:pPr>
        <w:pStyle w:val="Text-Normaln"/>
        <w:widowControl w:val="0"/>
        <w:rPr>
          <w:b/>
        </w:rPr>
      </w:pPr>
      <w:r w:rsidRPr="00775C54">
        <w:rPr>
          <w:b/>
        </w:rPr>
        <w:t>Návrh variant řešení:</w:t>
      </w:r>
    </w:p>
    <w:p w:rsidR="009F2760" w:rsidRPr="00775C54" w:rsidRDefault="000865D6" w:rsidP="009F2760">
      <w:pPr>
        <w:pStyle w:val="Text-Normaln"/>
        <w:widowControl w:val="0"/>
        <w:rPr>
          <w:i/>
        </w:rPr>
      </w:pPr>
      <w:r w:rsidRPr="00775C54">
        <w:rPr>
          <w:b/>
          <w:i/>
        </w:rPr>
        <w:t>Varianta 0:</w:t>
      </w:r>
      <w:r w:rsidRPr="00775C54">
        <w:rPr>
          <w:i/>
        </w:rPr>
        <w:t xml:space="preserve"> Zachování současného stavu</w:t>
      </w:r>
    </w:p>
    <w:p w:rsidR="00EF1A88" w:rsidRPr="00775C54" w:rsidRDefault="000865D6" w:rsidP="009F2760">
      <w:pPr>
        <w:pStyle w:val="Text-Normaln"/>
        <w:widowControl w:val="0"/>
        <w:rPr>
          <w:i/>
        </w:rPr>
      </w:pPr>
      <w:r w:rsidRPr="00775C54">
        <w:rPr>
          <w:b/>
          <w:i/>
        </w:rPr>
        <w:t>Varianta 1:</w:t>
      </w:r>
      <w:r w:rsidRPr="00775C54">
        <w:rPr>
          <w:i/>
        </w:rPr>
        <w:t xml:space="preserve"> </w:t>
      </w:r>
      <w:r w:rsidR="00775C54" w:rsidRPr="00775C54">
        <w:rPr>
          <w:i/>
        </w:rPr>
        <w:t>Zpřesnění, na jakou adresu se má doručovat</w:t>
      </w:r>
    </w:p>
    <w:p w:rsidR="009F2760" w:rsidRPr="00775C54" w:rsidRDefault="000865D6" w:rsidP="009F2760">
      <w:pPr>
        <w:pStyle w:val="Text-Normaln"/>
        <w:widowControl w:val="0"/>
        <w:rPr>
          <w:i/>
        </w:rPr>
      </w:pPr>
      <w:r w:rsidRPr="00775C54">
        <w:rPr>
          <w:b/>
          <w:bCs/>
          <w:i/>
        </w:rPr>
        <w:t>Varianta 2:</w:t>
      </w:r>
      <w:r w:rsidRPr="00775C54">
        <w:rPr>
          <w:i/>
        </w:rPr>
        <w:t xml:space="preserve"> Preference datových schránek </w:t>
      </w:r>
    </w:p>
    <w:p w:rsidR="00FC2B13" w:rsidRDefault="000865D6">
      <w:pPr>
        <w:spacing w:before="0" w:after="0"/>
        <w:jc w:val="left"/>
        <w:rPr>
          <w:rFonts w:ascii="Cambria" w:hAnsi="Cambria"/>
          <w:b/>
          <w:szCs w:val="24"/>
        </w:rPr>
      </w:pPr>
      <w:r>
        <w:rPr>
          <w:b/>
          <w:szCs w:val="24"/>
        </w:rPr>
        <w:br w:type="page"/>
      </w:r>
    </w:p>
    <w:p w:rsidR="009F2760" w:rsidRPr="00775C54" w:rsidRDefault="000865D6" w:rsidP="009F2760">
      <w:pPr>
        <w:pStyle w:val="Text-Normaln"/>
        <w:widowControl w:val="0"/>
        <w:rPr>
          <w:b/>
          <w:szCs w:val="24"/>
        </w:rPr>
      </w:pPr>
      <w:r w:rsidRPr="00775C54">
        <w:rPr>
          <w:b/>
          <w:szCs w:val="24"/>
        </w:rPr>
        <w:lastRenderedPageBreak/>
        <w:t>Identifikace a kvantifikace nákladů a přínosů</w:t>
      </w:r>
    </w:p>
    <w:p w:rsidR="009F2760" w:rsidRPr="009F2760" w:rsidRDefault="000865D6" w:rsidP="009F2760">
      <w:pPr>
        <w:pStyle w:val="Titulek"/>
        <w:rPr>
          <w:highlight w:val="yellow"/>
        </w:rPr>
      </w:pPr>
      <w:r w:rsidRPr="00775C54">
        <w:t xml:space="preserve">Tabulka </w:t>
      </w:r>
      <w:r w:rsidRPr="00775C54">
        <w:rPr>
          <w:noProof/>
        </w:rPr>
        <w:fldChar w:fldCharType="begin"/>
      </w:r>
      <w:r w:rsidRPr="00775C54">
        <w:rPr>
          <w:noProof/>
        </w:rPr>
        <w:instrText xml:space="preserve"> SEQ Tabulka \* ARABIC </w:instrText>
      </w:r>
      <w:r w:rsidRPr="00775C54">
        <w:rPr>
          <w:noProof/>
        </w:rPr>
        <w:fldChar w:fldCharType="separate"/>
      </w:r>
      <w:r w:rsidRPr="00775C54">
        <w:rPr>
          <w:noProof/>
        </w:rPr>
        <w:t>19</w:t>
      </w:r>
      <w:r w:rsidRPr="00775C54">
        <w:rPr>
          <w:noProof/>
        </w:rPr>
        <w:fldChar w:fldCharType="end"/>
      </w:r>
      <w:r w:rsidRPr="00775C54">
        <w:t xml:space="preserve">: Identifikace nákladů a přínosů: </w:t>
      </w:r>
    </w:p>
    <w:tbl>
      <w:tblPr>
        <w:tblStyle w:val="Tabulkaseznamu21"/>
        <w:tblW w:w="9072" w:type="dxa"/>
        <w:tblInd w:w="108" w:type="dxa"/>
        <w:tblLook w:val="04A0" w:firstRow="1" w:lastRow="0" w:firstColumn="1" w:lastColumn="0" w:noHBand="0" w:noVBand="1"/>
      </w:tblPr>
      <w:tblGrid>
        <w:gridCol w:w="1985"/>
        <w:gridCol w:w="7087"/>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9F2760" w:rsidRPr="00775C54" w:rsidRDefault="000865D6" w:rsidP="007320A7">
            <w:pPr>
              <w:widowControl w:val="0"/>
              <w:tabs>
                <w:tab w:val="left" w:pos="142"/>
              </w:tabs>
              <w:spacing w:before="60" w:after="60"/>
              <w:rPr>
                <w:rFonts w:asciiTheme="minorHAnsi" w:hAnsiTheme="minorHAnsi" w:cstheme="minorHAnsi"/>
                <w:spacing w:val="-4"/>
                <w:sz w:val="20"/>
                <w:szCs w:val="20"/>
              </w:rPr>
            </w:pPr>
            <w:r w:rsidRPr="00775C54">
              <w:rPr>
                <w:rFonts w:asciiTheme="minorHAnsi" w:hAnsiTheme="minorHAnsi" w:cstheme="minorHAnsi"/>
                <w:spacing w:val="-4"/>
                <w:sz w:val="20"/>
                <w:szCs w:val="20"/>
              </w:rPr>
              <w:t>Dotčená strana</w:t>
            </w:r>
          </w:p>
        </w:tc>
        <w:tc>
          <w:tcPr>
            <w:tcW w:w="7087" w:type="dxa"/>
            <w:vAlign w:val="center"/>
          </w:tcPr>
          <w:p w:rsidR="009F2760" w:rsidRPr="00775C54" w:rsidRDefault="000865D6" w:rsidP="007320A7">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75C54">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9F2760" w:rsidRPr="00775C54" w:rsidRDefault="000865D6" w:rsidP="007320A7">
            <w:pPr>
              <w:widowControl w:val="0"/>
              <w:tabs>
                <w:tab w:val="left" w:pos="142"/>
              </w:tabs>
              <w:spacing w:before="60" w:after="60"/>
              <w:jc w:val="left"/>
              <w:rPr>
                <w:rFonts w:asciiTheme="minorHAnsi" w:hAnsiTheme="minorHAnsi" w:cstheme="minorHAnsi"/>
                <w:spacing w:val="-4"/>
                <w:sz w:val="20"/>
                <w:szCs w:val="20"/>
              </w:rPr>
            </w:pPr>
            <w:r w:rsidRPr="00775C54">
              <w:rPr>
                <w:rFonts w:asciiTheme="minorHAnsi" w:hAnsiTheme="minorHAnsi" w:cstheme="minorHAnsi"/>
                <w:spacing w:val="-4"/>
                <w:sz w:val="20"/>
                <w:szCs w:val="20"/>
              </w:rPr>
              <w:t>Vyvlastnitelé</w:t>
            </w:r>
          </w:p>
        </w:tc>
        <w:tc>
          <w:tcPr>
            <w:tcW w:w="7087" w:type="dxa"/>
            <w:vAlign w:val="center"/>
          </w:tcPr>
          <w:p w:rsidR="009F2760" w:rsidRPr="00775C54" w:rsidRDefault="000865D6" w:rsidP="007320A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75C54">
              <w:rPr>
                <w:rFonts w:asciiTheme="minorHAnsi" w:hAnsiTheme="minorHAnsi" w:cstheme="minorHAnsi"/>
                <w:i/>
                <w:sz w:val="20"/>
                <w:szCs w:val="20"/>
              </w:rPr>
              <w:t xml:space="preserve">Varianta 1 – </w:t>
            </w:r>
            <w:r w:rsidR="00775C54" w:rsidRPr="00775C54">
              <w:rPr>
                <w:rFonts w:asciiTheme="minorHAnsi" w:hAnsiTheme="minorHAnsi" w:cstheme="minorHAnsi"/>
                <w:i/>
                <w:sz w:val="20"/>
                <w:szCs w:val="20"/>
              </w:rPr>
              <w:t>Vyšší právní jistota</w:t>
            </w:r>
          </w:p>
          <w:p w:rsidR="00CF45AF" w:rsidRPr="00775C54" w:rsidRDefault="000865D6" w:rsidP="007320A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75C54">
              <w:rPr>
                <w:rFonts w:asciiTheme="minorHAnsi" w:hAnsiTheme="minorHAnsi" w:cstheme="minorHAnsi"/>
                <w:i/>
                <w:sz w:val="20"/>
                <w:szCs w:val="20"/>
              </w:rPr>
              <w:t>Varianta 2 –</w:t>
            </w:r>
            <w:r w:rsidR="00775C54" w:rsidRPr="00775C54">
              <w:rPr>
                <w:rFonts w:asciiTheme="minorHAnsi" w:hAnsiTheme="minorHAnsi" w:cstheme="minorHAnsi"/>
                <w:i/>
                <w:sz w:val="20"/>
                <w:szCs w:val="20"/>
              </w:rPr>
              <w:t xml:space="preserve"> Vyšší právní jistota, nižší administrativní náklady</w:t>
            </w:r>
          </w:p>
        </w:tc>
      </w:tr>
      <w:tr w:rsidR="00FC72A1" w:rsidTr="00FC72A1">
        <w:tc>
          <w:tcPr>
            <w:cnfStyle w:val="001000000000" w:firstRow="0" w:lastRow="0" w:firstColumn="1" w:lastColumn="0" w:oddVBand="0" w:evenVBand="0" w:oddHBand="0" w:evenHBand="0" w:firstRowFirstColumn="0" w:firstRowLastColumn="0" w:lastRowFirstColumn="0" w:lastRowLastColumn="0"/>
            <w:tcW w:w="1985" w:type="dxa"/>
            <w:vAlign w:val="center"/>
          </w:tcPr>
          <w:p w:rsidR="009F2760" w:rsidRPr="00775C54" w:rsidRDefault="000865D6" w:rsidP="007320A7">
            <w:pPr>
              <w:widowControl w:val="0"/>
              <w:tabs>
                <w:tab w:val="left" w:pos="142"/>
              </w:tabs>
              <w:spacing w:before="60" w:after="60"/>
              <w:jc w:val="left"/>
              <w:rPr>
                <w:rFonts w:asciiTheme="minorHAnsi" w:hAnsiTheme="minorHAnsi" w:cstheme="minorHAnsi"/>
                <w:spacing w:val="-4"/>
                <w:sz w:val="20"/>
                <w:szCs w:val="20"/>
              </w:rPr>
            </w:pPr>
            <w:r w:rsidRPr="00775C54">
              <w:rPr>
                <w:rFonts w:asciiTheme="minorHAnsi" w:hAnsiTheme="minorHAnsi" w:cstheme="minorHAnsi"/>
                <w:spacing w:val="-4"/>
                <w:sz w:val="20"/>
                <w:szCs w:val="20"/>
              </w:rPr>
              <w:t>Vyvlastňovaní</w:t>
            </w:r>
          </w:p>
        </w:tc>
        <w:tc>
          <w:tcPr>
            <w:tcW w:w="7087" w:type="dxa"/>
            <w:vAlign w:val="center"/>
          </w:tcPr>
          <w:p w:rsidR="00CF45AF" w:rsidRPr="00775C54" w:rsidRDefault="000865D6" w:rsidP="00CF45AF">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75C54">
              <w:rPr>
                <w:rFonts w:asciiTheme="minorHAnsi" w:hAnsiTheme="minorHAnsi" w:cstheme="minorHAnsi"/>
                <w:i/>
                <w:sz w:val="20"/>
                <w:szCs w:val="20"/>
              </w:rPr>
              <w:t xml:space="preserve">Varianta 1 – </w:t>
            </w:r>
            <w:r w:rsidR="00775C54" w:rsidRPr="00775C54">
              <w:rPr>
                <w:rFonts w:asciiTheme="minorHAnsi" w:hAnsiTheme="minorHAnsi" w:cstheme="minorHAnsi"/>
                <w:i/>
                <w:sz w:val="20"/>
                <w:szCs w:val="20"/>
              </w:rPr>
              <w:t>Vyšší pravděpodobnost, že se návrh smlouvy nedostane k vyvlastňovanému</w:t>
            </w:r>
          </w:p>
          <w:p w:rsidR="009F2760" w:rsidRPr="00775C54" w:rsidRDefault="000865D6" w:rsidP="00CF45AF">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75C54">
              <w:rPr>
                <w:rFonts w:asciiTheme="minorHAnsi" w:hAnsiTheme="minorHAnsi" w:cstheme="minorHAnsi"/>
                <w:i/>
                <w:sz w:val="20"/>
                <w:szCs w:val="20"/>
              </w:rPr>
              <w:t>Varianta 2 –</w:t>
            </w:r>
            <w:r w:rsidR="00775C54" w:rsidRPr="00775C54">
              <w:rPr>
                <w:rFonts w:asciiTheme="minorHAnsi" w:hAnsiTheme="minorHAnsi" w:cstheme="minorHAnsi"/>
                <w:i/>
                <w:sz w:val="20"/>
                <w:szCs w:val="20"/>
              </w:rPr>
              <w:t xml:space="preserve"> Vyšší pravděpodobnost, že se návrh smlouvy nedostane k vyvlastňovanému</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9F2760" w:rsidRPr="00775C54" w:rsidRDefault="000865D6" w:rsidP="007320A7">
            <w:pPr>
              <w:widowControl w:val="0"/>
              <w:tabs>
                <w:tab w:val="left" w:pos="142"/>
              </w:tabs>
              <w:spacing w:before="60" w:after="60"/>
              <w:jc w:val="left"/>
              <w:rPr>
                <w:rFonts w:asciiTheme="minorHAnsi" w:hAnsiTheme="minorHAnsi" w:cstheme="minorHAnsi"/>
                <w:spacing w:val="-4"/>
                <w:sz w:val="20"/>
                <w:szCs w:val="20"/>
              </w:rPr>
            </w:pPr>
            <w:r w:rsidRPr="00775C54">
              <w:rPr>
                <w:rFonts w:asciiTheme="minorHAnsi" w:hAnsiTheme="minorHAnsi" w:cstheme="minorHAnsi"/>
                <w:spacing w:val="-4"/>
                <w:sz w:val="20"/>
                <w:szCs w:val="20"/>
              </w:rPr>
              <w:t>Vyvlastňovací úřady</w:t>
            </w:r>
          </w:p>
        </w:tc>
        <w:tc>
          <w:tcPr>
            <w:tcW w:w="7087" w:type="dxa"/>
            <w:vAlign w:val="center"/>
          </w:tcPr>
          <w:p w:rsidR="00775C54" w:rsidRPr="00775C54" w:rsidRDefault="000865D6" w:rsidP="00775C54">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75C54">
              <w:rPr>
                <w:rFonts w:asciiTheme="minorHAnsi" w:hAnsiTheme="minorHAnsi" w:cstheme="minorHAnsi"/>
                <w:i/>
                <w:sz w:val="20"/>
                <w:szCs w:val="20"/>
              </w:rPr>
              <w:t>Varianta 1 – Vyšší právní jistota</w:t>
            </w:r>
          </w:p>
          <w:p w:rsidR="009F2760" w:rsidRPr="00775C54" w:rsidRDefault="000865D6" w:rsidP="00775C54">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75C54">
              <w:rPr>
                <w:rFonts w:asciiTheme="minorHAnsi" w:hAnsiTheme="minorHAnsi" w:cstheme="minorHAnsi"/>
                <w:i/>
                <w:sz w:val="20"/>
                <w:szCs w:val="20"/>
              </w:rPr>
              <w:t>Varianta 2 – Vyšší právní jistota, nižší administrativní náklady</w:t>
            </w:r>
          </w:p>
        </w:tc>
      </w:tr>
    </w:tbl>
    <w:p w:rsidR="009F2760" w:rsidRPr="00F10941" w:rsidRDefault="000865D6" w:rsidP="009F2760">
      <w:pPr>
        <w:pStyle w:val="Text-Normaln"/>
        <w:widowControl w:val="0"/>
        <w:spacing w:before="240"/>
        <w:rPr>
          <w:b/>
        </w:rPr>
      </w:pPr>
      <w:r w:rsidRPr="00F10941">
        <w:rPr>
          <w:b/>
        </w:rPr>
        <w:t>Volba varianty a její implementace</w:t>
      </w:r>
    </w:p>
    <w:p w:rsidR="00EA66D9" w:rsidRPr="00F10941" w:rsidRDefault="000865D6" w:rsidP="00EF1A88">
      <w:pPr>
        <w:pStyle w:val="Normln-tun"/>
      </w:pPr>
      <w:r w:rsidRPr="00F10941">
        <w:t xml:space="preserve">K Variantě </w:t>
      </w:r>
      <w:r w:rsidR="004912B5" w:rsidRPr="00F10941">
        <w:t>1 – V</w:t>
      </w:r>
      <w:r w:rsidRPr="00F10941">
        <w:t> současné době zákon o vyvlastnění obsahuje spojení doručení na „známou adres</w:t>
      </w:r>
      <w:r w:rsidR="004912B5" w:rsidRPr="00F10941">
        <w:t>u</w:t>
      </w:r>
      <w:r w:rsidRPr="00F10941">
        <w:t>“</w:t>
      </w:r>
      <w:r w:rsidR="004912B5" w:rsidRPr="00F10941">
        <w:t xml:space="preserve">, které je velice široké. Dohledávání adres vlastníků pak přináší mj. vysokou administrativní zátěž a znění zákona nízkou právní jistotu. U </w:t>
      </w:r>
      <w:r w:rsidR="00E60DF5" w:rsidRPr="00F10941">
        <w:t xml:space="preserve">fyzické osoby </w:t>
      </w:r>
      <w:r w:rsidR="004912B5" w:rsidRPr="00F10941">
        <w:t xml:space="preserve">se tak pro dosažení cíle jeví jako vhodné stanovení povinnosti doručit návrh smlouvy na </w:t>
      </w:r>
      <w:r w:rsidR="00E60DF5" w:rsidRPr="00F10941">
        <w:t>adres</w:t>
      </w:r>
      <w:r w:rsidR="004912B5" w:rsidRPr="00F10941">
        <w:t>u</w:t>
      </w:r>
      <w:r w:rsidR="00E60DF5" w:rsidRPr="00F10941">
        <w:t xml:space="preserve"> trvalého </w:t>
      </w:r>
      <w:r w:rsidR="004912B5" w:rsidRPr="00F10941">
        <w:t>bydliště</w:t>
      </w:r>
      <w:r w:rsidR="00E60DF5" w:rsidRPr="00F10941">
        <w:t xml:space="preserve">, u právnické osoby </w:t>
      </w:r>
      <w:r w:rsidR="004912B5" w:rsidRPr="00F10941">
        <w:t>pak</w:t>
      </w:r>
      <w:r w:rsidR="00E60DF5" w:rsidRPr="00F10941">
        <w:t xml:space="preserve"> </w:t>
      </w:r>
      <w:r w:rsidR="00F10941">
        <w:t xml:space="preserve">na adresu </w:t>
      </w:r>
      <w:r w:rsidR="00E60DF5" w:rsidRPr="00F10941">
        <w:t>sídl</w:t>
      </w:r>
      <w:r w:rsidR="00F10941">
        <w:t>a</w:t>
      </w:r>
      <w:r w:rsidR="00E60DF5" w:rsidRPr="00F10941">
        <w:t xml:space="preserve"> </w:t>
      </w:r>
      <w:r w:rsidR="004912B5" w:rsidRPr="00F10941">
        <w:t>společnosti.</w:t>
      </w:r>
      <w:r w:rsidR="009F2760" w:rsidRPr="00F10941">
        <w:t xml:space="preserve"> </w:t>
      </w:r>
      <w:r w:rsidR="00F10941">
        <w:t>Při volbě Varianty 1 vycházíme ze skutečnosti, že v rámci jiných agend a zákonných předpisů je stanovena povinnost nahlásit změnu trvalého bydliště. Pokud tuto povinnost vyvlastňovaný neplní, neměly by být náklady z tohoto neplnění přenášeny na jiné subjekty (zde konkrétně vyvlastnitele.</w:t>
      </w:r>
    </w:p>
    <w:p w:rsidR="00EF1A88" w:rsidRPr="00AE373E" w:rsidRDefault="000865D6" w:rsidP="009F2760">
      <w:pPr>
        <w:pStyle w:val="Normln-tun"/>
        <w:rPr>
          <w:highlight w:val="yellow"/>
        </w:rPr>
      </w:pPr>
      <w:r w:rsidRPr="00B16D3A">
        <w:t xml:space="preserve">Vzhledem k soukromoprávnímu charakteru jednání není vhodné v návrhu zákona zavádět referenci doručování návrhu smlouvy do datových schránek. </w:t>
      </w:r>
      <w:r w:rsidR="00B16D3A">
        <w:t>Variantu 2 tak zamítáme.</w:t>
      </w:r>
    </w:p>
    <w:p w:rsidR="00EA06CF" w:rsidRDefault="00EA06CF" w:rsidP="009F2760">
      <w:pPr>
        <w:pStyle w:val="Normln-tun"/>
      </w:pPr>
    </w:p>
    <w:p w:rsidR="00EA06CF" w:rsidRPr="00EA06CF" w:rsidRDefault="000865D6" w:rsidP="00EA06CF">
      <w:pPr>
        <w:pStyle w:val="Nadpis2a"/>
        <w:rPr>
          <w:b w:val="0"/>
          <w:bCs w:val="0"/>
          <w:smallCaps w:val="0"/>
        </w:rPr>
      </w:pPr>
      <w:bookmarkStart w:id="129" w:name="_Toc256000016"/>
      <w:r>
        <w:t>P</w:t>
      </w:r>
      <w:r w:rsidRPr="007A0E8D">
        <w:t>osloupnost znaleckých posudků</w:t>
      </w:r>
      <w:r w:rsidR="00322ADD">
        <w:t xml:space="preserve"> (ZP)</w:t>
      </w:r>
      <w:bookmarkEnd w:id="129"/>
    </w:p>
    <w:p w:rsidR="00EA06CF" w:rsidRPr="00B16D3A" w:rsidRDefault="000865D6" w:rsidP="00EA06CF">
      <w:pPr>
        <w:pStyle w:val="Text-Normaln"/>
        <w:widowControl w:val="0"/>
        <w:rPr>
          <w:b/>
          <w:bCs/>
        </w:rPr>
      </w:pPr>
      <w:r w:rsidRPr="00B16D3A">
        <w:rPr>
          <w:b/>
          <w:bCs/>
        </w:rPr>
        <w:t>Popis současného stavu:</w:t>
      </w:r>
    </w:p>
    <w:p w:rsidR="009F76EA" w:rsidRPr="00B16D3A" w:rsidRDefault="000865D6" w:rsidP="006D420E">
      <w:pPr>
        <w:pStyle w:val="Normln-tun"/>
      </w:pPr>
      <w:r w:rsidRPr="00B16D3A">
        <w:t xml:space="preserve">Do účinnosti novely č. 403/2020 Sb., kterou se mění </w:t>
      </w:r>
      <w:r w:rsidR="00CA0973" w:rsidRPr="00B16D3A">
        <w:t xml:space="preserve">liniový zákon </w:t>
      </w:r>
      <w:r w:rsidRPr="00B16D3A">
        <w:t>a další související zákony, platilo dle ustanovení § 20 odst. 1 zákona o vyvlastnění pravidlo posloupnosti znaleckých posu</w:t>
      </w:r>
      <w:r w:rsidRPr="00B16D3A">
        <w:t xml:space="preserve">dků, která pro stanovení výše náhrady ve vyvlastňovacím řízení určovala </w:t>
      </w:r>
      <w:r w:rsidR="00CD754F" w:rsidRPr="00B16D3A">
        <w:t>první místo</w:t>
      </w:r>
      <w:r w:rsidRPr="00B16D3A">
        <w:t xml:space="preserve"> </w:t>
      </w:r>
      <w:r w:rsidR="00CA0973" w:rsidRPr="00B16D3A">
        <w:t>ZP</w:t>
      </w:r>
      <w:r w:rsidRPr="00B16D3A">
        <w:t xml:space="preserve"> vyhotovené</w:t>
      </w:r>
      <w:r w:rsidR="00CD754F" w:rsidRPr="00B16D3A">
        <w:t>mu</w:t>
      </w:r>
      <w:r w:rsidRPr="00B16D3A">
        <w:t xml:space="preserve"> na žádost vyvlastňovaného. </w:t>
      </w:r>
      <w:r w:rsidR="00CA0973" w:rsidRPr="00B16D3A">
        <w:t>P</w:t>
      </w:r>
      <w:r w:rsidRPr="00B16D3A">
        <w:t>ouze v</w:t>
      </w:r>
      <w:r w:rsidR="00164C54" w:rsidRPr="00B16D3A">
        <w:t xml:space="preserve"> </w:t>
      </w:r>
      <w:r w:rsidRPr="00B16D3A">
        <w:t>případě, kdy vyvlastňovaný</w:t>
      </w:r>
      <w:r w:rsidR="00164C54" w:rsidRPr="00B16D3A">
        <w:t xml:space="preserve"> </w:t>
      </w:r>
      <w:r w:rsidRPr="00B16D3A">
        <w:t>vyslovil souhlas s</w:t>
      </w:r>
      <w:r w:rsidR="00164C54" w:rsidRPr="00B16D3A">
        <w:t xml:space="preserve"> </w:t>
      </w:r>
      <w:r w:rsidRPr="00B16D3A">
        <w:t xml:space="preserve">užitím </w:t>
      </w:r>
      <w:r w:rsidR="00CA0973" w:rsidRPr="00B16D3A">
        <w:t>ZP</w:t>
      </w:r>
      <w:r w:rsidRPr="00B16D3A">
        <w:t xml:space="preserve"> předloženého vyvlastnitelem, </w:t>
      </w:r>
      <w:r w:rsidR="00CA0973" w:rsidRPr="00B16D3A">
        <w:t xml:space="preserve">se </w:t>
      </w:r>
      <w:r w:rsidRPr="00B16D3A">
        <w:t xml:space="preserve">stanovila náhrada dle </w:t>
      </w:r>
      <w:r w:rsidR="008C522E" w:rsidRPr="00B16D3A">
        <w:t>ZP vyvlastnitele</w:t>
      </w:r>
      <w:r w:rsidRPr="00B16D3A">
        <w:t>. Konečnou variantou bylo stanovení náhrady na základě posudku znalce ustanoveného vyvlastňovacím úřadem.</w:t>
      </w:r>
      <w:r w:rsidR="00B40ABB" w:rsidRPr="00B16D3A">
        <w:t xml:space="preserve"> </w:t>
      </w:r>
      <w:r w:rsidRPr="00B16D3A">
        <w:t>K </w:t>
      </w:r>
      <w:r w:rsidR="00B40ABB" w:rsidRPr="00B16D3A">
        <w:t>této</w:t>
      </w:r>
      <w:r w:rsidRPr="00B16D3A">
        <w:t xml:space="preserve"> možnosti bylo ze strany vyvlastňovacího úřadu přistupováno často právě </w:t>
      </w:r>
      <w:r w:rsidR="00B40ABB" w:rsidRPr="00B16D3A">
        <w:t>kvůli</w:t>
      </w:r>
      <w:r w:rsidRPr="00B16D3A">
        <w:t xml:space="preserve"> nesouhlas</w:t>
      </w:r>
      <w:r w:rsidR="00B40ABB" w:rsidRPr="00B16D3A">
        <w:t>u</w:t>
      </w:r>
      <w:r w:rsidR="00164C54" w:rsidRPr="00B16D3A">
        <w:t xml:space="preserve"> </w:t>
      </w:r>
      <w:r w:rsidRPr="00B16D3A">
        <w:t>vyvlastňovaného s</w:t>
      </w:r>
      <w:r w:rsidR="00164C54" w:rsidRPr="00B16D3A">
        <w:t xml:space="preserve"> </w:t>
      </w:r>
      <w:r w:rsidRPr="00B16D3A">
        <w:t xml:space="preserve">užitím </w:t>
      </w:r>
      <w:r w:rsidR="00B40ABB" w:rsidRPr="00B16D3A">
        <w:t>ZP</w:t>
      </w:r>
      <w:r w:rsidRPr="00B16D3A">
        <w:t xml:space="preserve"> předloženého vyvlastnitelem. </w:t>
      </w:r>
    </w:p>
    <w:p w:rsidR="009A52E7" w:rsidRPr="00B16D3A" w:rsidRDefault="000865D6" w:rsidP="006D420E">
      <w:pPr>
        <w:pStyle w:val="Normln-tun"/>
      </w:pPr>
      <w:r w:rsidRPr="00B16D3A">
        <w:t>Další</w:t>
      </w:r>
      <w:r w:rsidR="001D6540" w:rsidRPr="00B16D3A">
        <w:t>m</w:t>
      </w:r>
      <w:r w:rsidRPr="00B16D3A">
        <w:t xml:space="preserve"> důvod</w:t>
      </w:r>
      <w:r w:rsidR="0019074E" w:rsidRPr="00B16D3A">
        <w:t>em</w:t>
      </w:r>
      <w:r w:rsidRPr="00B16D3A">
        <w:t xml:space="preserve">, </w:t>
      </w:r>
      <w:r w:rsidR="009F76EA" w:rsidRPr="00B16D3A">
        <w:t>proč</w:t>
      </w:r>
      <w:r w:rsidRPr="00B16D3A">
        <w:t xml:space="preserve"> vyvlastňovací úřad </w:t>
      </w:r>
      <w:r w:rsidR="009F76EA" w:rsidRPr="00B16D3A">
        <w:t xml:space="preserve">nemohl </w:t>
      </w:r>
      <w:r w:rsidRPr="00B16D3A">
        <w:t xml:space="preserve">stanovit náhradu na základě </w:t>
      </w:r>
      <w:r w:rsidR="0019074E" w:rsidRPr="00B16D3A">
        <w:t>ZP</w:t>
      </w:r>
      <w:r w:rsidRPr="00B16D3A">
        <w:t xml:space="preserve"> vyhotoveného na žádost vyvlastňovaného či vyvlastnitele, </w:t>
      </w:r>
      <w:r w:rsidR="0019074E" w:rsidRPr="00B16D3A">
        <w:t>byla</w:t>
      </w:r>
      <w:r w:rsidRPr="00B16D3A">
        <w:t xml:space="preserve"> neaktuálnost závěrů </w:t>
      </w:r>
      <w:r w:rsidR="0019074E" w:rsidRPr="00B16D3A">
        <w:t>ZP</w:t>
      </w:r>
      <w:r w:rsidRPr="00B16D3A">
        <w:t xml:space="preserve"> předloženého vyvlastnitelem.</w:t>
      </w:r>
      <w:r w:rsidR="00476053" w:rsidRPr="00B16D3A">
        <w:t xml:space="preserve"> </w:t>
      </w:r>
      <w:r w:rsidRPr="00B16D3A">
        <w:t>I za předpokladu, že vyvlastňovan</w:t>
      </w:r>
      <w:r w:rsidRPr="00B16D3A">
        <w:t xml:space="preserve">ý udělil souhlas se stanovením náhrady na základě </w:t>
      </w:r>
      <w:r w:rsidR="00476053" w:rsidRPr="00B16D3A">
        <w:t>ZP</w:t>
      </w:r>
      <w:r w:rsidRPr="00B16D3A">
        <w:t xml:space="preserve"> zhotoveného na žádost vyvlastnitele, nebylo </w:t>
      </w:r>
      <w:r w:rsidR="001869EF" w:rsidRPr="00B16D3A">
        <w:t xml:space="preserve">totiž </w:t>
      </w:r>
      <w:r w:rsidR="00476053" w:rsidRPr="00B16D3A">
        <w:t xml:space="preserve">často </w:t>
      </w:r>
      <w:r w:rsidRPr="00B16D3A">
        <w:t xml:space="preserve">možné pro účely stanovení náhrady ve vyvlastňovacím řízení použít </w:t>
      </w:r>
      <w:r w:rsidR="00E82A7D" w:rsidRPr="00B16D3A">
        <w:t>ZP</w:t>
      </w:r>
      <w:r w:rsidRPr="00B16D3A">
        <w:t>, který vyvlastnitel přiložil k návrhu na uzavření smlouvy o získání práv k poz</w:t>
      </w:r>
      <w:r w:rsidRPr="00B16D3A">
        <w:t>emku nebo ke stavbě vyvlastňovanému</w:t>
      </w:r>
      <w:r w:rsidR="008127F3" w:rsidRPr="00B16D3A">
        <w:t>, protože</w:t>
      </w:r>
      <w:r w:rsidRPr="00B16D3A">
        <w:t>:</w:t>
      </w:r>
    </w:p>
    <w:p w:rsidR="009A52E7" w:rsidRPr="00B16D3A" w:rsidRDefault="000865D6">
      <w:pPr>
        <w:pStyle w:val="Normln-tun"/>
        <w:numPr>
          <w:ilvl w:val="0"/>
          <w:numId w:val="83"/>
        </w:numPr>
        <w:ind w:left="426" w:hanging="426"/>
      </w:pPr>
      <w:r w:rsidRPr="00B16D3A">
        <w:lastRenderedPageBreak/>
        <w:t>cena pozemku nebo stavby se pro účely stanovení náhrady dle ustanovení § 10</w:t>
      </w:r>
      <w:r w:rsidRPr="00B16D3A">
        <w:br/>
        <w:t>odst. 5 určí vždy podle jejich skutečného stavu ke dni podání žádosti o vyvlastnění</w:t>
      </w:r>
      <w:r w:rsidR="00984925" w:rsidRPr="00B16D3A">
        <w:t>;</w:t>
      </w:r>
      <w:r w:rsidRPr="00B16D3A">
        <w:t xml:space="preserve"> </w:t>
      </w:r>
      <w:r w:rsidR="00984925" w:rsidRPr="00B16D3A">
        <w:t>f</w:t>
      </w:r>
      <w:r w:rsidRPr="00B16D3A">
        <w:t>áze předcházející podání žádosti o zahájení vyvl</w:t>
      </w:r>
      <w:r w:rsidRPr="00B16D3A">
        <w:t xml:space="preserve">astňovacího řízení </w:t>
      </w:r>
      <w:r w:rsidR="00984925" w:rsidRPr="00B16D3A">
        <w:t xml:space="preserve">však </w:t>
      </w:r>
      <w:r w:rsidRPr="00B16D3A">
        <w:t xml:space="preserve">často trvala </w:t>
      </w:r>
      <w:r w:rsidR="00984925" w:rsidRPr="00B16D3A">
        <w:t xml:space="preserve">výrazně </w:t>
      </w:r>
      <w:r w:rsidR="004D79C2" w:rsidRPr="00B16D3A">
        <w:t>déle</w:t>
      </w:r>
      <w:r w:rsidRPr="00B16D3A">
        <w:t xml:space="preserve"> než 90 dnů ode dne následujícího doručení návrhu</w:t>
      </w:r>
      <w:r w:rsidR="00984925" w:rsidRPr="00B16D3A">
        <w:t xml:space="preserve"> (jak stanoví zákon o vyvlastnění</w:t>
      </w:r>
      <w:r w:rsidRPr="00B16D3A">
        <w:t xml:space="preserve">), </w:t>
      </w:r>
      <w:r w:rsidR="00984925" w:rsidRPr="00B16D3A">
        <w:t xml:space="preserve">a ZP zhotovený vyvlastnitelem </w:t>
      </w:r>
      <w:r w:rsidRPr="00B16D3A">
        <w:t xml:space="preserve">k návrhu smlouvy vyvlastňovanému </w:t>
      </w:r>
      <w:r w:rsidR="005A4869" w:rsidRPr="00B16D3A">
        <w:t xml:space="preserve">tak </w:t>
      </w:r>
      <w:r w:rsidRPr="00B16D3A">
        <w:t xml:space="preserve">nemohl již být při stanovení náhrady ve vyvlastňovacím </w:t>
      </w:r>
      <w:r w:rsidRPr="00B16D3A">
        <w:t>řízení</w:t>
      </w:r>
      <w:r w:rsidR="005A4869" w:rsidRPr="00B16D3A">
        <w:t xml:space="preserve"> použit;</w:t>
      </w:r>
    </w:p>
    <w:p w:rsidR="009A52E7" w:rsidRPr="00B16D3A" w:rsidRDefault="000865D6">
      <w:pPr>
        <w:pStyle w:val="Normln-tun"/>
        <w:numPr>
          <w:ilvl w:val="0"/>
          <w:numId w:val="83"/>
        </w:numPr>
        <w:ind w:left="426" w:hanging="426"/>
      </w:pPr>
      <w:r w:rsidRPr="00B16D3A">
        <w:t>při stanovení náhrady je dle ustanovení § 10 odst. 4 zákona o vyvlastnění nutné, aby ocenění bylo provedeno podle oceňovacího předpisu účinného v době rozhodování o vyvlastnění</w:t>
      </w:r>
      <w:r w:rsidR="005413F5" w:rsidRPr="00B16D3A">
        <w:t>;</w:t>
      </w:r>
      <w:r w:rsidRPr="00B16D3A">
        <w:t xml:space="preserve"> vyhlášk</w:t>
      </w:r>
      <w:r w:rsidR="005413F5" w:rsidRPr="00B16D3A">
        <w:t>a</w:t>
      </w:r>
      <w:r w:rsidRPr="00B16D3A">
        <w:t xml:space="preserve"> č. 441/2013 Sb., k provedení zákona o oceňování majetk</w:t>
      </w:r>
      <w:r w:rsidRPr="00B16D3A">
        <w:t xml:space="preserve">u (oceňovací vyhláška), ve znění pozdějších předpisů, </w:t>
      </w:r>
      <w:r w:rsidR="005413F5" w:rsidRPr="00B16D3A">
        <w:t>se však velmi často mění (</w:t>
      </w:r>
      <w:r w:rsidRPr="00B16D3A">
        <w:t xml:space="preserve">téměř </w:t>
      </w:r>
      <w:r w:rsidR="005413F5" w:rsidRPr="00B16D3A">
        <w:t>každý rok)</w:t>
      </w:r>
      <w:r w:rsidR="000A16AD" w:rsidRPr="00B16D3A">
        <w:t xml:space="preserve">; </w:t>
      </w:r>
      <w:r w:rsidR="00BD0944" w:rsidRPr="00B16D3A">
        <w:t>s ohledem na</w:t>
      </w:r>
      <w:r w:rsidRPr="00B16D3A">
        <w:t xml:space="preserve"> délku vyvlastňovacího řízení </w:t>
      </w:r>
      <w:r w:rsidR="000A16AD" w:rsidRPr="00B16D3A">
        <w:t>je velmi obtížné</w:t>
      </w:r>
      <w:r w:rsidRPr="00B16D3A">
        <w:t xml:space="preserve">, </w:t>
      </w:r>
      <w:r w:rsidR="00BD0944" w:rsidRPr="00B16D3A">
        <w:t>a</w:t>
      </w:r>
      <w:r w:rsidRPr="00B16D3A">
        <w:t xml:space="preserve">by </w:t>
      </w:r>
      <w:r w:rsidR="00BD0944" w:rsidRPr="00B16D3A">
        <w:t>byla</w:t>
      </w:r>
      <w:r w:rsidR="000A16AD" w:rsidRPr="00B16D3A">
        <w:t xml:space="preserve"> </w:t>
      </w:r>
      <w:r w:rsidRPr="00B16D3A">
        <w:t xml:space="preserve">shodná právní úprava v době zhotovení </w:t>
      </w:r>
      <w:r w:rsidR="00BD0944" w:rsidRPr="00B16D3A">
        <w:t>ZP</w:t>
      </w:r>
      <w:r w:rsidRPr="00B16D3A">
        <w:t xml:space="preserve"> </w:t>
      </w:r>
      <w:r w:rsidR="00BD0944" w:rsidRPr="00B16D3A">
        <w:t>i</w:t>
      </w:r>
      <w:r w:rsidRPr="00B16D3A">
        <w:t xml:space="preserve"> při rozhodování o vyvlastnění</w:t>
      </w:r>
      <w:r w:rsidR="00BD0944" w:rsidRPr="00B16D3A">
        <w:t xml:space="preserve"> – tento stav pak </w:t>
      </w:r>
      <w:r w:rsidRPr="00B16D3A">
        <w:t xml:space="preserve">byl řešen </w:t>
      </w:r>
      <w:r w:rsidR="00BD0944" w:rsidRPr="00B16D3A">
        <w:t xml:space="preserve">buď </w:t>
      </w:r>
      <w:r w:rsidRPr="00B16D3A">
        <w:t>dodatk</w:t>
      </w:r>
      <w:r w:rsidR="000911A3" w:rsidRPr="00B16D3A">
        <w:t>em</w:t>
      </w:r>
      <w:r w:rsidRPr="00B16D3A">
        <w:t xml:space="preserve"> ke </w:t>
      </w:r>
      <w:r w:rsidR="000911A3" w:rsidRPr="00B16D3A">
        <w:t>ZP</w:t>
      </w:r>
      <w:r w:rsidRPr="00B16D3A">
        <w:t>, ve kterých bylo konstatováno, že i přes novelizaci oceňovacích předpisů zůstávají závěry stejné</w:t>
      </w:r>
      <w:r w:rsidR="00154FA6" w:rsidRPr="00B16D3A">
        <w:t>, nebo bylo</w:t>
      </w:r>
      <w:r w:rsidRPr="00B16D3A">
        <w:t xml:space="preserve"> přistoupeno k zadání a vyhotovení </w:t>
      </w:r>
      <w:r w:rsidR="000911A3" w:rsidRPr="00B16D3A">
        <w:t>ZP</w:t>
      </w:r>
      <w:r w:rsidRPr="00B16D3A">
        <w:t xml:space="preserve"> nového.</w:t>
      </w:r>
    </w:p>
    <w:p w:rsidR="00E36F38" w:rsidRPr="00B16D3A" w:rsidRDefault="000865D6" w:rsidP="006D420E">
      <w:pPr>
        <w:pStyle w:val="Normln-tun"/>
      </w:pPr>
      <w:r w:rsidRPr="00B16D3A">
        <w:t>Z výše uvedených důvodů tak vyvlastnitel</w:t>
      </w:r>
      <w:r w:rsidR="00656090" w:rsidRPr="00B16D3A">
        <w:t xml:space="preserve"> často musel</w:t>
      </w:r>
      <w:r w:rsidRPr="00B16D3A">
        <w:t xml:space="preserve"> v p</w:t>
      </w:r>
      <w:r w:rsidRPr="00B16D3A">
        <w:t xml:space="preserve">růběhu vyvlastňovacího řízení zadat </w:t>
      </w:r>
      <w:r w:rsidR="00685B2C" w:rsidRPr="00B16D3A">
        <w:t>ZP</w:t>
      </w:r>
      <w:r w:rsidRPr="00B16D3A">
        <w:t xml:space="preserve"> nový, který již odráže</w:t>
      </w:r>
      <w:r w:rsidR="00656090" w:rsidRPr="00B16D3A">
        <w:t>l</w:t>
      </w:r>
      <w:r w:rsidRPr="00B16D3A">
        <w:t xml:space="preserve"> ocenění podle skutečného stavu ke dni podání žádosti a současně </w:t>
      </w:r>
      <w:r w:rsidR="00656090" w:rsidRPr="00B16D3A">
        <w:t>byl</w:t>
      </w:r>
      <w:r w:rsidRPr="00B16D3A">
        <w:t xml:space="preserve"> proveden podle oceňovacího předpisu účinného v době rozhodování o vyvlastnění. </w:t>
      </w:r>
    </w:p>
    <w:p w:rsidR="009A52E7" w:rsidRPr="00B16D3A" w:rsidRDefault="000865D6" w:rsidP="006D420E">
      <w:pPr>
        <w:pStyle w:val="Normln-tun"/>
      </w:pPr>
      <w:r w:rsidRPr="00B16D3A">
        <w:t xml:space="preserve">V neposlední řadě byly problémem </w:t>
      </w:r>
      <w:r w:rsidR="005E601F" w:rsidRPr="00B16D3A">
        <w:t>ZP</w:t>
      </w:r>
      <w:r w:rsidRPr="00B16D3A">
        <w:t xml:space="preserve"> </w:t>
      </w:r>
      <w:r w:rsidR="005E601F" w:rsidRPr="00B16D3A">
        <w:t xml:space="preserve">se </w:t>
      </w:r>
      <w:r w:rsidR="00511648" w:rsidRPr="00B16D3A">
        <w:t xml:space="preserve">zjevnými vadami, </w:t>
      </w:r>
      <w:r w:rsidRPr="00B16D3A">
        <w:t xml:space="preserve">spočívajícími </w:t>
      </w:r>
      <w:r w:rsidR="00511648" w:rsidRPr="00B16D3A">
        <w:t xml:space="preserve">především </w:t>
      </w:r>
      <w:r w:rsidRPr="00B16D3A">
        <w:t xml:space="preserve">v </w:t>
      </w:r>
      <w:r w:rsidR="00466777" w:rsidRPr="00B16D3A">
        <w:t>nesprávném</w:t>
      </w:r>
      <w:r w:rsidRPr="00B16D3A">
        <w:t xml:space="preserve"> způsobu určení ceny. Pokud vyvlastňovací úřad na základě kontroly obecných náležitostí </w:t>
      </w:r>
      <w:r w:rsidR="00466777" w:rsidRPr="00B16D3A">
        <w:t>ZP</w:t>
      </w:r>
      <w:r w:rsidRPr="00B16D3A">
        <w:t xml:space="preserve"> </w:t>
      </w:r>
      <w:r w:rsidR="006E3CFA" w:rsidRPr="00B16D3A">
        <w:t>dle</w:t>
      </w:r>
      <w:r w:rsidRPr="00B16D3A">
        <w:t xml:space="preserve"> zákona o vyvlastnění zjistil, že takovými vadami trpí </w:t>
      </w:r>
      <w:r w:rsidR="00466777" w:rsidRPr="00B16D3A">
        <w:t>ZP</w:t>
      </w:r>
      <w:r w:rsidRPr="00B16D3A">
        <w:t xml:space="preserve"> předložený vyvlastnitelem, </w:t>
      </w:r>
      <w:r w:rsidR="00511457" w:rsidRPr="00B16D3A">
        <w:t>n</w:t>
      </w:r>
      <w:r w:rsidRPr="00B16D3A">
        <w:t>áhrada za vyvlastnění se stan</w:t>
      </w:r>
      <w:r w:rsidRPr="00B16D3A">
        <w:t xml:space="preserve">ovila na základě </w:t>
      </w:r>
      <w:r w:rsidR="002C7AFA" w:rsidRPr="00B16D3A">
        <w:t>ZP</w:t>
      </w:r>
      <w:r w:rsidRPr="00B16D3A">
        <w:t xml:space="preserve"> vyhotoveného na žádost vyvlastňovaného, neboť ten m</w:t>
      </w:r>
      <w:r w:rsidR="00511457" w:rsidRPr="00B16D3A">
        <w:t>ěl</w:t>
      </w:r>
      <w:r w:rsidRPr="00B16D3A">
        <w:t xml:space="preserve"> v posloupnosti </w:t>
      </w:r>
      <w:r w:rsidR="00F76379" w:rsidRPr="00B16D3A">
        <w:t xml:space="preserve">ZP </w:t>
      </w:r>
      <w:r w:rsidRPr="00B16D3A">
        <w:t>p</w:t>
      </w:r>
      <w:r w:rsidR="00F76379" w:rsidRPr="00B16D3A">
        <w:t>řednost</w:t>
      </w:r>
      <w:r w:rsidRPr="00B16D3A">
        <w:t xml:space="preserve">. Pokud </w:t>
      </w:r>
      <w:r w:rsidR="00F76379" w:rsidRPr="00B16D3A">
        <w:t xml:space="preserve">ZP </w:t>
      </w:r>
      <w:r w:rsidRPr="00B16D3A">
        <w:t>vyhotoven</w:t>
      </w:r>
      <w:r w:rsidR="00F76379" w:rsidRPr="00B16D3A">
        <w:t>ý</w:t>
      </w:r>
      <w:r w:rsidRPr="00B16D3A">
        <w:t xml:space="preserve"> na žádost vyvlastňovaného nebyl</w:t>
      </w:r>
      <w:r w:rsidR="006C6EEC" w:rsidRPr="00B16D3A">
        <w:t xml:space="preserve"> zpracován</w:t>
      </w:r>
      <w:r w:rsidRPr="00B16D3A">
        <w:t xml:space="preserve"> a vyvlastňovaný současně neavizoval, že jej předkládat bude, byl vyvlastňovací úřad oprávněn ustanovit znalce a na základě jeho posudku náhradu za vyvlastnění stanovit.</w:t>
      </w:r>
    </w:p>
    <w:p w:rsidR="009A52E7" w:rsidRPr="00B16D3A" w:rsidRDefault="000865D6" w:rsidP="00321BAE">
      <w:pPr>
        <w:pStyle w:val="Normln-tun"/>
      </w:pPr>
      <w:r w:rsidRPr="00B16D3A">
        <w:t>Komplikovanější situace nastala, pokud zjevnými vadami trpěl ZP vyhotovený na žádost v</w:t>
      </w:r>
      <w:r w:rsidRPr="00B16D3A">
        <w:t xml:space="preserve">yvlastňovaného, který trval na jeho užití pro stanovení náhrady. Některé z vyvlastňovacích úřadů vyvlastňované vyzývaly k předložení </w:t>
      </w:r>
      <w:r w:rsidR="008903B6" w:rsidRPr="00B16D3A">
        <w:t>ZP</w:t>
      </w:r>
      <w:r w:rsidRPr="00B16D3A">
        <w:t xml:space="preserve">, ve kterých požadovaly </w:t>
      </w:r>
      <w:r w:rsidR="00E50B54" w:rsidRPr="00B16D3A">
        <w:t>uvedení</w:t>
      </w:r>
      <w:r w:rsidRPr="00B16D3A">
        <w:t xml:space="preserve"> </w:t>
      </w:r>
      <w:r w:rsidR="00E50B54" w:rsidRPr="00B16D3A">
        <w:t>ZP do souladu</w:t>
      </w:r>
      <w:r w:rsidRPr="00B16D3A">
        <w:t xml:space="preserve"> se zákonem o vyvlastnění, aby při stanovení náhrady dostály zákonné posloup</w:t>
      </w:r>
      <w:r w:rsidRPr="00B16D3A">
        <w:t xml:space="preserve">nosti. V jiných případech vyvlastňovací úřady vydávaly usnesení o stanovení lhůty k předložení </w:t>
      </w:r>
      <w:r w:rsidR="00E50B54" w:rsidRPr="00B16D3A">
        <w:t>ZP</w:t>
      </w:r>
      <w:r w:rsidRPr="00B16D3A">
        <w:t>,</w:t>
      </w:r>
      <w:r w:rsidR="00511457" w:rsidRPr="00B16D3A">
        <w:t xml:space="preserve"> </w:t>
      </w:r>
      <w:r w:rsidRPr="00B16D3A">
        <w:t xml:space="preserve">ve kterých náležitě vyčetly a popsaly vady, pro které nelze původně předloženého </w:t>
      </w:r>
      <w:r w:rsidR="006807B3" w:rsidRPr="00B16D3A">
        <w:t>ZP</w:t>
      </w:r>
      <w:r w:rsidRPr="00B16D3A">
        <w:t xml:space="preserve"> využít pro stanovení náhrady za vyvlastnění. Oba uvedené postupy vyvlastň</w:t>
      </w:r>
      <w:r w:rsidRPr="00B16D3A">
        <w:t>ovací</w:t>
      </w:r>
      <w:r w:rsidR="006807B3" w:rsidRPr="00B16D3A">
        <w:t>ch</w:t>
      </w:r>
      <w:r w:rsidRPr="00B16D3A">
        <w:t xml:space="preserve"> úřad</w:t>
      </w:r>
      <w:r w:rsidR="006807B3" w:rsidRPr="00B16D3A">
        <w:t>ů</w:t>
      </w:r>
      <w:r w:rsidRPr="00B16D3A">
        <w:t> </w:t>
      </w:r>
      <w:r w:rsidR="006807B3" w:rsidRPr="00B16D3A">
        <w:t>mohly</w:t>
      </w:r>
      <w:r w:rsidRPr="00B16D3A">
        <w:t xml:space="preserve"> naráže</w:t>
      </w:r>
      <w:r w:rsidR="006807B3" w:rsidRPr="00B16D3A">
        <w:t>t</w:t>
      </w:r>
      <w:r w:rsidRPr="00B16D3A">
        <w:t xml:space="preserve"> na obstrukční jednání ze strany vyvlastňovaného, který </w:t>
      </w:r>
      <w:r w:rsidR="006A4706" w:rsidRPr="00B16D3A">
        <w:t>mohl několikrát</w:t>
      </w:r>
      <w:r w:rsidRPr="00B16D3A">
        <w:t xml:space="preserve"> žáda</w:t>
      </w:r>
      <w:r w:rsidR="006A4706" w:rsidRPr="00B16D3A">
        <w:t>t</w:t>
      </w:r>
      <w:r w:rsidRPr="00B16D3A">
        <w:t xml:space="preserve"> o prodloužení lhůty a následně sice předložil nový </w:t>
      </w:r>
      <w:r w:rsidR="006A4706" w:rsidRPr="00B16D3A">
        <w:t>ZP</w:t>
      </w:r>
      <w:r w:rsidRPr="00B16D3A">
        <w:t xml:space="preserve">, avšak od téhož znalce, který výtky vyvlastňovacího úřadu do nového </w:t>
      </w:r>
      <w:r w:rsidR="006A4706" w:rsidRPr="00B16D3A">
        <w:t xml:space="preserve">ZP </w:t>
      </w:r>
      <w:r w:rsidRPr="00B16D3A">
        <w:t>nezapracoval a dospěl ke s</w:t>
      </w:r>
      <w:r w:rsidRPr="00B16D3A">
        <w:t xml:space="preserve">tejným závěrům jako u </w:t>
      </w:r>
      <w:r w:rsidR="006A4706" w:rsidRPr="00B16D3A">
        <w:t xml:space="preserve">ZP </w:t>
      </w:r>
      <w:r w:rsidRPr="00B16D3A">
        <w:t>předchozího.</w:t>
      </w:r>
      <w:r w:rsidR="00AD6250" w:rsidRPr="00B16D3A">
        <w:t xml:space="preserve"> Vyvlastňovací úřad pak mohl přistoupit ke stanovení náhrady na základě vadného, avšak zákonem o vyvlastnění preferovaného ZP předloženého vyvlastňovaným nebo odhlédnout od speciální úpravy zákona o vyvlastnění a stanovit náhradu na základě ZP vyhotoveného znalcem ustanoveného vyvlastňovacím úřadem dle ustanovení § 56 správního řádu</w:t>
      </w:r>
      <w:r>
        <w:rPr>
          <w:rStyle w:val="Znakapoznpodarou"/>
        </w:rPr>
        <w:footnoteReference w:id="22"/>
      </w:r>
      <w:r w:rsidR="00AD6250" w:rsidRPr="00B16D3A">
        <w:t>.</w:t>
      </w:r>
    </w:p>
    <w:p w:rsidR="007A0E8D" w:rsidRPr="00B16D3A" w:rsidRDefault="000865D6" w:rsidP="00321BAE">
      <w:pPr>
        <w:pStyle w:val="Normln-tun"/>
        <w:rPr>
          <w:rFonts w:eastAsia="Times New Roman"/>
          <w:lang w:eastAsia="cs-CZ"/>
        </w:rPr>
      </w:pPr>
      <w:r w:rsidRPr="00B16D3A">
        <w:rPr>
          <w:rFonts w:eastAsia="Times New Roman"/>
          <w:lang w:eastAsia="cs-CZ"/>
        </w:rPr>
        <w:lastRenderedPageBreak/>
        <w:t xml:space="preserve">Novela ponechala </w:t>
      </w:r>
      <w:r w:rsidR="00030874" w:rsidRPr="00B16D3A">
        <w:rPr>
          <w:rFonts w:eastAsia="Times New Roman"/>
          <w:lang w:eastAsia="cs-CZ"/>
        </w:rPr>
        <w:t>pro účely stanovení náhrady první místo</w:t>
      </w:r>
      <w:r w:rsidRPr="00B16D3A">
        <w:rPr>
          <w:rFonts w:eastAsia="Times New Roman"/>
          <w:lang w:eastAsia="cs-CZ"/>
        </w:rPr>
        <w:t xml:space="preserve"> </w:t>
      </w:r>
      <w:bookmarkStart w:id="130" w:name="_Hlk98712776"/>
      <w:r w:rsidR="00030874" w:rsidRPr="00B16D3A">
        <w:rPr>
          <w:rFonts w:eastAsia="Times New Roman"/>
          <w:lang w:eastAsia="cs-CZ"/>
        </w:rPr>
        <w:t>ZP</w:t>
      </w:r>
      <w:bookmarkEnd w:id="130"/>
      <w:r w:rsidRPr="00B16D3A">
        <w:rPr>
          <w:rFonts w:eastAsia="Times New Roman"/>
          <w:lang w:eastAsia="cs-CZ"/>
        </w:rPr>
        <w:t xml:space="preserve"> vyhotovené</w:t>
      </w:r>
      <w:r w:rsidR="00030874" w:rsidRPr="00B16D3A">
        <w:rPr>
          <w:rFonts w:eastAsia="Times New Roman"/>
          <w:lang w:eastAsia="cs-CZ"/>
        </w:rPr>
        <w:t>mu</w:t>
      </w:r>
      <w:r w:rsidRPr="00B16D3A">
        <w:rPr>
          <w:rFonts w:eastAsia="Times New Roman"/>
          <w:lang w:eastAsia="cs-CZ"/>
        </w:rPr>
        <w:t xml:space="preserve"> na žádost vyvlastňovaného. Uvedené ovšem </w:t>
      </w:r>
      <w:r w:rsidR="00E81214" w:rsidRPr="00B16D3A">
        <w:rPr>
          <w:rFonts w:eastAsia="Times New Roman"/>
          <w:lang w:eastAsia="cs-CZ"/>
        </w:rPr>
        <w:t>o</w:t>
      </w:r>
      <w:r w:rsidRPr="00B16D3A">
        <w:rPr>
          <w:rFonts w:eastAsia="Times New Roman"/>
          <w:lang w:eastAsia="cs-CZ"/>
        </w:rPr>
        <w:t>hraničila zavedením 30d</w:t>
      </w:r>
      <w:r w:rsidRPr="00B16D3A">
        <w:rPr>
          <w:rFonts w:eastAsia="Times New Roman"/>
          <w:lang w:eastAsia="cs-CZ"/>
        </w:rPr>
        <w:t xml:space="preserve">enní lhůty počínající doručením uvědomění o zahájení řízení, ve které je </w:t>
      </w:r>
      <w:r w:rsidR="00B95DE7" w:rsidRPr="00B16D3A">
        <w:rPr>
          <w:rFonts w:eastAsia="Times New Roman"/>
          <w:lang w:eastAsia="cs-CZ"/>
        </w:rPr>
        <w:t xml:space="preserve">nyní </w:t>
      </w:r>
      <w:r w:rsidRPr="00B16D3A">
        <w:rPr>
          <w:rFonts w:eastAsia="Times New Roman"/>
          <w:lang w:eastAsia="cs-CZ"/>
        </w:rPr>
        <w:t xml:space="preserve">vyvlastňovaný povinen </w:t>
      </w:r>
      <w:r w:rsidR="00B95DE7" w:rsidRPr="00B16D3A">
        <w:rPr>
          <w:rFonts w:eastAsia="Times New Roman"/>
          <w:lang w:eastAsia="cs-CZ"/>
        </w:rPr>
        <w:t xml:space="preserve">ZP </w:t>
      </w:r>
      <w:r w:rsidRPr="00B16D3A">
        <w:rPr>
          <w:rFonts w:eastAsia="Times New Roman"/>
          <w:lang w:eastAsia="cs-CZ"/>
        </w:rPr>
        <w:t xml:space="preserve">předložit. Pokud tak neučiní, stanoví se náhrada na základě </w:t>
      </w:r>
      <w:r w:rsidR="00B95DE7" w:rsidRPr="00B16D3A">
        <w:rPr>
          <w:rFonts w:eastAsia="Times New Roman"/>
          <w:lang w:eastAsia="cs-CZ"/>
        </w:rPr>
        <w:t xml:space="preserve">ZP </w:t>
      </w:r>
      <w:r w:rsidRPr="00B16D3A">
        <w:rPr>
          <w:rFonts w:eastAsia="Times New Roman"/>
          <w:lang w:eastAsia="cs-CZ"/>
        </w:rPr>
        <w:t>vyvlastnitele.</w:t>
      </w:r>
      <w:r w:rsidR="00995E44" w:rsidRPr="00B16D3A">
        <w:rPr>
          <w:rFonts w:eastAsia="Times New Roman"/>
          <w:lang w:eastAsia="cs-CZ"/>
        </w:rPr>
        <w:t xml:space="preserve"> Částečné o</w:t>
      </w:r>
      <w:r w:rsidRPr="00B16D3A">
        <w:rPr>
          <w:rFonts w:eastAsia="Times New Roman"/>
          <w:lang w:eastAsia="cs-CZ"/>
        </w:rPr>
        <w:t xml:space="preserve">mezení práv vyvlastňovaného zavedením lhůty </w:t>
      </w:r>
      <w:r w:rsidR="008F2C00" w:rsidRPr="00B16D3A">
        <w:rPr>
          <w:rFonts w:eastAsia="Times New Roman"/>
          <w:lang w:eastAsia="cs-CZ"/>
        </w:rPr>
        <w:t>bylo</w:t>
      </w:r>
      <w:r w:rsidRPr="00B16D3A">
        <w:rPr>
          <w:rFonts w:eastAsia="Times New Roman"/>
          <w:lang w:eastAsia="cs-CZ"/>
        </w:rPr>
        <w:t xml:space="preserve"> kompenzováno povinností vyvlastnitele informovat vyvlastňovaného již v návrhu smlouvy o získání práv k pozemku nebo ke stavbě o skutečnosti, že vyvlastňovaný má právo předložit vyvlastňovacímu úřadu </w:t>
      </w:r>
      <w:r w:rsidR="008F2C00" w:rsidRPr="00B16D3A">
        <w:rPr>
          <w:rFonts w:eastAsia="Times New Roman"/>
          <w:lang w:eastAsia="cs-CZ"/>
        </w:rPr>
        <w:t>ZP</w:t>
      </w:r>
      <w:r w:rsidRPr="00B16D3A">
        <w:rPr>
          <w:rFonts w:eastAsia="Times New Roman"/>
          <w:lang w:eastAsia="cs-CZ"/>
        </w:rPr>
        <w:t>. Tato informační povinnost má poskytovat vyvlastňovan</w:t>
      </w:r>
      <w:r w:rsidRPr="00B16D3A">
        <w:rPr>
          <w:rFonts w:eastAsia="Times New Roman"/>
          <w:lang w:eastAsia="cs-CZ"/>
        </w:rPr>
        <w:t xml:space="preserve">ému čas na to, aby v případě zahájení řízení o vyvlastnění zajistil vypracování vlastního </w:t>
      </w:r>
      <w:r w:rsidR="00056CA8" w:rsidRPr="00B16D3A">
        <w:rPr>
          <w:rFonts w:eastAsia="Times New Roman"/>
          <w:lang w:eastAsia="cs-CZ"/>
        </w:rPr>
        <w:t>ZP</w:t>
      </w:r>
      <w:r w:rsidRPr="00B16D3A">
        <w:rPr>
          <w:rFonts w:eastAsia="Times New Roman"/>
          <w:lang w:eastAsia="cs-CZ"/>
        </w:rPr>
        <w:t xml:space="preserve">, pokud bude požadovat, aby </w:t>
      </w:r>
      <w:r w:rsidR="00056CA8" w:rsidRPr="00B16D3A">
        <w:rPr>
          <w:rFonts w:eastAsia="Times New Roman"/>
          <w:lang w:eastAsia="cs-CZ"/>
        </w:rPr>
        <w:t xml:space="preserve">byla </w:t>
      </w:r>
      <w:r w:rsidRPr="00B16D3A">
        <w:rPr>
          <w:rFonts w:eastAsia="Times New Roman"/>
          <w:lang w:eastAsia="cs-CZ"/>
        </w:rPr>
        <w:t>na jeho základě stanovena náhrada za vyvlastnění.</w:t>
      </w:r>
    </w:p>
    <w:p w:rsidR="007A0E8D" w:rsidRPr="00B16D3A" w:rsidRDefault="000865D6" w:rsidP="000555CF">
      <w:pPr>
        <w:pStyle w:val="Normln-tun"/>
        <w:rPr>
          <w:rFonts w:eastAsia="Times New Roman"/>
          <w:lang w:eastAsia="cs-CZ"/>
        </w:rPr>
      </w:pPr>
      <w:r w:rsidRPr="00B16D3A">
        <w:rPr>
          <w:rFonts w:eastAsia="Times New Roman"/>
          <w:lang w:eastAsia="cs-CZ"/>
        </w:rPr>
        <w:t xml:space="preserve">Stále </w:t>
      </w:r>
      <w:r w:rsidR="000F15A0" w:rsidRPr="00B16D3A">
        <w:rPr>
          <w:rFonts w:eastAsia="Times New Roman"/>
          <w:lang w:eastAsia="cs-CZ"/>
        </w:rPr>
        <w:t>přitom</w:t>
      </w:r>
      <w:r w:rsidRPr="00B16D3A">
        <w:rPr>
          <w:rFonts w:eastAsia="Times New Roman"/>
          <w:lang w:eastAsia="cs-CZ"/>
        </w:rPr>
        <w:t xml:space="preserve"> zůstává zachována možnost vyvlastňovaného žádat o navrácení v předeš</w:t>
      </w:r>
      <w:r w:rsidRPr="00B16D3A">
        <w:rPr>
          <w:rFonts w:eastAsia="Times New Roman"/>
          <w:lang w:eastAsia="cs-CZ"/>
        </w:rPr>
        <w:t>lý stav dle ustanovení § 41 správního řádu</w:t>
      </w:r>
      <w:r>
        <w:rPr>
          <w:rStyle w:val="Znakapoznpodarou"/>
          <w:rFonts w:eastAsia="Times New Roman"/>
          <w:lang w:eastAsia="cs-CZ"/>
        </w:rPr>
        <w:footnoteReference w:id="23"/>
      </w:r>
      <w:r w:rsidRPr="00B16D3A">
        <w:rPr>
          <w:rFonts w:eastAsia="Times New Roman"/>
          <w:lang w:eastAsia="cs-CZ"/>
        </w:rPr>
        <w:t>, ovšem vyvlastňovací úřad může prominout zmeškání úkonu pouze, prokáže-li vyvlastňovaný, že překážkou byly závažné důvody, které nastaly bez jeho zavinění.</w:t>
      </w:r>
      <w:r w:rsidR="009433F9" w:rsidRPr="00B16D3A">
        <w:rPr>
          <w:rFonts w:eastAsia="Times New Roman"/>
          <w:lang w:eastAsia="cs-CZ"/>
        </w:rPr>
        <w:t xml:space="preserve"> </w:t>
      </w:r>
      <w:r w:rsidRPr="00B16D3A">
        <w:rPr>
          <w:rFonts w:eastAsia="Times New Roman"/>
          <w:lang w:eastAsia="cs-CZ"/>
        </w:rPr>
        <w:t>Naopak vyvlastňovací úřad zmeškání úkonu nepromine, je-l</w:t>
      </w:r>
      <w:r w:rsidRPr="00B16D3A">
        <w:rPr>
          <w:rFonts w:eastAsia="Times New Roman"/>
          <w:lang w:eastAsia="cs-CZ"/>
        </w:rPr>
        <w:t>i zjevné, že by újma, která by byla způsobena dotčením práv nabytých v dobré víře nebo dotčením veřejného zájmu, převýšila újmu hrozící vyvlastňovanému.</w:t>
      </w:r>
    </w:p>
    <w:p w:rsidR="007A0E8D" w:rsidRPr="007A0E8D" w:rsidRDefault="000865D6" w:rsidP="00CC0A29">
      <w:pPr>
        <w:pStyle w:val="Normln-tun"/>
        <w:rPr>
          <w:lang w:eastAsia="cs-CZ"/>
        </w:rPr>
      </w:pPr>
      <w:r w:rsidRPr="00B16D3A">
        <w:rPr>
          <w:lang w:eastAsia="cs-CZ"/>
        </w:rPr>
        <w:t xml:space="preserve">Zavedením zákonných lhůt do vyvlastňovacího řízení měla být řešena i problematika neaktuálnosti závěrů </w:t>
      </w:r>
      <w:r w:rsidRPr="00B16D3A">
        <w:rPr>
          <w:lang w:eastAsia="cs-CZ"/>
        </w:rPr>
        <w:t>ZP</w:t>
      </w:r>
      <w:r w:rsidR="003F056D" w:rsidRPr="00B16D3A">
        <w:rPr>
          <w:lang w:eastAsia="cs-CZ"/>
        </w:rPr>
        <w:t>, tj. splněn</w:t>
      </w:r>
      <w:r w:rsidR="00C25499" w:rsidRPr="00B16D3A">
        <w:rPr>
          <w:lang w:eastAsia="cs-CZ"/>
        </w:rPr>
        <w:t>í</w:t>
      </w:r>
      <w:r w:rsidRPr="00B16D3A">
        <w:rPr>
          <w:lang w:eastAsia="cs-CZ"/>
        </w:rPr>
        <w:t xml:space="preserve"> požadavk</w:t>
      </w:r>
      <w:r w:rsidR="00C25499" w:rsidRPr="00B16D3A">
        <w:rPr>
          <w:lang w:eastAsia="cs-CZ"/>
        </w:rPr>
        <w:t>u</w:t>
      </w:r>
      <w:r w:rsidRPr="00B16D3A">
        <w:rPr>
          <w:lang w:eastAsia="cs-CZ"/>
        </w:rPr>
        <w:t>, aby ocenění bylo provedeno podle oceňovacího předpisu účinného v době rozhodování o vyvlastnění.</w:t>
      </w:r>
      <w:r w:rsidR="00596844" w:rsidRPr="00B16D3A">
        <w:rPr>
          <w:lang w:eastAsia="cs-CZ"/>
        </w:rPr>
        <w:t xml:space="preserve"> (</w:t>
      </w:r>
      <w:r w:rsidR="00596844" w:rsidRPr="00B16D3A">
        <w:rPr>
          <w:i/>
          <w:iCs/>
          <w:lang w:eastAsia="cs-CZ"/>
        </w:rPr>
        <w:t>https://www.epravo.cz/top/clanky/zakonna-posloupnost-znaleckych-posudku-ve-vyvlastnovacim-rizeni-od-1-ledna-2021-113082.html</w:t>
      </w:r>
      <w:r w:rsidR="00596844" w:rsidRPr="00B16D3A">
        <w:rPr>
          <w:lang w:eastAsia="cs-CZ"/>
        </w:rPr>
        <w:t>)</w:t>
      </w:r>
    </w:p>
    <w:p w:rsidR="00EA06CF" w:rsidRPr="00302FEE" w:rsidRDefault="000865D6" w:rsidP="00EA06CF">
      <w:pPr>
        <w:pStyle w:val="Text-Normaln"/>
        <w:widowControl w:val="0"/>
        <w:rPr>
          <w:b/>
          <w:bCs/>
        </w:rPr>
      </w:pPr>
      <w:r w:rsidRPr="00302FEE">
        <w:rPr>
          <w:b/>
          <w:bCs/>
        </w:rPr>
        <w:t xml:space="preserve">Definice problému: </w:t>
      </w:r>
    </w:p>
    <w:p w:rsidR="00EA06CF" w:rsidRDefault="000865D6">
      <w:pPr>
        <w:pStyle w:val="Text-Normaln"/>
        <w:widowControl w:val="0"/>
        <w:numPr>
          <w:ilvl w:val="0"/>
          <w:numId w:val="82"/>
        </w:numPr>
        <w:ind w:left="426" w:hanging="426"/>
      </w:pPr>
      <w:r>
        <w:t>Finanční náročnost opakovaného zpracovávání znaleckých posudků</w:t>
      </w:r>
    </w:p>
    <w:p w:rsidR="00302FEE" w:rsidRPr="00302FEE" w:rsidRDefault="000865D6">
      <w:pPr>
        <w:pStyle w:val="Text-Normaln"/>
        <w:widowControl w:val="0"/>
        <w:numPr>
          <w:ilvl w:val="0"/>
          <w:numId w:val="82"/>
        </w:numPr>
        <w:ind w:left="426" w:hanging="426"/>
      </w:pPr>
      <w:r w:rsidRPr="00B16D3A">
        <w:rPr>
          <w:lang w:eastAsia="cs-CZ"/>
        </w:rPr>
        <w:t>Nevyjasněn</w:t>
      </w:r>
      <w:r>
        <w:rPr>
          <w:lang w:eastAsia="cs-CZ"/>
        </w:rPr>
        <w:t>ost</w:t>
      </w:r>
      <w:r w:rsidRPr="00B16D3A">
        <w:rPr>
          <w:lang w:eastAsia="cs-CZ"/>
        </w:rPr>
        <w:t xml:space="preserve"> otázk</w:t>
      </w:r>
      <w:r>
        <w:rPr>
          <w:lang w:eastAsia="cs-CZ"/>
        </w:rPr>
        <w:t>y</w:t>
      </w:r>
      <w:r w:rsidRPr="00B16D3A">
        <w:rPr>
          <w:lang w:eastAsia="cs-CZ"/>
        </w:rPr>
        <w:t xml:space="preserve"> aktuálnosti závěrů ZP vyplývající ze vzájemného vztahu ustanovení § 20 odst. 1, § 5 odst. 2 písm. a) a § 10 odst. 5 zákona o vyvlastnění.</w:t>
      </w:r>
    </w:p>
    <w:p w:rsidR="00302FEE" w:rsidRPr="00B16D3A" w:rsidRDefault="000865D6">
      <w:pPr>
        <w:pStyle w:val="Normln-tun"/>
        <w:numPr>
          <w:ilvl w:val="0"/>
          <w:numId w:val="100"/>
        </w:numPr>
        <w:rPr>
          <w:lang w:eastAsia="cs-CZ"/>
        </w:rPr>
      </w:pPr>
      <w:r w:rsidRPr="00B16D3A">
        <w:rPr>
          <w:lang w:eastAsia="cs-CZ"/>
        </w:rPr>
        <w:t xml:space="preserve">Dle ustanovení </w:t>
      </w:r>
      <w:r w:rsidRPr="00B16D3A">
        <w:rPr>
          <w:u w:val="single"/>
          <w:lang w:eastAsia="cs-CZ"/>
        </w:rPr>
        <w:t>§ 20 odst. 1</w:t>
      </w:r>
      <w:r w:rsidRPr="00B16D3A">
        <w:rPr>
          <w:lang w:eastAsia="cs-CZ"/>
        </w:rPr>
        <w:t xml:space="preserve"> zákona o vyvlastnění platí: „Náhrada se stanoví na základě znaleckého posudku vyhotoveného na žádost vyvlastňovaného, pokud jej vyvlastňovaný předloží vyvlastňovacímu úřadu ve lhůtě 30 dnů ode dne, kdy bylo vyvlastňovanému doruč</w:t>
      </w:r>
      <w:r w:rsidRPr="00B16D3A">
        <w:rPr>
          <w:lang w:eastAsia="cs-CZ"/>
        </w:rPr>
        <w:t xml:space="preserve">eno uvědomění o zahájení vyvlastňovacího řízení, v opačném případě se náhrada stanoví na základě znaleckého posudku podle § 5 odst. 2 písm. a) vyhotoveného na žádost vyvlastnitele; ustanovení § 10 odst. 4 tím není dotčeno“. </w:t>
      </w:r>
    </w:p>
    <w:p w:rsidR="00302FEE" w:rsidRPr="00B16D3A" w:rsidRDefault="000865D6">
      <w:pPr>
        <w:pStyle w:val="Normln-tun"/>
        <w:numPr>
          <w:ilvl w:val="0"/>
          <w:numId w:val="100"/>
        </w:numPr>
        <w:rPr>
          <w:lang w:eastAsia="cs-CZ"/>
        </w:rPr>
      </w:pPr>
      <w:r w:rsidRPr="00B16D3A">
        <w:rPr>
          <w:lang w:eastAsia="cs-CZ"/>
        </w:rPr>
        <w:t xml:space="preserve">Pokud </w:t>
      </w:r>
      <w:r>
        <w:rPr>
          <w:lang w:eastAsia="cs-CZ"/>
        </w:rPr>
        <w:t>ale</w:t>
      </w:r>
      <w:r w:rsidRPr="00B16D3A">
        <w:rPr>
          <w:lang w:eastAsia="cs-CZ"/>
        </w:rPr>
        <w:t xml:space="preserve"> vyvlastňovaný ZP nepř</w:t>
      </w:r>
      <w:r w:rsidRPr="00B16D3A">
        <w:rPr>
          <w:lang w:eastAsia="cs-CZ"/>
        </w:rPr>
        <w:t xml:space="preserve">edloží, bude náhrada stanovena na základě ZP přiloženého vyvlastnitelem k návrhu smlouvy, podle kterého navrhl vyvlastnitel vyvlastňovanému cenu za získání potřebných práv k pozemku nebo ke stavbě (dle </w:t>
      </w:r>
      <w:r w:rsidRPr="00B16D3A">
        <w:rPr>
          <w:u w:val="single"/>
          <w:lang w:eastAsia="cs-CZ"/>
        </w:rPr>
        <w:t>§ 5 odst. 2 písm. a)</w:t>
      </w:r>
      <w:r w:rsidRPr="00B16D3A">
        <w:rPr>
          <w:lang w:eastAsia="cs-CZ"/>
        </w:rPr>
        <w:t xml:space="preserve">). </w:t>
      </w:r>
    </w:p>
    <w:p w:rsidR="00302FEE" w:rsidRPr="00B16D3A" w:rsidRDefault="000865D6">
      <w:pPr>
        <w:pStyle w:val="Normln-tun"/>
        <w:numPr>
          <w:ilvl w:val="0"/>
          <w:numId w:val="100"/>
        </w:numPr>
        <w:rPr>
          <w:lang w:eastAsia="cs-CZ"/>
        </w:rPr>
      </w:pPr>
      <w:r w:rsidRPr="00B16D3A">
        <w:rPr>
          <w:lang w:eastAsia="cs-CZ"/>
        </w:rPr>
        <w:t xml:space="preserve">Současně je však ustanovením </w:t>
      </w:r>
      <w:r w:rsidRPr="00B16D3A">
        <w:rPr>
          <w:u w:val="single"/>
          <w:lang w:eastAsia="cs-CZ"/>
        </w:rPr>
        <w:t>§</w:t>
      </w:r>
      <w:r w:rsidRPr="00B16D3A">
        <w:rPr>
          <w:u w:val="single"/>
          <w:lang w:eastAsia="cs-CZ"/>
        </w:rPr>
        <w:t xml:space="preserve"> 10 odst. 5</w:t>
      </w:r>
      <w:r w:rsidRPr="00B16D3A">
        <w:rPr>
          <w:lang w:eastAsia="cs-CZ"/>
        </w:rPr>
        <w:t xml:space="preserve"> zákona o vyvlastnění požadováno, aby se cena pozemku nebo stavby pro účely stanovení náhrady určila vždy podle jejich skutečného stavu ke dni podání žádosti o vyvlastnění…“. </w:t>
      </w:r>
    </w:p>
    <w:p w:rsidR="00302FEE" w:rsidRPr="006D5337" w:rsidRDefault="000865D6" w:rsidP="00302FEE">
      <w:pPr>
        <w:pStyle w:val="Text-Normaln"/>
        <w:widowControl w:val="0"/>
        <w:ind w:left="356"/>
        <w:rPr>
          <w:color w:val="FF0000"/>
          <w:highlight w:val="yellow"/>
        </w:rPr>
      </w:pPr>
      <w:r w:rsidRPr="00B16D3A">
        <w:rPr>
          <w:lang w:eastAsia="cs-CZ"/>
        </w:rPr>
        <w:lastRenderedPageBreak/>
        <w:t xml:space="preserve">Shodně jako v úpravě zákona o vyvlastnění před novelizací nemůže ZP, </w:t>
      </w:r>
      <w:r w:rsidRPr="00B16D3A">
        <w:rPr>
          <w:lang w:eastAsia="cs-CZ"/>
        </w:rPr>
        <w:t>který tvořil přílohu návrhu smlouvy vyvlastňovanému, splňovat podmínku dle ustanovení § 10 odst. 5 zákona o vyvlastnění. Explicitním zakomponováním ZP, jež tvořil přílohu návrhu smlouvy o získání práv k pozemku nebo ke stavbě vyvlastňovanému, do zákonné po</w:t>
      </w:r>
      <w:r w:rsidRPr="00B16D3A">
        <w:rPr>
          <w:lang w:eastAsia="cs-CZ"/>
        </w:rPr>
        <w:t>sloupnosti vzniká otázka, kdy je ještě možné ZP, který nesplňuje požadavky ustanovení § 10 odst. 5 zákona o vyvlastnění, užít pro stanovení náhrady za vyvlastnění a kdy již bude jeho neaktuálnost natolik značná, že bude nutné vyhotovit nový. (</w:t>
      </w:r>
      <w:r w:rsidRPr="00B16D3A">
        <w:rPr>
          <w:i/>
          <w:iCs/>
          <w:lang w:eastAsia="cs-CZ"/>
        </w:rPr>
        <w:t>https://www.e</w:t>
      </w:r>
      <w:r w:rsidRPr="00B16D3A">
        <w:rPr>
          <w:i/>
          <w:iCs/>
          <w:lang w:eastAsia="cs-CZ"/>
        </w:rPr>
        <w:t>pravo.cz/top/clanky/zakonna-posloupnost-znaleckych-posudku-ve-vyvlastnovacim-rizeni-od-1-ledna-2021-113082.html</w:t>
      </w:r>
      <w:r w:rsidRPr="00B16D3A">
        <w:rPr>
          <w:lang w:eastAsia="cs-CZ"/>
        </w:rPr>
        <w:t>)</w:t>
      </w:r>
    </w:p>
    <w:p w:rsidR="00EA06CF" w:rsidRPr="007E35AD" w:rsidRDefault="000865D6" w:rsidP="00EA06CF">
      <w:pPr>
        <w:pStyle w:val="Text-Normaln"/>
        <w:widowControl w:val="0"/>
        <w:rPr>
          <w:rFonts w:cs="Arial"/>
          <w:szCs w:val="24"/>
        </w:rPr>
      </w:pPr>
      <w:r w:rsidRPr="007E35AD">
        <w:rPr>
          <w:b/>
        </w:rPr>
        <w:t>Cíl:</w:t>
      </w:r>
      <w:r w:rsidRPr="007E35AD">
        <w:t xml:space="preserve"> </w:t>
      </w:r>
      <w:r w:rsidR="006D5337" w:rsidRPr="007E35AD">
        <w:rPr>
          <w:rFonts w:cs="Arial"/>
          <w:szCs w:val="24"/>
        </w:rPr>
        <w:t xml:space="preserve">Snížení </w:t>
      </w:r>
      <w:r w:rsidR="007E35AD">
        <w:rPr>
          <w:rFonts w:cs="Arial"/>
          <w:szCs w:val="24"/>
        </w:rPr>
        <w:t>administrativní zátěže,</w:t>
      </w:r>
      <w:r w:rsidR="007E35AD" w:rsidRPr="007E35AD">
        <w:rPr>
          <w:rFonts w:cs="Arial"/>
          <w:szCs w:val="24"/>
        </w:rPr>
        <w:t xml:space="preserve"> snížení možnosti obstru</w:t>
      </w:r>
      <w:r w:rsidR="0074313C">
        <w:rPr>
          <w:rFonts w:cs="Arial"/>
          <w:szCs w:val="24"/>
        </w:rPr>
        <w:t>kcí</w:t>
      </w:r>
      <w:r w:rsidR="00AC4BAC" w:rsidRPr="007E35AD">
        <w:rPr>
          <w:rFonts w:cs="Arial"/>
          <w:szCs w:val="24"/>
        </w:rPr>
        <w:t>; řešení otázky aktuálnosti ZP</w:t>
      </w:r>
    </w:p>
    <w:p w:rsidR="00EA06CF" w:rsidRPr="0074313C" w:rsidRDefault="000865D6" w:rsidP="00EA06CF">
      <w:pPr>
        <w:pStyle w:val="Text-Normaln"/>
        <w:widowControl w:val="0"/>
        <w:rPr>
          <w:b/>
        </w:rPr>
      </w:pPr>
      <w:r w:rsidRPr="0074313C">
        <w:rPr>
          <w:b/>
        </w:rPr>
        <w:t>Návrh variant řešení:</w:t>
      </w:r>
    </w:p>
    <w:p w:rsidR="00EA06CF" w:rsidRPr="0074313C" w:rsidRDefault="000865D6" w:rsidP="00EA06CF">
      <w:pPr>
        <w:pStyle w:val="Text-Normaln"/>
        <w:widowControl w:val="0"/>
        <w:rPr>
          <w:i/>
        </w:rPr>
      </w:pPr>
      <w:r w:rsidRPr="0074313C">
        <w:rPr>
          <w:b/>
          <w:i/>
        </w:rPr>
        <w:t>Varianta 0:</w:t>
      </w:r>
      <w:r w:rsidRPr="0074313C">
        <w:rPr>
          <w:i/>
        </w:rPr>
        <w:t xml:space="preserve"> Zachování současného stavu</w:t>
      </w:r>
    </w:p>
    <w:p w:rsidR="00EA06CF" w:rsidRPr="0074313C" w:rsidRDefault="000865D6" w:rsidP="00EA06CF">
      <w:pPr>
        <w:pStyle w:val="Text-Normaln"/>
        <w:widowControl w:val="0"/>
        <w:rPr>
          <w:i/>
        </w:rPr>
      </w:pPr>
      <w:r w:rsidRPr="0074313C">
        <w:rPr>
          <w:b/>
          <w:i/>
        </w:rPr>
        <w:t>Varianta 1:</w:t>
      </w:r>
      <w:r w:rsidRPr="0074313C">
        <w:rPr>
          <w:i/>
        </w:rPr>
        <w:t xml:space="preserve"> </w:t>
      </w:r>
      <w:r w:rsidR="00796BBC" w:rsidRPr="0074313C">
        <w:rPr>
          <w:i/>
        </w:rPr>
        <w:t>K</w:t>
      </w:r>
      <w:r w:rsidR="00DF603A" w:rsidRPr="0074313C">
        <w:rPr>
          <w:i/>
        </w:rPr>
        <w:t> návrhu smlouvy</w:t>
      </w:r>
      <w:r w:rsidR="00796BBC" w:rsidRPr="0074313C">
        <w:rPr>
          <w:i/>
        </w:rPr>
        <w:t xml:space="preserve"> vyvlastnitel nebude muset předkládat </w:t>
      </w:r>
      <w:r w:rsidR="000D3654">
        <w:rPr>
          <w:i/>
        </w:rPr>
        <w:t>ZP</w:t>
      </w:r>
      <w:r w:rsidR="00796BBC" w:rsidRPr="0074313C">
        <w:rPr>
          <w:i/>
        </w:rPr>
        <w:t>, ale pouze ocenění</w:t>
      </w:r>
      <w:r w:rsidR="000D3654">
        <w:rPr>
          <w:i/>
        </w:rPr>
        <w:t>, ZP vyvlastnitel předloží až k žádosti o vyvlastnění</w:t>
      </w:r>
    </w:p>
    <w:p w:rsidR="00EA06CF" w:rsidRPr="0074313C" w:rsidRDefault="000865D6" w:rsidP="00EA06CF">
      <w:pPr>
        <w:pStyle w:val="Text-Normaln"/>
        <w:widowControl w:val="0"/>
        <w:rPr>
          <w:b/>
          <w:szCs w:val="24"/>
        </w:rPr>
      </w:pPr>
      <w:r w:rsidRPr="0074313C">
        <w:rPr>
          <w:b/>
          <w:szCs w:val="24"/>
        </w:rPr>
        <w:t>Identifikace a kvantifikace nákladů a přínosů</w:t>
      </w:r>
    </w:p>
    <w:p w:rsidR="00EA06CF" w:rsidRPr="0074313C" w:rsidRDefault="000865D6" w:rsidP="00EA06CF">
      <w:pPr>
        <w:pStyle w:val="Titulek"/>
      </w:pPr>
      <w:r w:rsidRPr="0074313C">
        <w:t xml:space="preserve">Tabulka </w:t>
      </w:r>
      <w:r w:rsidRPr="0074313C">
        <w:rPr>
          <w:noProof/>
        </w:rPr>
        <w:fldChar w:fldCharType="begin"/>
      </w:r>
      <w:r w:rsidRPr="0074313C">
        <w:rPr>
          <w:noProof/>
        </w:rPr>
        <w:instrText xml:space="preserve"> SEQ Tabulka \* ARABIC </w:instrText>
      </w:r>
      <w:r w:rsidRPr="0074313C">
        <w:rPr>
          <w:noProof/>
        </w:rPr>
        <w:fldChar w:fldCharType="separate"/>
      </w:r>
      <w:r w:rsidRPr="0074313C">
        <w:rPr>
          <w:noProof/>
        </w:rPr>
        <w:t>20</w:t>
      </w:r>
      <w:r w:rsidRPr="0074313C">
        <w:rPr>
          <w:noProof/>
        </w:rPr>
        <w:fldChar w:fldCharType="end"/>
      </w:r>
      <w:r w:rsidRPr="0074313C">
        <w:t>: Ide</w:t>
      </w:r>
      <w:r w:rsidRPr="0074313C">
        <w:t xml:space="preserve">ntifikace nákladů a přínosů: </w:t>
      </w:r>
    </w:p>
    <w:tbl>
      <w:tblPr>
        <w:tblStyle w:val="Tabulkaseznamu21"/>
        <w:tblW w:w="9072" w:type="dxa"/>
        <w:tblInd w:w="108" w:type="dxa"/>
        <w:tblLook w:val="04A0" w:firstRow="1" w:lastRow="0" w:firstColumn="1" w:lastColumn="0" w:noHBand="0" w:noVBand="1"/>
      </w:tblPr>
      <w:tblGrid>
        <w:gridCol w:w="1985"/>
        <w:gridCol w:w="7087"/>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A06CF" w:rsidRPr="0074313C" w:rsidRDefault="000865D6" w:rsidP="007320A7">
            <w:pPr>
              <w:widowControl w:val="0"/>
              <w:tabs>
                <w:tab w:val="left" w:pos="142"/>
              </w:tabs>
              <w:spacing w:before="60" w:after="60"/>
              <w:rPr>
                <w:rFonts w:asciiTheme="minorHAnsi" w:hAnsiTheme="minorHAnsi" w:cstheme="minorHAnsi"/>
                <w:spacing w:val="-4"/>
                <w:sz w:val="20"/>
                <w:szCs w:val="20"/>
              </w:rPr>
            </w:pPr>
            <w:r w:rsidRPr="0074313C">
              <w:rPr>
                <w:rFonts w:asciiTheme="minorHAnsi" w:hAnsiTheme="minorHAnsi" w:cstheme="minorHAnsi"/>
                <w:spacing w:val="-4"/>
                <w:sz w:val="20"/>
                <w:szCs w:val="20"/>
              </w:rPr>
              <w:t>Dotčená strana</w:t>
            </w:r>
          </w:p>
        </w:tc>
        <w:tc>
          <w:tcPr>
            <w:tcW w:w="7087" w:type="dxa"/>
            <w:vAlign w:val="center"/>
          </w:tcPr>
          <w:p w:rsidR="00EA06CF" w:rsidRPr="0074313C" w:rsidRDefault="000865D6" w:rsidP="007320A7">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4313C">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A06CF" w:rsidRPr="0074313C" w:rsidRDefault="000865D6" w:rsidP="007320A7">
            <w:pPr>
              <w:widowControl w:val="0"/>
              <w:tabs>
                <w:tab w:val="left" w:pos="142"/>
              </w:tabs>
              <w:spacing w:before="60" w:after="60"/>
              <w:jc w:val="left"/>
              <w:rPr>
                <w:rFonts w:asciiTheme="minorHAnsi" w:hAnsiTheme="minorHAnsi" w:cstheme="minorHAnsi"/>
                <w:spacing w:val="-4"/>
                <w:sz w:val="20"/>
                <w:szCs w:val="20"/>
              </w:rPr>
            </w:pPr>
            <w:r w:rsidRPr="0074313C">
              <w:rPr>
                <w:rFonts w:asciiTheme="minorHAnsi" w:hAnsiTheme="minorHAnsi" w:cstheme="minorHAnsi"/>
                <w:spacing w:val="-4"/>
                <w:sz w:val="20"/>
                <w:szCs w:val="20"/>
              </w:rPr>
              <w:t>Vyvlastnitelé</w:t>
            </w:r>
          </w:p>
        </w:tc>
        <w:tc>
          <w:tcPr>
            <w:tcW w:w="7087" w:type="dxa"/>
            <w:vAlign w:val="center"/>
          </w:tcPr>
          <w:p w:rsidR="004705EB" w:rsidRPr="000D3654" w:rsidRDefault="000865D6" w:rsidP="006D533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4313C">
              <w:rPr>
                <w:rFonts w:asciiTheme="minorHAnsi" w:hAnsiTheme="minorHAnsi" w:cstheme="minorHAnsi"/>
                <w:i/>
                <w:sz w:val="20"/>
                <w:szCs w:val="20"/>
              </w:rPr>
              <w:t xml:space="preserve">Varianta 1 </w:t>
            </w:r>
            <w:r w:rsidR="0074313C" w:rsidRPr="0074313C">
              <w:rPr>
                <w:rFonts w:asciiTheme="minorHAnsi" w:hAnsiTheme="minorHAnsi" w:cstheme="minorHAnsi"/>
                <w:i/>
                <w:sz w:val="20"/>
                <w:szCs w:val="20"/>
              </w:rPr>
              <w:t>– Snížení</w:t>
            </w:r>
            <w:r w:rsidR="0074313C">
              <w:rPr>
                <w:rFonts w:asciiTheme="minorHAnsi" w:hAnsiTheme="minorHAnsi" w:cstheme="minorHAnsi"/>
                <w:i/>
                <w:sz w:val="20"/>
                <w:szCs w:val="20"/>
              </w:rPr>
              <w:t xml:space="preserve"> nákladů na ZP</w:t>
            </w:r>
            <w:r w:rsidR="000D3654">
              <w:rPr>
                <w:rFonts w:asciiTheme="minorHAnsi" w:hAnsiTheme="minorHAnsi" w:cstheme="minorHAnsi"/>
                <w:i/>
                <w:sz w:val="20"/>
                <w:szCs w:val="20"/>
              </w:rPr>
              <w:t>, vyšší právní jistota</w:t>
            </w:r>
          </w:p>
        </w:tc>
      </w:tr>
      <w:tr w:rsidR="00FC72A1" w:rsidTr="00FC72A1">
        <w:tc>
          <w:tcPr>
            <w:cnfStyle w:val="001000000000" w:firstRow="0" w:lastRow="0" w:firstColumn="1" w:lastColumn="0" w:oddVBand="0" w:evenVBand="0" w:oddHBand="0" w:evenHBand="0" w:firstRowFirstColumn="0" w:firstRowLastColumn="0" w:lastRowFirstColumn="0" w:lastRowLastColumn="0"/>
            <w:tcW w:w="1985" w:type="dxa"/>
            <w:vAlign w:val="center"/>
          </w:tcPr>
          <w:p w:rsidR="00EA06CF" w:rsidRPr="0074313C" w:rsidRDefault="000865D6" w:rsidP="007320A7">
            <w:pPr>
              <w:widowControl w:val="0"/>
              <w:tabs>
                <w:tab w:val="left" w:pos="142"/>
              </w:tabs>
              <w:spacing w:before="60" w:after="60"/>
              <w:jc w:val="left"/>
              <w:rPr>
                <w:rFonts w:asciiTheme="minorHAnsi" w:hAnsiTheme="minorHAnsi" w:cstheme="minorHAnsi"/>
                <w:spacing w:val="-4"/>
                <w:sz w:val="20"/>
                <w:szCs w:val="20"/>
              </w:rPr>
            </w:pPr>
            <w:r w:rsidRPr="0074313C">
              <w:rPr>
                <w:rFonts w:asciiTheme="minorHAnsi" w:hAnsiTheme="minorHAnsi" w:cstheme="minorHAnsi"/>
                <w:spacing w:val="-4"/>
                <w:sz w:val="20"/>
                <w:szCs w:val="20"/>
              </w:rPr>
              <w:t>Vyvlastňovaní</w:t>
            </w:r>
          </w:p>
        </w:tc>
        <w:tc>
          <w:tcPr>
            <w:tcW w:w="7087" w:type="dxa"/>
            <w:vAlign w:val="center"/>
          </w:tcPr>
          <w:p w:rsidR="004705EB" w:rsidRPr="0074313C" w:rsidRDefault="000865D6" w:rsidP="004705EB">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4313C">
              <w:rPr>
                <w:rFonts w:asciiTheme="minorHAnsi" w:hAnsiTheme="minorHAnsi" w:cstheme="minorHAnsi"/>
                <w:i/>
                <w:sz w:val="20"/>
                <w:szCs w:val="20"/>
              </w:rPr>
              <w:t xml:space="preserve">Varianta 1 </w:t>
            </w:r>
            <w:r w:rsidR="0074313C" w:rsidRPr="0074313C">
              <w:rPr>
                <w:rFonts w:asciiTheme="minorHAnsi" w:hAnsiTheme="minorHAnsi" w:cstheme="minorHAnsi"/>
                <w:i/>
                <w:sz w:val="20"/>
                <w:szCs w:val="20"/>
              </w:rPr>
              <w:t>– Vyšší</w:t>
            </w:r>
            <w:r w:rsidR="0074313C">
              <w:rPr>
                <w:rFonts w:asciiTheme="minorHAnsi" w:hAnsiTheme="minorHAnsi" w:cstheme="minorHAnsi"/>
                <w:i/>
                <w:sz w:val="20"/>
                <w:szCs w:val="20"/>
              </w:rPr>
              <w:t xml:space="preserve"> míra nedůvěry v závěry ocenění</w:t>
            </w:r>
          </w:p>
          <w:p w:rsidR="00EA06CF" w:rsidRPr="0074313C" w:rsidRDefault="000865D6" w:rsidP="004705EB">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4313C">
              <w:rPr>
                <w:rFonts w:asciiTheme="minorHAnsi" w:hAnsiTheme="minorHAnsi" w:cstheme="minorHAnsi"/>
                <w:i/>
                <w:sz w:val="20"/>
                <w:szCs w:val="20"/>
              </w:rPr>
              <w:t xml:space="preserve">Varianta </w:t>
            </w:r>
            <w:r w:rsidR="000D3654">
              <w:rPr>
                <w:rFonts w:asciiTheme="minorHAnsi" w:hAnsiTheme="minorHAnsi" w:cstheme="minorHAnsi"/>
                <w:i/>
                <w:sz w:val="20"/>
                <w:szCs w:val="20"/>
              </w:rPr>
              <w:t>1</w:t>
            </w:r>
            <w:r w:rsidRPr="0074313C">
              <w:rPr>
                <w:rFonts w:asciiTheme="minorHAnsi" w:hAnsiTheme="minorHAnsi" w:cstheme="minorHAnsi"/>
                <w:i/>
                <w:sz w:val="20"/>
                <w:szCs w:val="20"/>
              </w:rPr>
              <w:t xml:space="preserve"> –</w:t>
            </w:r>
            <w:r w:rsidR="0074313C">
              <w:rPr>
                <w:rFonts w:asciiTheme="minorHAnsi" w:hAnsiTheme="minorHAnsi" w:cstheme="minorHAnsi"/>
                <w:i/>
                <w:sz w:val="20"/>
                <w:szCs w:val="20"/>
              </w:rPr>
              <w:t xml:space="preserve"> Vyšší právní jistota</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vAlign w:val="center"/>
          </w:tcPr>
          <w:p w:rsidR="00EA06CF" w:rsidRPr="0074313C" w:rsidRDefault="000865D6" w:rsidP="007320A7">
            <w:pPr>
              <w:widowControl w:val="0"/>
              <w:tabs>
                <w:tab w:val="left" w:pos="142"/>
              </w:tabs>
              <w:spacing w:before="60" w:after="60"/>
              <w:jc w:val="left"/>
              <w:rPr>
                <w:rFonts w:asciiTheme="minorHAnsi" w:hAnsiTheme="minorHAnsi" w:cstheme="minorHAnsi"/>
                <w:spacing w:val="-4"/>
                <w:sz w:val="20"/>
                <w:szCs w:val="20"/>
              </w:rPr>
            </w:pPr>
            <w:r w:rsidRPr="0074313C">
              <w:rPr>
                <w:rFonts w:asciiTheme="minorHAnsi" w:hAnsiTheme="minorHAnsi" w:cstheme="minorHAnsi"/>
                <w:spacing w:val="-4"/>
                <w:sz w:val="20"/>
                <w:szCs w:val="20"/>
              </w:rPr>
              <w:t>Vyvlastňovací úřady</w:t>
            </w:r>
          </w:p>
        </w:tc>
        <w:tc>
          <w:tcPr>
            <w:tcW w:w="7087" w:type="dxa"/>
            <w:vAlign w:val="center"/>
          </w:tcPr>
          <w:p w:rsidR="00EA06CF" w:rsidRPr="0074313C" w:rsidRDefault="000865D6" w:rsidP="004705EB">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74313C">
              <w:rPr>
                <w:rFonts w:asciiTheme="minorHAnsi" w:hAnsiTheme="minorHAnsi" w:cstheme="minorHAnsi"/>
                <w:i/>
                <w:sz w:val="20"/>
                <w:szCs w:val="20"/>
              </w:rPr>
              <w:t xml:space="preserve">Varianta </w:t>
            </w:r>
            <w:r w:rsidR="000D3654">
              <w:rPr>
                <w:rFonts w:asciiTheme="minorHAnsi" w:hAnsiTheme="minorHAnsi" w:cstheme="minorHAnsi"/>
                <w:i/>
                <w:sz w:val="20"/>
                <w:szCs w:val="20"/>
              </w:rPr>
              <w:t>1</w:t>
            </w:r>
            <w:r w:rsidRPr="0074313C">
              <w:rPr>
                <w:rFonts w:asciiTheme="minorHAnsi" w:hAnsiTheme="minorHAnsi" w:cstheme="minorHAnsi"/>
                <w:i/>
                <w:sz w:val="20"/>
                <w:szCs w:val="20"/>
              </w:rPr>
              <w:t xml:space="preserve"> –</w:t>
            </w:r>
            <w:r w:rsidR="0074313C">
              <w:rPr>
                <w:rFonts w:asciiTheme="minorHAnsi" w:hAnsiTheme="minorHAnsi" w:cstheme="minorHAnsi"/>
                <w:i/>
                <w:sz w:val="20"/>
                <w:szCs w:val="20"/>
              </w:rPr>
              <w:t xml:space="preserve"> Vyšší právní jistota</w:t>
            </w:r>
          </w:p>
        </w:tc>
      </w:tr>
    </w:tbl>
    <w:p w:rsidR="00EA06CF" w:rsidRPr="00E16AA2" w:rsidRDefault="000865D6" w:rsidP="00EA06CF">
      <w:pPr>
        <w:pStyle w:val="Text-Normaln"/>
        <w:widowControl w:val="0"/>
        <w:spacing w:before="240"/>
        <w:rPr>
          <w:b/>
        </w:rPr>
      </w:pPr>
      <w:r w:rsidRPr="00E16AA2">
        <w:rPr>
          <w:b/>
        </w:rPr>
        <w:t>Volba varianty a její implementace</w:t>
      </w:r>
    </w:p>
    <w:p w:rsidR="0074313C" w:rsidRDefault="000865D6" w:rsidP="0074313C">
      <w:pPr>
        <w:pStyle w:val="Normln-tun"/>
      </w:pPr>
      <w:r>
        <w:t>Úvodem hodnocení uveďme stručně rozdíl mezi oceněním (odhadem) a znaleckým posudkem.</w:t>
      </w:r>
    </w:p>
    <w:p w:rsidR="0074313C" w:rsidRDefault="000865D6" w:rsidP="0074313C">
      <w:pPr>
        <w:pStyle w:val="Normln-tun"/>
      </w:pPr>
      <w:r w:rsidRPr="0074313C">
        <w:t xml:space="preserve">Znalec je osoba jmenovaná Ministrem spravedlnosti nebo jím pověřeným předsedou krajského soudu v </w:t>
      </w:r>
      <w:r w:rsidRPr="0074313C">
        <w:t>souladu se zákonem č. 36/1967 Sb., o znalcích a tlumočnících</w:t>
      </w:r>
      <w:r>
        <w:t>, a j</w:t>
      </w:r>
      <w:r w:rsidRPr="0074313C">
        <w:t xml:space="preserve">e vždy jmenovaný pro konkrétní obor (v tomto případě ekonomika – ceny a odhady nemovitostí). Znalci jsou na rozdíl od odhadců jsou za vypracované posudky trestně odpovědní. Znalecký ústav, v </w:t>
      </w:r>
      <w:r w:rsidRPr="0074313C">
        <w:t xml:space="preserve">novější úpravě i znalecká kancelář, je dalším možným zpracovatelem znaleckého posudku. Jedná se o buď o </w:t>
      </w:r>
      <w:r w:rsidR="00786DEF">
        <w:t>podnikatelské subjekty</w:t>
      </w:r>
      <w:r w:rsidRPr="0074313C">
        <w:t xml:space="preserve"> se statutárními zástupci nebo zaměstnanci, kteří mají status znalce</w:t>
      </w:r>
      <w:r w:rsidR="00786DEF">
        <w:t>.</w:t>
      </w:r>
      <w:r w:rsidRPr="0074313C">
        <w:t xml:space="preserve"> V některých případech jako znalecký ústav vystupují vzděláva</w:t>
      </w:r>
      <w:r w:rsidRPr="0074313C">
        <w:t>cí instituce – vysoké školy.</w:t>
      </w:r>
      <w:r w:rsidR="00786DEF">
        <w:t xml:space="preserve"> K </w:t>
      </w:r>
      <w:r w:rsidR="00786DEF" w:rsidRPr="0074313C">
        <w:t>21</w:t>
      </w:r>
      <w:r w:rsidR="00786DEF">
        <w:t xml:space="preserve">. </w:t>
      </w:r>
      <w:r w:rsidR="00786DEF" w:rsidRPr="0074313C">
        <w:t>3</w:t>
      </w:r>
      <w:r w:rsidR="00786DEF">
        <w:t xml:space="preserve">. </w:t>
      </w:r>
      <w:r w:rsidR="00786DEF" w:rsidRPr="0074313C">
        <w:t>2022</w:t>
      </w:r>
      <w:r w:rsidR="00786DEF">
        <w:t xml:space="preserve"> bylo v ČR </w:t>
      </w:r>
      <w:r w:rsidRPr="0074313C">
        <w:t>285 znalců</w:t>
      </w:r>
      <w:r w:rsidR="00786DEF">
        <w:t xml:space="preserve"> v řešeném oboru.</w:t>
      </w:r>
      <w:r w:rsidRPr="0074313C">
        <w:t> </w:t>
      </w:r>
    </w:p>
    <w:p w:rsidR="00786DEF" w:rsidRPr="0074313C" w:rsidRDefault="000865D6" w:rsidP="00786DEF">
      <w:pPr>
        <w:pStyle w:val="Normln-tun"/>
      </w:pPr>
      <w:r w:rsidRPr="0074313C">
        <w:t xml:space="preserve">Znalecký posudek </w:t>
      </w:r>
      <w:r>
        <w:t>m</w:t>
      </w:r>
      <w:r w:rsidRPr="0074313C">
        <w:t xml:space="preserve">á danou zákonnou formální úpravu. Obsahuje znaleckou doložku, </w:t>
      </w:r>
      <w:r w:rsidR="00476439">
        <w:t>s</w:t>
      </w:r>
      <w:r w:rsidRPr="0074313C">
        <w:t xml:space="preserve"> označení</w:t>
      </w:r>
      <w:r w:rsidR="00476439">
        <w:t>m</w:t>
      </w:r>
      <w:r w:rsidRPr="0074313C">
        <w:t xml:space="preserve"> seznamu, v němž je znalec zapsán, označení</w:t>
      </w:r>
      <w:r w:rsidR="00476439">
        <w:t>m</w:t>
      </w:r>
      <w:r w:rsidRPr="0074313C">
        <w:t xml:space="preserve"> oboru, v němž je oprávněn podávat posudky, a čísl</w:t>
      </w:r>
      <w:r w:rsidR="00476439">
        <w:t>em</w:t>
      </w:r>
      <w:r w:rsidRPr="0074313C">
        <w:t xml:space="preserve"> položky, pod kterou je úkon zapsán ve znaleckém deníku. </w:t>
      </w:r>
      <w:r w:rsidR="00476439">
        <w:t>J</w:t>
      </w:r>
      <w:r w:rsidRPr="0074313C">
        <w:t>e finančně nejnáročnější</w:t>
      </w:r>
      <w:r w:rsidR="00476439">
        <w:t>m</w:t>
      </w:r>
      <w:r w:rsidRPr="0074313C">
        <w:t xml:space="preserve"> ocenění</w:t>
      </w:r>
      <w:r w:rsidR="00476439">
        <w:t>m</w:t>
      </w:r>
      <w:r w:rsidRPr="0074313C">
        <w:t xml:space="preserve"> nemovitosti. </w:t>
      </w:r>
      <w:r w:rsidR="00476439">
        <w:t>C</w:t>
      </w:r>
      <w:r w:rsidRPr="0074313C">
        <w:t xml:space="preserve">eny za posudky </w:t>
      </w:r>
      <w:r w:rsidR="00476439">
        <w:t xml:space="preserve">si znalci </w:t>
      </w:r>
      <w:r w:rsidRPr="0074313C">
        <w:t>stanovují sami</w:t>
      </w:r>
      <w:r w:rsidR="00476439">
        <w:t>.</w:t>
      </w:r>
      <w:r w:rsidRPr="0074313C">
        <w:t xml:space="preserve"> </w:t>
      </w:r>
      <w:r w:rsidR="00476439">
        <w:t>C</w:t>
      </w:r>
      <w:r w:rsidRPr="0074313C">
        <w:t>enové rozpětí poměrně široké</w:t>
      </w:r>
      <w:r w:rsidR="00476439">
        <w:t xml:space="preserve"> s tím, že z</w:t>
      </w:r>
      <w:r w:rsidRPr="0074313C">
        <w:t xml:space="preserve">áleží </w:t>
      </w:r>
      <w:r w:rsidR="00476439">
        <w:t>především</w:t>
      </w:r>
      <w:r w:rsidRPr="0074313C">
        <w:t xml:space="preserve"> na typu nemovitosti a složitosti případu. </w:t>
      </w:r>
      <w:bookmarkStart w:id="131" w:name="_Hlk110843288"/>
      <w:r w:rsidR="00476439">
        <w:t>U</w:t>
      </w:r>
      <w:r w:rsidRPr="0074313C">
        <w:t xml:space="preserve"> bytu </w:t>
      </w:r>
      <w:r w:rsidR="00476439">
        <w:t>se dle internetové rešerše může cena posudku pohybovat</w:t>
      </w:r>
      <w:r w:rsidRPr="0074313C">
        <w:t xml:space="preserve"> od 2</w:t>
      </w:r>
      <w:r w:rsidR="00476439">
        <w:t> </w:t>
      </w:r>
      <w:r w:rsidRPr="0074313C">
        <w:t>500</w:t>
      </w:r>
      <w:r w:rsidR="00476439">
        <w:t> </w:t>
      </w:r>
      <w:r w:rsidRPr="0074313C">
        <w:t>Kč do 5</w:t>
      </w:r>
      <w:r w:rsidR="00476439">
        <w:t> </w:t>
      </w:r>
      <w:r w:rsidRPr="0074313C">
        <w:t>000 Kč</w:t>
      </w:r>
      <w:r w:rsidR="00476439">
        <w:t xml:space="preserve">, u jiných nemovitostí rámcově </w:t>
      </w:r>
      <w:r w:rsidRPr="0074313C">
        <w:t>od 3</w:t>
      </w:r>
      <w:r w:rsidR="00476439">
        <w:t xml:space="preserve"> </w:t>
      </w:r>
      <w:r w:rsidRPr="0074313C">
        <w:t>000 Kč do 8</w:t>
      </w:r>
      <w:r w:rsidR="00476439">
        <w:t xml:space="preserve"> </w:t>
      </w:r>
      <w:r w:rsidRPr="0074313C">
        <w:t>000 Kč.</w:t>
      </w:r>
      <w:bookmarkEnd w:id="131"/>
    </w:p>
    <w:p w:rsidR="0074313C" w:rsidRPr="0074313C" w:rsidRDefault="000865D6" w:rsidP="0074313C">
      <w:pPr>
        <w:pStyle w:val="Normln-tun"/>
      </w:pPr>
      <w:r w:rsidRPr="0074313C">
        <w:t>Odhadce je osoba, které byl vydán živnostenský list na vázanou činnost O</w:t>
      </w:r>
      <w:r w:rsidRPr="0074313C">
        <w:t xml:space="preserve">ceňování majetku. Odhadce není, na rozdíl od znalce, jmenován státním orgánem, byl mu </w:t>
      </w:r>
      <w:r w:rsidR="00786DEF">
        <w:t xml:space="preserve">pouze </w:t>
      </w:r>
      <w:r w:rsidRPr="0074313C">
        <w:lastRenderedPageBreak/>
        <w:t xml:space="preserve">vydán živnostenský list na činnost „Oceňování majetku“. Do 1. července 2008 se jednalo o činnost koncesovanou, po tomto datu již byly podmínky pro udělení zmírněny </w:t>
      </w:r>
      <w:r w:rsidRPr="0074313C">
        <w:t xml:space="preserve">a jedná se jen o činnost vázanou na předchozí vzdělání, například technického nebo ekonomického směru. Odhadci nemohou zpracovávat znalecké posudky, nemohou se vyjadřovat kupř. k ceně zjištěné podle zvláštních předpisů (stanovení základu majetkových daní) </w:t>
      </w:r>
      <w:r w:rsidRPr="0074313C">
        <w:t xml:space="preserve">a působí tedy jako </w:t>
      </w:r>
      <w:r w:rsidR="00786DEF">
        <w:t xml:space="preserve">spíše </w:t>
      </w:r>
      <w:r w:rsidRPr="0074313C">
        <w:t xml:space="preserve">cenoví nebo techničtí poradci. </w:t>
      </w:r>
      <w:r w:rsidR="00786DEF">
        <w:t>K</w:t>
      </w:r>
      <w:r w:rsidR="00786DEF" w:rsidRPr="0074313C">
        <w:t xml:space="preserve"> poslednímu dni 4. čtvrtletí 2021</w:t>
      </w:r>
      <w:r w:rsidR="00786DEF">
        <w:t xml:space="preserve"> činil p</w:t>
      </w:r>
      <w:r w:rsidRPr="0074313C">
        <w:t xml:space="preserve">očet živností </w:t>
      </w:r>
      <w:r w:rsidR="00786DEF" w:rsidRPr="00786DEF">
        <w:rPr>
          <w:i/>
          <w:iCs/>
        </w:rPr>
        <w:t>Oceňování majetku pro věci movité, věci nemovité, nehmotný majetek, finanční majetek, obchodní závod</w:t>
      </w:r>
      <w:r w:rsidR="00786DEF" w:rsidRPr="0074313C">
        <w:t xml:space="preserve"> </w:t>
      </w:r>
      <w:r w:rsidR="00786DEF">
        <w:t>5 899.</w:t>
      </w:r>
      <w:r w:rsidRPr="0074313C">
        <w:t xml:space="preserve"> </w:t>
      </w:r>
    </w:p>
    <w:p w:rsidR="00E16AA2" w:rsidRDefault="000865D6" w:rsidP="0074313C">
      <w:pPr>
        <w:pStyle w:val="Normln-tun"/>
      </w:pPr>
      <w:r w:rsidRPr="0074313C">
        <w:t xml:space="preserve">Odhad </w:t>
      </w:r>
      <w:r w:rsidR="00476439" w:rsidRPr="0074313C">
        <w:t xml:space="preserve">nemá </w:t>
      </w:r>
      <w:r w:rsidRPr="0074313C">
        <w:t xml:space="preserve">na rozdíl od znaleckého </w:t>
      </w:r>
      <w:r w:rsidRPr="0074313C">
        <w:t>posudku zákonnou formální úpravu</w:t>
      </w:r>
      <w:r w:rsidR="00476439">
        <w:t>, i když se obecně d</w:t>
      </w:r>
      <w:r w:rsidRPr="0074313C">
        <w:t>održují určité standardy ohledně popisu nemovitosti, metodiky výpočtu, výpočtu samotného a příloh.</w:t>
      </w:r>
      <w:r w:rsidR="00476439">
        <w:t xml:space="preserve"> </w:t>
      </w:r>
      <w:r w:rsidRPr="0074313C">
        <w:t xml:space="preserve">Odhad odhadce se </w:t>
      </w:r>
      <w:r w:rsidRPr="000D3654">
        <w:rPr>
          <w:u w:val="single"/>
        </w:rPr>
        <w:t>formou a výpočtem nemusí významně lišit</w:t>
      </w:r>
      <w:r w:rsidRPr="0074313C">
        <w:t xml:space="preserve"> od znaleckého posudku. </w:t>
      </w:r>
      <w:r w:rsidR="00476439">
        <w:t>Protože je jejich počet vyšší, jsou o</w:t>
      </w:r>
      <w:r w:rsidRPr="0074313C">
        <w:t xml:space="preserve">dhadci dostupnější než znalci. </w:t>
      </w:r>
      <w:r w:rsidRPr="00E16AA2">
        <w:t xml:space="preserve">U bytu se dle internetové rešerše může cena posudku pohybovat od 2 </w:t>
      </w:r>
      <w:r>
        <w:t>0</w:t>
      </w:r>
      <w:r w:rsidRPr="00E16AA2">
        <w:t xml:space="preserve">00 Kč do </w:t>
      </w:r>
      <w:r>
        <w:t>4</w:t>
      </w:r>
      <w:r w:rsidRPr="00E16AA2">
        <w:t xml:space="preserve"> 000 Kč, u jiných nemovitostí rámcově </w:t>
      </w:r>
      <w:r w:rsidRPr="0074313C">
        <w:t xml:space="preserve">od </w:t>
      </w:r>
      <w:r>
        <w:t>2 5</w:t>
      </w:r>
      <w:r w:rsidRPr="0074313C">
        <w:t xml:space="preserve">00 Kč do </w:t>
      </w:r>
      <w:r>
        <w:t xml:space="preserve">7 </w:t>
      </w:r>
      <w:r w:rsidRPr="0074313C">
        <w:t>000 Kč</w:t>
      </w:r>
      <w:r w:rsidRPr="00E16AA2">
        <w:t>.</w:t>
      </w:r>
    </w:p>
    <w:p w:rsidR="0074313C" w:rsidRPr="0074313C" w:rsidRDefault="000865D6" w:rsidP="0074313C">
      <w:pPr>
        <w:pStyle w:val="Normln-tun"/>
      </w:pPr>
      <w:r w:rsidRPr="0074313C">
        <w:t xml:space="preserve">Status znalce je poměrně prestižní a je poměrně obtížné ho získat. Být </w:t>
      </w:r>
      <w:r w:rsidRPr="0074313C">
        <w:t>jmenován znalcem vyžaduje nejen formální vzdělání, několikaletou praxi, zkoušky, obhajobu případů ale znalec musí projít i procesem jmenování. Díky tomu je znalců oproti odhadců relativně málo (odhadci mají svoji vázanou živnost poněkud dostupnější). Z toh</w:t>
      </w:r>
      <w:r w:rsidRPr="0074313C">
        <w:t>oto důvodu jsou i sazby znalců vyšší.</w:t>
      </w:r>
    </w:p>
    <w:p w:rsidR="00796BBC" w:rsidRPr="00111A45" w:rsidRDefault="000865D6" w:rsidP="00796BBC">
      <w:pPr>
        <w:pStyle w:val="Normln-tun"/>
      </w:pPr>
      <w:r w:rsidRPr="00111A45">
        <w:t>Na základě konzultací a porovnání nákladů a přínosů volíme Variantu 1. K</w:t>
      </w:r>
      <w:r w:rsidR="00712DE7">
        <w:t> návrhu smlouvy</w:t>
      </w:r>
      <w:r w:rsidRPr="00111A45">
        <w:t xml:space="preserve"> vyvlastnitel nebude muset předkládat znalecký posudek, ale pouze ocenění a teprve v průběhu řízení bude obstarán znalecký posudek </w:t>
      </w:r>
      <w:r w:rsidRPr="00111A45">
        <w:t xml:space="preserve">pro určení náhrady za vyvlastnění. Tímto se sníží náklady na vyhotovení znaleckého posudku </w:t>
      </w:r>
      <w:r w:rsidR="00712DE7">
        <w:t>v případech dosažení dohody mezi vyvlastnitelem a vyvlastňovaným před započetím vyvlastňovacího řízení.</w:t>
      </w:r>
      <w:r w:rsidR="000D3654" w:rsidRPr="000D3654">
        <w:t xml:space="preserve"> </w:t>
      </w:r>
      <w:r w:rsidR="000D3654">
        <w:t xml:space="preserve">Zároveň bude časově ZP přikládán až k žádosti o vyvlastnění a bude moci být stanoveno, že </w:t>
      </w:r>
      <w:r w:rsidR="000D3654" w:rsidRPr="000D3654">
        <w:t>náhrady za vyvlastnění</w:t>
      </w:r>
      <w:r w:rsidR="000D3654">
        <w:t xml:space="preserve"> bude stanovena</w:t>
      </w:r>
      <w:r w:rsidR="000D3654" w:rsidRPr="000D3654">
        <w:t xml:space="preserve"> podle skutečného stavu předmětu vyvlastnění ke dni podání žádosti o vyvlastnění.</w:t>
      </w:r>
    </w:p>
    <w:p w:rsidR="00712DE7" w:rsidRDefault="000865D6" w:rsidP="00712DE7">
      <w:pPr>
        <w:pStyle w:val="Normln-tun"/>
      </w:pPr>
      <w:r>
        <w:t>Procesně tak ZP</w:t>
      </w:r>
      <w:r w:rsidRPr="00712DE7">
        <w:t xml:space="preserve"> přiloží vyvlastnitel </w:t>
      </w:r>
      <w:r>
        <w:t xml:space="preserve">až k žádosti o </w:t>
      </w:r>
      <w:r w:rsidRPr="00712DE7">
        <w:t>vyvlastnění</w:t>
      </w:r>
      <w:r>
        <w:t>.</w:t>
      </w:r>
      <w:r w:rsidRPr="00712DE7">
        <w:t xml:space="preserve"> </w:t>
      </w:r>
      <w:r>
        <w:t xml:space="preserve">Vyvlastňovaný </w:t>
      </w:r>
      <w:r w:rsidR="00AE6E3C">
        <w:t xml:space="preserve">pak </w:t>
      </w:r>
      <w:r>
        <w:t>bude oprávněn předložit v</w:t>
      </w:r>
      <w:r>
        <w:t xml:space="preserve">e lhůtě stanovené vyvlastňovacím úřadem ve vyrozumění o zahájení vyvlastňovacího řízení </w:t>
      </w:r>
      <w:r w:rsidR="00AE6E3C">
        <w:t xml:space="preserve">vlastní </w:t>
      </w:r>
      <w:r>
        <w:t xml:space="preserve">znalecký posudek, z něhož </w:t>
      </w:r>
      <w:r w:rsidR="00AE6E3C">
        <w:t xml:space="preserve">bude </w:t>
      </w:r>
      <w:r>
        <w:t>vyvlastňovací úřad vycház</w:t>
      </w:r>
      <w:r w:rsidR="00AE6E3C">
        <w:t>et</w:t>
      </w:r>
      <w:r>
        <w:t xml:space="preserve">. Vyvlastňovaný se </w:t>
      </w:r>
      <w:r w:rsidR="00AE6E3C">
        <w:t xml:space="preserve">bude moci </w:t>
      </w:r>
      <w:r>
        <w:t>práva předložit znalecký posudek vzdát.</w:t>
      </w:r>
    </w:p>
    <w:p w:rsidR="00AE6E3C" w:rsidRDefault="000865D6" w:rsidP="00712DE7">
      <w:pPr>
        <w:pStyle w:val="Normln-tun"/>
      </w:pPr>
      <w:r>
        <w:t>Nepředloží-li vyvlastňovaný znale</w:t>
      </w:r>
      <w:r>
        <w:t>cký posudek oceňující předmět vyvlastnění ve stanovené lhůtě, nebo vzdá-li se práva předložit znalecký posudek, bude vyvlastňovací úřad pro stanovení náhrady za vyvlastnění vycházet ze znaleckého posudku, který vyvlastnitel přiložil k žádosti o vyvlastnění</w:t>
      </w:r>
      <w:r>
        <w:t xml:space="preserve">. </w:t>
      </w:r>
    </w:p>
    <w:p w:rsidR="003A1A9E" w:rsidRDefault="000865D6" w:rsidP="00CF1AEB">
      <w:pPr>
        <w:pStyle w:val="Normln-tun"/>
      </w:pPr>
      <w:r>
        <w:t xml:space="preserve">Proti znaleckému posudku oceňujícímu předmět vyvlastnění </w:t>
      </w:r>
      <w:r w:rsidR="00AE6E3C">
        <w:t>bude možné</w:t>
      </w:r>
      <w:r>
        <w:t xml:space="preserve"> vznést námitku</w:t>
      </w:r>
      <w:r w:rsidR="00AE6E3C">
        <w:t xml:space="preserve">, ne však proti tomu </w:t>
      </w:r>
      <w:r>
        <w:t>znaleckému posudku</w:t>
      </w:r>
      <w:r w:rsidR="00AE6E3C">
        <w:t xml:space="preserve"> předloženému</w:t>
      </w:r>
      <w:r>
        <w:t xml:space="preserve">, který </w:t>
      </w:r>
      <w:r w:rsidR="00AE6E3C">
        <w:t xml:space="preserve">vyvlastnitel nebo vyvlastňovaný </w:t>
      </w:r>
      <w:r>
        <w:t>sami předložili.</w:t>
      </w:r>
      <w:r w:rsidR="000D3654">
        <w:t xml:space="preserve"> </w:t>
      </w:r>
      <w:r>
        <w:t xml:space="preserve">Posoudí-li vyvlastňovací úřad námitku jako důvodnou, ustanoví </w:t>
      </w:r>
      <w:r>
        <w:t>znalce a zajistí zpracování revizního posudku.</w:t>
      </w:r>
      <w:r w:rsidR="00AE6E3C" w:rsidRPr="00AE6E3C">
        <w:t xml:space="preserve"> </w:t>
      </w:r>
      <w:r w:rsidR="00AE6E3C">
        <w:t xml:space="preserve">Náklady spojené s vyhotovením a přezkoumáním znaleckého posudku </w:t>
      </w:r>
      <w:r w:rsidR="000D3654">
        <w:t>u</w:t>
      </w:r>
      <w:r w:rsidR="00AE6E3C">
        <w:t xml:space="preserve">hradí vyvlastnitel. Náklady spojené s přezkoumáním znaleckého posudku předloženého vyvlastňovaným </w:t>
      </w:r>
      <w:r w:rsidR="000D3654">
        <w:t>u</w:t>
      </w:r>
      <w:r w:rsidR="00AE6E3C">
        <w:t>hradí vyvlastňovací úřad.</w:t>
      </w:r>
    </w:p>
    <w:p w:rsidR="00C71E54" w:rsidRDefault="00C71E54" w:rsidP="00EA06CF">
      <w:pPr>
        <w:pStyle w:val="Normln-tun"/>
        <w:rPr>
          <w:szCs w:val="24"/>
          <w:u w:val="single"/>
        </w:rPr>
      </w:pPr>
    </w:p>
    <w:p w:rsidR="00FC2B13" w:rsidRDefault="000865D6">
      <w:pPr>
        <w:spacing w:before="0" w:after="0"/>
        <w:jc w:val="left"/>
        <w:rPr>
          <w:rFonts w:ascii="Cambria" w:hAnsi="Cambria"/>
          <w:b/>
          <w:bCs/>
          <w:smallCaps/>
          <w:sz w:val="26"/>
          <w:szCs w:val="24"/>
          <w:u w:val="single"/>
        </w:rPr>
      </w:pPr>
      <w:r>
        <w:br w:type="page"/>
      </w:r>
    </w:p>
    <w:p w:rsidR="0016654D" w:rsidRPr="00795817" w:rsidRDefault="000865D6" w:rsidP="0016654D">
      <w:pPr>
        <w:pStyle w:val="Nadpis2a"/>
      </w:pPr>
      <w:bookmarkStart w:id="132" w:name="_Toc256000017"/>
      <w:r w:rsidRPr="00795817">
        <w:lastRenderedPageBreak/>
        <w:t>Náhrady při vyvl</w:t>
      </w:r>
      <w:r w:rsidRPr="00795817">
        <w:t>astnění</w:t>
      </w:r>
      <w:bookmarkEnd w:id="132"/>
    </w:p>
    <w:p w:rsidR="0016654D" w:rsidRPr="00795817" w:rsidRDefault="000865D6" w:rsidP="0016654D">
      <w:pPr>
        <w:pStyle w:val="Text-Normaln"/>
        <w:widowControl w:val="0"/>
        <w:rPr>
          <w:b/>
          <w:bCs/>
        </w:rPr>
      </w:pPr>
      <w:r w:rsidRPr="00795817">
        <w:rPr>
          <w:b/>
          <w:bCs/>
        </w:rPr>
        <w:t>Popis současného stavu:</w:t>
      </w:r>
    </w:p>
    <w:p w:rsidR="007077F7" w:rsidRPr="007077F7" w:rsidRDefault="000865D6" w:rsidP="00AB568B">
      <w:pPr>
        <w:pStyle w:val="Normln-tun"/>
        <w:rPr>
          <w:smallCaps/>
          <w:u w:val="single"/>
        </w:rPr>
      </w:pPr>
      <w:r w:rsidRPr="007077F7">
        <w:rPr>
          <w:smallCaps/>
          <w:u w:val="single"/>
        </w:rPr>
        <w:t>Druhy náhrad</w:t>
      </w:r>
    </w:p>
    <w:p w:rsidR="00AB568B" w:rsidRPr="00AB568B" w:rsidRDefault="000865D6" w:rsidP="00AB568B">
      <w:pPr>
        <w:pStyle w:val="Normln-tun"/>
        <w:rPr>
          <w:u w:val="single"/>
        </w:rPr>
      </w:pPr>
      <w:r w:rsidRPr="00AB568B">
        <w:rPr>
          <w:u w:val="single"/>
        </w:rPr>
        <w:t>Náhrada za vyvlastnění</w:t>
      </w:r>
    </w:p>
    <w:p w:rsidR="003B2A67" w:rsidRDefault="000865D6" w:rsidP="003B2A67">
      <w:pPr>
        <w:pStyle w:val="Normln-tun"/>
      </w:pPr>
      <w:r>
        <w:t xml:space="preserve">Náhrada za vyvlastnění by měla být v každém případě vždy spravedlivá a přiměřená. Tento požadavek odpovídá dikci ustanovení čl. 11 odst. 4 Listiny základních práv a svobod.  Zákon ukládá, </w:t>
      </w:r>
      <w:r>
        <w:t>aby náhrada za vyvlastňovaná (odnímaná, rušená či omezovaná) práva k pozemkům a stavbám byla stanovena takovým způsobem a v takové výši, aby odpovídala majetkové újmě, která se u vyvlastňovaného projeví v důsledku vyvlastnění.</w:t>
      </w:r>
    </w:p>
    <w:p w:rsidR="00130D91" w:rsidRPr="00795817" w:rsidRDefault="000865D6" w:rsidP="00130D91">
      <w:pPr>
        <w:pStyle w:val="Normln-tun"/>
      </w:pPr>
      <w:r w:rsidRPr="00795817">
        <w:t>Pokud dojde k odnětí vlastnic</w:t>
      </w:r>
      <w:r w:rsidRPr="00795817">
        <w:t xml:space="preserve">kého práva, náleží </w:t>
      </w:r>
      <w:r w:rsidR="00E014C5">
        <w:t xml:space="preserve">tedy </w:t>
      </w:r>
      <w:r w:rsidRPr="00795817">
        <w:t>vyvlastňovanému náhrada za pozemek nebo stavbu ve výši ceny obvyklé. Cenu obvyklou vymezuje zákon o oceňování majetku jako cenu, která by byla dosažena při prodejích stejného nebo obdobného pozemku nebo stavby v obvyklém obchodním s</w:t>
      </w:r>
      <w:r w:rsidRPr="00795817">
        <w:t>tyku v tuzemsku ke dni ocenění. Při určování ceny obvyklé se berou v úvahu všechny relevantní okolnosti, které ji mohou ovlivnit. Naopak se neberou v úvahu mimořádné okolnosti trhu, osobní poměry prodávajícího a kupujícího a zvláštní obliba věci. Cena poze</w:t>
      </w:r>
      <w:r w:rsidRPr="00795817">
        <w:t>mku nebo stavby se určuje vždy s ohledem na jejich aktuální stav a účel užití. Rozhodným dnem pro určení ceny je den podání žádosti o vyvlastnění. Při oceňování se nebere v úvahu případná změna hodnoty pozemku nebo stavby v souvislosti se záměrem je vyvlas</w:t>
      </w:r>
      <w:r w:rsidRPr="00795817">
        <w:t>tnit, resp. v souvislosti s účelem, pro který bude po provedení vyvlastnění pozemek nebo stavba využívána.</w:t>
      </w:r>
    </w:p>
    <w:p w:rsidR="00130D91" w:rsidRDefault="000865D6" w:rsidP="00130D91">
      <w:pPr>
        <w:pStyle w:val="Normln-tun"/>
      </w:pPr>
      <w:r w:rsidRPr="00B55430">
        <w:t>Pokud dojde k odnětí práva odpovídajícího věcnému břemenu nebo k omezení vlastnického práva zřízením věcného břemene na pozemku nebo stavbě, určuje s</w:t>
      </w:r>
      <w:r w:rsidRPr="00B55430">
        <w:t xml:space="preserve">e cena opět dle zákona o oceňování majetku. Pro výpočet výše náhrady se používá výnosová metoda, a to na základě ročního užitku při zohlednění doby jeho trvání nebo pevnou částkou, nelze-li určit roční užitek z věcného břemene. </w:t>
      </w:r>
      <w:r w:rsidR="00EC42C0" w:rsidRPr="00B55430">
        <w:t>V</w:t>
      </w:r>
      <w:r w:rsidRPr="00B55430">
        <w:t xml:space="preserve"> ročním užitku </w:t>
      </w:r>
      <w:r w:rsidR="00EC42C0" w:rsidRPr="00B55430">
        <w:t xml:space="preserve">se </w:t>
      </w:r>
      <w:r w:rsidRPr="00B55430">
        <w:t>zohledňuj</w:t>
      </w:r>
      <w:r w:rsidRPr="00B55430">
        <w:t xml:space="preserve">e míra omezení užívání nemovité věci. </w:t>
      </w:r>
      <w:r w:rsidR="00EC42C0" w:rsidRPr="00B55430">
        <w:t>P</w:t>
      </w:r>
      <w:r w:rsidRPr="00B55430">
        <w:t>rávo z vykupitelné služebnosti se ocení ve výši náhrady uvedené ve smlouvě. Jsou-li ve smlouvě uvedené pouze podmínky zrušení služebnosti za přiměřenou náhradu, vypočte se náhrada podle uvedených podmínek k datu oceně</w:t>
      </w:r>
      <w:r w:rsidRPr="00B55430">
        <w:t>ní. Využít lze i cenu věcného břemene z rozhodnutí příslušného orgánu.</w:t>
      </w:r>
    </w:p>
    <w:p w:rsidR="00AB568B" w:rsidRPr="00AB568B" w:rsidRDefault="000865D6" w:rsidP="00AB568B">
      <w:pPr>
        <w:pStyle w:val="Normln-tun"/>
        <w:rPr>
          <w:u w:val="single"/>
        </w:rPr>
      </w:pPr>
      <w:r>
        <w:rPr>
          <w:u w:val="single"/>
        </w:rPr>
        <w:t>Další n</w:t>
      </w:r>
      <w:r w:rsidRPr="00AB568B">
        <w:rPr>
          <w:u w:val="single"/>
        </w:rPr>
        <w:t>áhrad</w:t>
      </w:r>
      <w:r>
        <w:rPr>
          <w:u w:val="single"/>
        </w:rPr>
        <w:t>y</w:t>
      </w:r>
    </w:p>
    <w:p w:rsidR="005A6611" w:rsidRDefault="000865D6" w:rsidP="005A6611">
      <w:pPr>
        <w:pStyle w:val="Normln-tun"/>
      </w:pPr>
      <w:r w:rsidRPr="00795817">
        <w:t>Vyvlastňovaný má též právo na náhradu dalších nákladů, které musel vynaložit v souvislosti s provedeným vyvlastněním. Patří sem například náklady spojené se stěhováním, se</w:t>
      </w:r>
      <w:r w:rsidRPr="00795817">
        <w:t xml:space="preserve"> změnou místa podnikání, jakož i další podobné náklady</w:t>
      </w:r>
      <w:r w:rsidR="008D2F23" w:rsidRPr="00AB568B">
        <w:t>, které vyvlastňovaný účelně vynaloží následkem a v souvislosti s vyvlastněním</w:t>
      </w:r>
      <w:r w:rsidRPr="00795817">
        <w:t xml:space="preserve">. </w:t>
      </w:r>
      <w:r w:rsidR="008D2F23" w:rsidRPr="00AB568B">
        <w:t>Je povinností vyvlastňovaného, aby tyto náklady ve vyvlastňovacím řízení prokázal, a to i pomocí znaleckého posudku.</w:t>
      </w:r>
      <w:r w:rsidR="008D2F23">
        <w:t xml:space="preserve"> </w:t>
      </w:r>
      <w:r w:rsidRPr="00795817">
        <w:t>Důvod</w:t>
      </w:r>
      <w:r w:rsidR="00D60211">
        <w:t xml:space="preserve"> pro</w:t>
      </w:r>
      <w:r w:rsidRPr="00795817">
        <w:t xml:space="preserve"> takov</w:t>
      </w:r>
      <w:r w:rsidR="00D60211">
        <w:t>ou</w:t>
      </w:r>
      <w:r w:rsidRPr="00795817">
        <w:t xml:space="preserve"> úprav</w:t>
      </w:r>
      <w:r w:rsidR="00D60211">
        <w:t>u</w:t>
      </w:r>
      <w:r w:rsidRPr="00795817">
        <w:t xml:space="preserve"> je, aby provedené vyvlastnění, které je již tak významným zásahem do vlastnického práva, nemělo pro vyvlastňovaného negativní finanční dopady. Jakákoli majetková újma tak musí být vyvlastňovanému ze strany vyvlastnitele kompenzována.</w:t>
      </w:r>
    </w:p>
    <w:p w:rsidR="00116AF6" w:rsidRPr="00284829" w:rsidRDefault="000865D6" w:rsidP="00116AF6">
      <w:pPr>
        <w:pStyle w:val="Normln-tun"/>
      </w:pPr>
      <w:r w:rsidRPr="00116AF6">
        <w:t>Problémy v praxi způsobuje, že o náhradě stěhovacích nákladů, které vyvlastňovaný účelně vynaloží následkem a v souvislosti s vyvlastněním, má být rozhodnuto v rozhodnutí o vyvlastnění, ačkoli některé takové náklady mohou vznikat a vznikají teprve poté, co</w:t>
      </w:r>
      <w:r w:rsidRPr="00116AF6">
        <w:t xml:space="preserve"> toto rozhodnutí nabude právní moci. Řešením, které předpokládala neuskutečněná novela zákona o vyvlastnění z roku 2016, by byla možnost usnesením vyloučit řízení o náhradě těchto nákladů z vyvlastňovacího řízení a rozhodnout o náhradě </w:t>
      </w:r>
      <w:r w:rsidRPr="00284829">
        <w:t>nákladů samostatně.</w:t>
      </w:r>
    </w:p>
    <w:p w:rsidR="00120B56" w:rsidRDefault="000865D6" w:rsidP="00926C1F">
      <w:pPr>
        <w:pStyle w:val="Normln-tun"/>
      </w:pPr>
      <w:r w:rsidRPr="00284829">
        <w:lastRenderedPageBreak/>
        <w:t>Současná právní úprava dále stanovuje, že vyvlastňovanému náleží také náhrada v prokázané výši újmy způsobené</w:t>
      </w:r>
      <w:r w:rsidR="00B62594" w:rsidRPr="00284829">
        <w:t>,</w:t>
      </w:r>
      <w:r w:rsidRPr="00284829">
        <w:t xml:space="preserve"> </w:t>
      </w:r>
      <w:r w:rsidR="00B62594" w:rsidRPr="00284829">
        <w:t xml:space="preserve">po doručení uvědomění o zahájení vyvlastňovacího řízení, </w:t>
      </w:r>
      <w:r w:rsidRPr="00284829">
        <w:t>zákaz</w:t>
      </w:r>
      <w:r w:rsidR="00B62594" w:rsidRPr="00284829">
        <w:t>em</w:t>
      </w:r>
      <w:r w:rsidRPr="00284829">
        <w:t xml:space="preserve"> nakládání s pozemkem nebo stavbou, </w:t>
      </w:r>
      <w:r w:rsidR="00B62594" w:rsidRPr="00284829">
        <w:t xml:space="preserve">kdy vyvlastňovaný nesmí tyto nemovité věci převést, pronajmout nebo jinak zatížit, </w:t>
      </w:r>
      <w:r w:rsidRPr="00284829">
        <w:t>a to v rozsahu, kterého se vyvlastnění týká. Nejde o součást náhrady za vyvlastnění podle § 10 odst. 2 zákona, tedy o náklady, které vznikly</w:t>
      </w:r>
      <w:r>
        <w:t xml:space="preserve"> vyvlastňovanému následkem a v souvislosti s vyvlastněním.</w:t>
      </w:r>
      <w:r w:rsidR="00050AA0">
        <w:t xml:space="preserve"> </w:t>
      </w:r>
    </w:p>
    <w:p w:rsidR="00120B56" w:rsidRDefault="000865D6" w:rsidP="00120B56">
      <w:pPr>
        <w:pStyle w:val="Normln-tun"/>
      </w:pPr>
      <w:r w:rsidRPr="000B3937">
        <w:t>Bude-li vyvlastňovací řízení zastaveno z důvodu zpětvzetí žádosti, je vyvlastnitel povinen nahradit vyvlastňovanému škodu a jinou újmu, která mu vznikla v souvislosti s podáním žádosti, ledaže by ke škodě nebo jiné újmě došlo i jinak. Náhrada škody nebo ji</w:t>
      </w:r>
      <w:r w:rsidRPr="000B3937">
        <w:t xml:space="preserve">né újmy </w:t>
      </w:r>
      <w:r w:rsidR="00050AA0">
        <w:t xml:space="preserve">též </w:t>
      </w:r>
      <w:r w:rsidRPr="000B3937">
        <w:t>není součástí náhrady za vyvlastnění podle § 10 odst. 2 zákona, a nebude proto o ní rozhodovat vyvlastňovací úřad. Vyvlastňovaný se bude muset obrátit na obecný soud, pokud se s vyvlastnitelem nedohodne.</w:t>
      </w:r>
    </w:p>
    <w:p w:rsidR="00AB568B" w:rsidRPr="00AB568B" w:rsidRDefault="000865D6" w:rsidP="00AB568B">
      <w:pPr>
        <w:pStyle w:val="Normln-tun"/>
        <w:rPr>
          <w:u w:val="single"/>
        </w:rPr>
      </w:pPr>
      <w:r w:rsidRPr="00AB568B">
        <w:rPr>
          <w:u w:val="single"/>
        </w:rPr>
        <w:t>Náhrada pro třetí osoby</w:t>
      </w:r>
    </w:p>
    <w:p w:rsidR="00AB568B" w:rsidRPr="00AB568B" w:rsidRDefault="000865D6" w:rsidP="00AB568B">
      <w:pPr>
        <w:pStyle w:val="Normln-tun"/>
      </w:pPr>
      <w:r w:rsidRPr="00AB568B">
        <w:t xml:space="preserve">Vyvlastnitel je </w:t>
      </w:r>
      <w:r w:rsidRPr="00AB568B">
        <w:t xml:space="preserve">povinen poskytnout náhradu nejen vyvlastňovanému, ale také oprávněnému z věcného břemene, které vyvlastněním zaniklo, a to ve výši ceny tohoto práva. V tomto případě není oprávněný z věcného břemene vyvlastňovaným, ale je v postavení třetí osoby. </w:t>
      </w:r>
      <w:r w:rsidR="006F3158">
        <w:t>Současné znění z</w:t>
      </w:r>
      <w:r w:rsidRPr="00AB568B">
        <w:t>ákon</w:t>
      </w:r>
      <w:r w:rsidR="006F3158">
        <w:t>a</w:t>
      </w:r>
      <w:r w:rsidRPr="00AB568B">
        <w:t xml:space="preserve"> výslovně neřeší zánik práva stavby váznoucího na vyvlastňovaném pozemku, neřeší tedy ani náhradu za zánik tohoto práva. </w:t>
      </w:r>
    </w:p>
    <w:p w:rsidR="00AB568B" w:rsidRPr="00AB568B" w:rsidRDefault="000865D6" w:rsidP="00AB568B">
      <w:pPr>
        <w:pStyle w:val="Normln-tun"/>
      </w:pPr>
      <w:r>
        <w:t>N</w:t>
      </w:r>
      <w:r w:rsidRPr="00AB568B">
        <w:t>áhrady stěhovacích nákladů, nákladů spojených se změnou místa podnikání a dalších obdobných nákladů účelně vynaložených n</w:t>
      </w:r>
      <w:r w:rsidRPr="00AB568B">
        <w:t>ásledkem a v souvislosti se zánikem práv třetích osob, která vázla na vyvlastňovaném pozemku či stavbě</w:t>
      </w:r>
      <w:r>
        <w:t xml:space="preserve">, zákonem upraveny nejsou, </w:t>
      </w:r>
      <w:r w:rsidRPr="00AB568B">
        <w:t xml:space="preserve">stávající zákon o vyvlastnění </w:t>
      </w:r>
      <w:r>
        <w:t xml:space="preserve">s nimi </w:t>
      </w:r>
      <w:r w:rsidRPr="00AB568B">
        <w:t>nepočítá.</w:t>
      </w:r>
    </w:p>
    <w:p w:rsidR="007077F7" w:rsidRPr="007077F7" w:rsidRDefault="000865D6" w:rsidP="00AB568B">
      <w:pPr>
        <w:pStyle w:val="Normln-tun"/>
        <w:rPr>
          <w:smallCaps/>
          <w:u w:val="single"/>
        </w:rPr>
      </w:pPr>
      <w:r w:rsidRPr="007077F7">
        <w:rPr>
          <w:smallCaps/>
          <w:u w:val="single"/>
        </w:rPr>
        <w:t>Výplata náhrad</w:t>
      </w:r>
    </w:p>
    <w:p w:rsidR="00330CD8" w:rsidRPr="00284829" w:rsidRDefault="000865D6" w:rsidP="00330CD8">
      <w:pPr>
        <w:pStyle w:val="Normln-tun"/>
      </w:pPr>
      <w:r w:rsidRPr="00284829">
        <w:t>Vyvlastnitel poskytne vyvlastňovanému určenou náhradu v plné výši</w:t>
      </w:r>
      <w:r w:rsidRPr="00284829">
        <w:t>, neváznou-li na vyvlastňovaném pozemku nebo stavbě věcná práva, která vyvlastněním zanikají a pokud z jeho náhrady nemají být zástavnímu věřiteli, podzástavnímu věřiteli nebo oprávněnému ze zajišťovacího převodu práva uhrazeny dosud nesplacené pohledávky.</w:t>
      </w:r>
      <w:r w:rsidRPr="00284829">
        <w:t xml:space="preserve"> Vyvlastnitel poskytne určenou náhradu oprávněnému z věcného břemene, které vyvlastněním zanikne, vždy samostatně.</w:t>
      </w:r>
    </w:p>
    <w:p w:rsidR="007077F7" w:rsidRPr="00963773" w:rsidRDefault="000865D6" w:rsidP="007077F7">
      <w:pPr>
        <w:pStyle w:val="Normln-tun"/>
        <w:rPr>
          <w:color w:val="FF0000"/>
        </w:rPr>
      </w:pPr>
      <w:r w:rsidRPr="00284829">
        <w:t>Váznou-li na pozemku nebo stavbě věcná práva, která vyvlastněním zanikají, a mají-li být z náhrady pro vyvlastňovaného uhrazeny zástavnímu vě</w:t>
      </w:r>
      <w:r w:rsidRPr="00284829">
        <w:t>řiteli, podzástavnímu věřiteli nebo oprávněnému ze zajišťovacího převodu práva dosud nesplacené pohledávky, vyvlastňovací úřad rozhodne o náhradě pro vyvlastňovaného a určí, jakou část z této náhrady vyvlastnitel poskytne uvedeným osobám na základě předlož</w:t>
      </w:r>
      <w:r w:rsidRPr="00284829">
        <w:t>ené dohody o rozdělení náhrady s úředně ověřenými podpisy smluvních stran. Pokud se takovou dohodu o rozdělení náhrady nepodaří uzavřít, zprostí se vyvlastnitel své povinnosti k náhradě za vyvlastnění složením částky odpovídající této náhradě do soudní úsc</w:t>
      </w:r>
      <w:r w:rsidRPr="00284829">
        <w:t>hovy. Místně příslušný k přijetí úschovy je soud, v jehož obvodu je předmětný pozemek nebo stavba.</w:t>
      </w:r>
    </w:p>
    <w:p w:rsidR="0016654D" w:rsidRPr="00795817" w:rsidRDefault="000865D6" w:rsidP="00701048">
      <w:pPr>
        <w:pStyle w:val="Normln-tun"/>
      </w:pPr>
      <w:r w:rsidRPr="00795817">
        <w:t xml:space="preserve">Náhrada se vyplácí jednorázově, a to ve lhůtě určené v rozhodnutí o vyvlastnění. Délka této lhůty je nejvýše 2 měsíce.  </w:t>
      </w:r>
    </w:p>
    <w:p w:rsidR="00CD5B2B" w:rsidRPr="00795817" w:rsidRDefault="000865D6" w:rsidP="00701048">
      <w:pPr>
        <w:pStyle w:val="Normln-tun"/>
      </w:pPr>
      <w:r w:rsidRPr="00795817">
        <w:t>Pokud je vyvlastňovaný neznámý, nebr</w:t>
      </w:r>
      <w:r w:rsidRPr="00795817">
        <w:t>ání to samotnému vyvlastnění.</w:t>
      </w:r>
      <w:r w:rsidR="00B976C7">
        <w:t xml:space="preserve"> </w:t>
      </w:r>
      <w:r w:rsidRPr="00795817">
        <w:t>To, že je vyvlastňovaný osobou neznámou, nebo je osobou neznámého pobytu, však nezbavuje vyvlastnitele povinnosti k vyplacení náhrady. Vzhledem k tomu, že věřitel neví, komu má náhradu vyplatit, nebo neví, jaký je pobyt vyvlas</w:t>
      </w:r>
      <w:r w:rsidRPr="00795817">
        <w:t xml:space="preserve">tňovaného, musí svou povinnost k výplatě kompenzace splnit náhradním způsobem. Částku určenou rozhodnutím coby </w:t>
      </w:r>
      <w:r w:rsidRPr="00795817">
        <w:lastRenderedPageBreak/>
        <w:t>náhradu za vyvlastnění uhradí vyvlastnitel do úschovy soudu. Obdobný postup se uplatní v případě, kdy je vyvlastňovaný v</w:t>
      </w:r>
      <w:r w:rsidR="00131DD1">
        <w:t> </w:t>
      </w:r>
      <w:r w:rsidRPr="00795817">
        <w:t>prodlení</w:t>
      </w:r>
      <w:r w:rsidR="00131DD1">
        <w:t xml:space="preserve">, tj. </w:t>
      </w:r>
      <w:r w:rsidRPr="00795817">
        <w:t xml:space="preserve"> </w:t>
      </w:r>
      <w:r w:rsidR="00131DD1" w:rsidRPr="00795817">
        <w:t xml:space="preserve">nepřijal řádně nabídnuté plnění nebo pokud neposkytl dlužníku (vyvlastniteli) součinnost potřebnou ke splnění </w:t>
      </w:r>
      <w:r w:rsidR="00131DD1">
        <w:t>d</w:t>
      </w:r>
      <w:r w:rsidR="00131DD1" w:rsidRPr="00795817">
        <w:t>luhu</w:t>
      </w:r>
      <w:r w:rsidRPr="00795817">
        <w:t>.</w:t>
      </w:r>
      <w:r w:rsidR="00277332">
        <w:t xml:space="preserve"> </w:t>
      </w:r>
      <w:r w:rsidRPr="00795817">
        <w:t xml:space="preserve">Řízení o soudní úschově upravuje § 289 a násl. ZŘS. </w:t>
      </w:r>
    </w:p>
    <w:p w:rsidR="00CD5B2B" w:rsidRDefault="000865D6" w:rsidP="00701048">
      <w:pPr>
        <w:pStyle w:val="Normln-tun"/>
      </w:pPr>
      <w:r w:rsidRPr="00795817">
        <w:t>Pokud osoba oprávněná k náhradě zemře, je nutné náhradu v rámci dědického řízení vyplatit správ</w:t>
      </w:r>
      <w:r w:rsidRPr="00795817">
        <w:t>ci dědictví nebo dědicům. Pokud takový postup není možný, je vyvlastnitel povinen složit částku odpovídající náhradě u soudu, který dědictví po oprávněné osobě projednává, nebo přímo k pověřenému soudnímu komisaři.</w:t>
      </w:r>
    </w:p>
    <w:p w:rsidR="005B1F16" w:rsidRPr="00795817" w:rsidRDefault="000865D6" w:rsidP="00701048">
      <w:pPr>
        <w:pStyle w:val="Normln-tun"/>
      </w:pPr>
      <w:r>
        <w:t>Specifika v oblasti náhrad pro vybrané st</w:t>
      </w:r>
      <w:r>
        <w:t xml:space="preserve">avby dle zákona </w:t>
      </w:r>
      <w:r w:rsidR="00F02636">
        <w:t xml:space="preserve">č. </w:t>
      </w:r>
      <w:r>
        <w:t xml:space="preserve">416/2009 Sb., </w:t>
      </w:r>
      <w:r w:rsidRPr="005B1F16">
        <w:t>o urychlení výstavby dopravní, vodní a energetické infrastruktury a infrastruktury elektronických komunikací</w:t>
      </w:r>
      <w:r>
        <w:t xml:space="preserve"> jsou popsána v kap. 1.2.1.</w:t>
      </w:r>
    </w:p>
    <w:p w:rsidR="0016654D" w:rsidRPr="00795817" w:rsidRDefault="000865D6" w:rsidP="0016654D">
      <w:pPr>
        <w:pStyle w:val="Text-Normaln"/>
        <w:widowControl w:val="0"/>
        <w:rPr>
          <w:b/>
          <w:bCs/>
        </w:rPr>
      </w:pPr>
      <w:r w:rsidRPr="00795817">
        <w:rPr>
          <w:b/>
          <w:bCs/>
        </w:rPr>
        <w:t xml:space="preserve">Definice problému: </w:t>
      </w:r>
    </w:p>
    <w:p w:rsidR="003B6E5B" w:rsidRPr="00795817" w:rsidRDefault="000865D6">
      <w:pPr>
        <w:pStyle w:val="Normln-tun"/>
        <w:numPr>
          <w:ilvl w:val="0"/>
          <w:numId w:val="84"/>
        </w:numPr>
        <w:ind w:left="426" w:hanging="426"/>
      </w:pPr>
      <w:r w:rsidRPr="00795817">
        <w:t xml:space="preserve">Povinnost odškodnit vlastníka je dnes považována za nutnou podmínku vyvlastnění. Náhrada za vyvlastnění by měla být spravedlivá a přiměřená. Za spravedlivou (přiměřenou) náhradu je dnes </w:t>
      </w:r>
      <w:r w:rsidR="001D169E" w:rsidRPr="00795817">
        <w:t>dle platného zákona</w:t>
      </w:r>
      <w:r w:rsidRPr="00795817">
        <w:t xml:space="preserve"> považováno</w:t>
      </w:r>
      <w:r w:rsidR="001D169E" w:rsidRPr="00795817">
        <w:t xml:space="preserve"> </w:t>
      </w:r>
      <w:r w:rsidRPr="00795817">
        <w:t>vyplacení:</w:t>
      </w:r>
    </w:p>
    <w:p w:rsidR="003B6E5B" w:rsidRPr="00795817" w:rsidRDefault="000865D6">
      <w:pPr>
        <w:pStyle w:val="Text-Normaln"/>
        <w:widowControl w:val="0"/>
        <w:numPr>
          <w:ilvl w:val="1"/>
          <w:numId w:val="84"/>
        </w:numPr>
      </w:pPr>
      <w:r w:rsidRPr="00795817">
        <w:t>obvyklé (tržní) ceny vyvlast</w:t>
      </w:r>
      <w:r w:rsidRPr="00795817">
        <w:t>něné nemovité věci, resp. poskytnutí</w:t>
      </w:r>
      <w:r w:rsidR="001D169E" w:rsidRPr="00795817">
        <w:t xml:space="preserve"> </w:t>
      </w:r>
      <w:r w:rsidRPr="00795817">
        <w:t>náhradní věci,</w:t>
      </w:r>
    </w:p>
    <w:p w:rsidR="003B6E5B" w:rsidRPr="00795817" w:rsidRDefault="000865D6">
      <w:pPr>
        <w:pStyle w:val="Text-Normaln"/>
        <w:widowControl w:val="0"/>
        <w:numPr>
          <w:ilvl w:val="1"/>
          <w:numId w:val="84"/>
        </w:numPr>
      </w:pPr>
      <w:r w:rsidRPr="00795817">
        <w:t>některých nákladů vyvolaných vyvlastněním (především stěhovacích),</w:t>
      </w:r>
    </w:p>
    <w:p w:rsidR="003B6E5B" w:rsidRPr="00795817" w:rsidRDefault="000865D6">
      <w:pPr>
        <w:pStyle w:val="Text-Normaln"/>
        <w:widowControl w:val="0"/>
        <w:numPr>
          <w:ilvl w:val="1"/>
          <w:numId w:val="84"/>
        </w:numPr>
      </w:pPr>
      <w:r w:rsidRPr="00795817">
        <w:t>„odškodnění“ za přílišnou tvrdost vyvlastnění</w:t>
      </w:r>
      <w:r w:rsidR="001D169E" w:rsidRPr="00795817">
        <w:t>; může však dle § 28 VyvlZ přiznat až soud v rámci soudního přezkumu výroku o náhradě za vyvlastnění.</w:t>
      </w:r>
    </w:p>
    <w:p w:rsidR="00503B2A" w:rsidRDefault="000865D6" w:rsidP="009356C6">
      <w:pPr>
        <w:pStyle w:val="Normln-tun"/>
        <w:ind w:left="426"/>
      </w:pPr>
      <w:r w:rsidRPr="00795817">
        <w:t xml:space="preserve">Způsob určování výše náhrady je klíčovým prvkem, jehož nastavováním lze měnit úroveň motivace a zainteresovanosti jednotlivých stakeholderů, a tím i stupeň naplnění cílů stanovených pro tuto oblast. </w:t>
      </w:r>
    </w:p>
    <w:p w:rsidR="00523590" w:rsidRPr="00917BE6" w:rsidRDefault="000865D6" w:rsidP="009356C6">
      <w:pPr>
        <w:pStyle w:val="Normln-tun"/>
        <w:ind w:left="426"/>
      </w:pPr>
      <w:r w:rsidRPr="00917BE6">
        <w:t xml:space="preserve">Motivace k uzavření dohod je však u vlastníků </w:t>
      </w:r>
      <w:r w:rsidRPr="00917BE6">
        <w:t xml:space="preserve">pozemků nižší nebo stejná jako </w:t>
      </w:r>
      <w:r w:rsidR="00917BE6">
        <w:t>motivace k</w:t>
      </w:r>
      <w:r w:rsidRPr="00917BE6">
        <w:t xml:space="preserve"> vedení vyvlastňovacího řízení. Tento fakt je značným nedostatkem současné úpravy </w:t>
      </w:r>
      <w:r w:rsidR="00917BE6">
        <w:t>a</w:t>
      </w:r>
      <w:r w:rsidRPr="00917BE6">
        <w:t xml:space="preserve"> přináší značné náklady (administrativní, časové, finanční), kterým </w:t>
      </w:r>
      <w:r w:rsidR="00917BE6">
        <w:t>se chce</w:t>
      </w:r>
      <w:r w:rsidRPr="00917BE6">
        <w:t xml:space="preserve"> v praxi předcházet</w:t>
      </w:r>
      <w:r w:rsidR="00C738A6" w:rsidRPr="00917BE6">
        <w:t>.</w:t>
      </w:r>
    </w:p>
    <w:p w:rsidR="002346A7" w:rsidRPr="00917BE6" w:rsidRDefault="000865D6">
      <w:pPr>
        <w:pStyle w:val="Normln-tun"/>
        <w:numPr>
          <w:ilvl w:val="0"/>
          <w:numId w:val="84"/>
        </w:numPr>
        <w:ind w:left="426" w:hanging="426"/>
      </w:pPr>
      <w:r w:rsidRPr="00917BE6">
        <w:t>Výše náhrady je v režimu zákona o vy</w:t>
      </w:r>
      <w:r w:rsidRPr="00917BE6">
        <w:t xml:space="preserve">vlastnění vždy individuálně určenou. Do jisté míry by bylo možné uvažovat o zavedení úpravy paušalizované náhrady. V případě přijetí úpravy paušalizovaných náhrad </w:t>
      </w:r>
      <w:r w:rsidR="00B57F64" w:rsidRPr="00917BE6">
        <w:t>by mohlo dojít</w:t>
      </w:r>
      <w:r w:rsidRPr="00917BE6">
        <w:t xml:space="preserve"> ke zrychlení vyvlastňovacích řízení. </w:t>
      </w:r>
      <w:r w:rsidR="009F2886" w:rsidRPr="00917BE6">
        <w:t>Mohlo by dojít</w:t>
      </w:r>
      <w:r w:rsidRPr="00917BE6">
        <w:t xml:space="preserve"> ke zvýšení motivace k uzav</w:t>
      </w:r>
      <w:r w:rsidRPr="00917BE6">
        <w:t>írání dohod tam, kde náhrady ve vyvlastňovacím řízení neodpovídají újmě způsobené vyvlastněním.</w:t>
      </w:r>
      <w:r w:rsidR="009F4C9C" w:rsidRPr="00917BE6">
        <w:t xml:space="preserve"> Nebylo by nutné</w:t>
      </w:r>
      <w:r w:rsidRPr="00917BE6">
        <w:t xml:space="preserve"> pro pozemky s nejmenší rozlohou potřebné vést zdlouhavé vyvlastňovací řízení, kdy určená náhrada bude příliš nízká a výše nákladů na řízení bude</w:t>
      </w:r>
      <w:r w:rsidRPr="00917BE6">
        <w:t xml:space="preserve"> tuto částku převyšovat. </w:t>
      </w:r>
      <w:r w:rsidR="00ED55B9" w:rsidRPr="00917BE6">
        <w:t>Na druhou stranu je nutné počítat s</w:t>
      </w:r>
      <w:r w:rsidR="00917BE6">
        <w:t xml:space="preserve"> někdy</w:t>
      </w:r>
      <w:r w:rsidR="00ED55B9" w:rsidRPr="00917BE6">
        <w:t xml:space="preserve"> nespravedlivou náhradou za vyvlastnění.</w:t>
      </w:r>
    </w:p>
    <w:p w:rsidR="002346A7" w:rsidRPr="00917BE6" w:rsidRDefault="000865D6">
      <w:pPr>
        <w:pStyle w:val="Normln-tun"/>
        <w:numPr>
          <w:ilvl w:val="0"/>
          <w:numId w:val="84"/>
        </w:numPr>
        <w:ind w:left="426" w:hanging="426"/>
        <w:rPr>
          <w:b/>
        </w:rPr>
      </w:pPr>
      <w:r w:rsidRPr="00917BE6">
        <w:t xml:space="preserve">Současná právní úprava počítá s tím, že obvyklou cenu lze určit náhradu u všech nemovitých věcí. Tak tomu však v praxi není. U unikátních či </w:t>
      </w:r>
      <w:r w:rsidRPr="00917BE6">
        <w:t>atypických nemovitých věcí není možné obvyklou cenu určit vůbec, neboť na trhu chybí srovnatelná nemovitá věc. Tato skutečnost by se tak měla promítnout v rekodifikaci a znění zákona by umožnilo ocenit tyto unikátní a atypické nemovité věci odlišně tak, ab</w:t>
      </w:r>
      <w:r w:rsidRPr="00917BE6">
        <w:t>y se náhrada rovnala majetkové újmě, která se u vyvlastňovaného v důsledku vyvlastnění projeví, vždy s přihlédnutím k okolnostem konkrétního případu.</w:t>
      </w:r>
    </w:p>
    <w:p w:rsidR="002346A7" w:rsidRPr="00917BE6" w:rsidRDefault="000865D6">
      <w:pPr>
        <w:pStyle w:val="Normln-tun"/>
        <w:numPr>
          <w:ilvl w:val="0"/>
          <w:numId w:val="84"/>
        </w:numPr>
        <w:ind w:left="426" w:hanging="426"/>
      </w:pPr>
      <w:r w:rsidRPr="00917BE6">
        <w:lastRenderedPageBreak/>
        <w:t xml:space="preserve">Náhrady za omezení práv jsou v praxi stanovovány v částkách, které jsou několikanásobně nižší než náklady </w:t>
      </w:r>
      <w:r w:rsidRPr="00917BE6">
        <w:t>na jejich určení</w:t>
      </w:r>
      <w:r w:rsidR="005655C0">
        <w:t xml:space="preserve"> (viz i údaje v tabulkách v kapitole Popis současného stavu)</w:t>
      </w:r>
      <w:r w:rsidRPr="00917BE6">
        <w:t>, a to i proto, že zjištěná cena věcného břemene nevyjadřuje majetkovou újmu vyvlastňovaného (povinného z věcného břemene); způsobuje to požadavek na použití výnosové metody, kdy s</w:t>
      </w:r>
      <w:r w:rsidRPr="00917BE6">
        <w:t>e v potaz bere roční užitek z věcného břemene, který však v některých případech neodpovídá újmě spojené s omezením dané nemovité věci (v praxi má pozemek bez věcného břemene pro účely případného prodeje vyšší hodnotu</w:t>
      </w:r>
      <w:r w:rsidR="00765675" w:rsidRPr="00917BE6">
        <w:t xml:space="preserve"> </w:t>
      </w:r>
      <w:r w:rsidRPr="00917BE6">
        <w:t>a je snáze zcizitelný; rozdíl mezi ceno</w:t>
      </w:r>
      <w:r w:rsidRPr="00917BE6">
        <w:t xml:space="preserve">u pozemku se zatížením a bez něj může být v řádech desítkách procent). </w:t>
      </w:r>
    </w:p>
    <w:p w:rsidR="00FC18D6" w:rsidRPr="0036529A" w:rsidRDefault="000865D6">
      <w:pPr>
        <w:pStyle w:val="Normln-tun"/>
        <w:numPr>
          <w:ilvl w:val="0"/>
          <w:numId w:val="84"/>
        </w:numPr>
        <w:ind w:left="426" w:hanging="426"/>
      </w:pPr>
      <w:bookmarkStart w:id="133" w:name="_Toc47597878"/>
      <w:bookmarkStart w:id="134" w:name="_Toc47688670"/>
      <w:bookmarkStart w:id="135" w:name="_Toc56153388"/>
      <w:r w:rsidRPr="0036529A">
        <w:t>Při stanovení ceny se nepřihlíží ke zhodnocení nebo znehodnocení v souvislosti s navrženým účelem vyvlastnění. Tento přístup má za cíl eliminovat spekulativní návrhy a obstrukce. V pra</w:t>
      </w:r>
      <w:r w:rsidRPr="0036529A">
        <w:t xml:space="preserve">xi </w:t>
      </w:r>
      <w:r w:rsidR="00310A06" w:rsidRPr="0036529A">
        <w:t xml:space="preserve">často </w:t>
      </w:r>
      <w:r w:rsidRPr="0036529A">
        <w:t>dochází k vyvlastnění pouze části nemovité věci, což vede k znehodnocení zbylé části pozemku. Současná úprava umožňuje nahradit v rámci vyvlastnění újmu dle obvyklé ceny, a to pouze ve vztahu k vyvlastňované části pozemku. V potaz již však není brána zbylá</w:t>
      </w:r>
      <w:r w:rsidRPr="0036529A">
        <w:t xml:space="preserve"> část pozemku, které se vyvlastnění negativně dotýká i přes to, že sama není předmětem vyvlastňovacího řízení. </w:t>
      </w:r>
      <w:r w:rsidR="00310A06" w:rsidRPr="0036529A">
        <w:t xml:space="preserve">Pokud je </w:t>
      </w:r>
      <w:r w:rsidRPr="0036529A">
        <w:t xml:space="preserve">cílem spravedlivé řešení, náhrada </w:t>
      </w:r>
      <w:r w:rsidR="00310A06" w:rsidRPr="0036529A">
        <w:t xml:space="preserve">by měla být poskytována </w:t>
      </w:r>
      <w:r w:rsidRPr="0036529A">
        <w:t xml:space="preserve">za celkovou způsobenou újmu. </w:t>
      </w:r>
    </w:p>
    <w:p w:rsidR="00C738A6" w:rsidRPr="0036529A" w:rsidRDefault="000865D6">
      <w:pPr>
        <w:pStyle w:val="Normln-tun"/>
        <w:numPr>
          <w:ilvl w:val="0"/>
          <w:numId w:val="84"/>
        </w:numPr>
        <w:ind w:left="426" w:hanging="426"/>
        <w:rPr>
          <w:u w:val="single"/>
        </w:rPr>
      </w:pPr>
      <w:r w:rsidRPr="0036529A">
        <w:t>Problémem je i kapitola „vedlejších“ náhrad (stě</w:t>
      </w:r>
      <w:r w:rsidRPr="0036529A">
        <w:t>hování, změna sídla firmy apod.). Svou složitostí může např. v důsledku obstrukcí mařit účel řízení, kterým je něco jiného, a proto by bylo vhodné mít v zákoně zvláštní ustanovení, které by umožnilo přikázat tuto problematiku k samostatnému projednání. Výh</w:t>
      </w:r>
      <w:r w:rsidRPr="0036529A">
        <w:t>odou by byla i možnost vyčkat na proběhnutí stěhování apod. a následně rozhodnout na základě předloženého vyúčtování apod.</w:t>
      </w:r>
    </w:p>
    <w:bookmarkEnd w:id="133"/>
    <w:bookmarkEnd w:id="134"/>
    <w:bookmarkEnd w:id="135"/>
    <w:p w:rsidR="002346A7" w:rsidRPr="0036529A" w:rsidRDefault="000865D6">
      <w:pPr>
        <w:pStyle w:val="Normln-tun"/>
        <w:numPr>
          <w:ilvl w:val="0"/>
          <w:numId w:val="84"/>
        </w:numPr>
        <w:ind w:left="426" w:hanging="426"/>
      </w:pPr>
      <w:r w:rsidRPr="0036529A">
        <w:t>Zvážit lze uvedení dalších nejběžnějších nákladů, které vyvlastňovanému mohou vznikat, v zákoně (např. náklady na zajištění jiné nemo</w:t>
      </w:r>
      <w:r w:rsidRPr="0036529A">
        <w:t>vité věci, náklady právního zastoupení, které umožňuje efektivní ochranu práv vyvlastňovaného). Tato úprava by mohla přinést větší přehlednost pro vyvlastňovaného, který je v rámci vyvlastnění v pozici tzv. slabší strany.</w:t>
      </w:r>
    </w:p>
    <w:p w:rsidR="002346A7" w:rsidRPr="0036529A" w:rsidRDefault="000865D6">
      <w:pPr>
        <w:pStyle w:val="Normln-tun"/>
        <w:numPr>
          <w:ilvl w:val="0"/>
          <w:numId w:val="84"/>
        </w:numPr>
        <w:ind w:left="426" w:hanging="426"/>
      </w:pPr>
      <w:r w:rsidRPr="0036529A">
        <w:t>Problémem současné úpravy může být</w:t>
      </w:r>
      <w:r w:rsidRPr="0036529A">
        <w:t xml:space="preserve"> skutečnost, že náhrada </w:t>
      </w:r>
      <w:r w:rsidR="00CC5C04" w:rsidRPr="0036529A">
        <w:t xml:space="preserve">dalších </w:t>
      </w:r>
      <w:r w:rsidRPr="0036529A">
        <w:t xml:space="preserve">nákladů je </w:t>
      </w:r>
      <w:r w:rsidR="00CC5C04" w:rsidRPr="0036529A">
        <w:t xml:space="preserve">poskytována </w:t>
      </w:r>
      <w:r w:rsidRPr="0036529A">
        <w:t xml:space="preserve">pouze v případě nedobrovolné fáze vyvlastnění (v rámci vyvlastňovacího řízení). Náhrada těchto nákladů v rámci dobrovolné fáze řízení je tak čistě </w:t>
      </w:r>
      <w:r w:rsidR="004C7F35" w:rsidRPr="0036529A">
        <w:t>věcí</w:t>
      </w:r>
      <w:r w:rsidRPr="0036529A">
        <w:t xml:space="preserve"> </w:t>
      </w:r>
      <w:r w:rsidR="004C7F35" w:rsidRPr="0036529A">
        <w:t>vyjednávajících</w:t>
      </w:r>
      <w:r w:rsidRPr="0036529A">
        <w:t xml:space="preserve"> stran</w:t>
      </w:r>
      <w:r w:rsidR="004C7F35" w:rsidRPr="0036529A">
        <w:t xml:space="preserve"> a u veřejných subjektů může narážet na problém, zda je jejich náhrada v souladu s principem řádného </w:t>
      </w:r>
      <w:r w:rsidRPr="0036529A">
        <w:t xml:space="preserve">hospodaření s majetkem. V praxi </w:t>
      </w:r>
      <w:r w:rsidR="004C7F35" w:rsidRPr="0036529A">
        <w:t xml:space="preserve">pak </w:t>
      </w:r>
      <w:r w:rsidRPr="0036529A">
        <w:t xml:space="preserve">dochází k tomu, že tato náhrada není přiznávána systematicky a </w:t>
      </w:r>
      <w:r w:rsidR="004C7F35" w:rsidRPr="0036529A">
        <w:t>nedává tak</w:t>
      </w:r>
      <w:r w:rsidRPr="0036529A">
        <w:t xml:space="preserve"> </w:t>
      </w:r>
      <w:r w:rsidR="00243058" w:rsidRPr="0036529A">
        <w:t xml:space="preserve">vyvlastňovaným </w:t>
      </w:r>
      <w:r w:rsidRPr="0036529A">
        <w:t xml:space="preserve">dostatečný důvod pro vyjednání dohody namísto podstoupení </w:t>
      </w:r>
      <w:r w:rsidRPr="0036529A">
        <w:t xml:space="preserve">finančně a časově náročného řízení o vyvlastnění. </w:t>
      </w:r>
    </w:p>
    <w:p w:rsidR="002346A7" w:rsidRPr="0036529A" w:rsidRDefault="000865D6">
      <w:pPr>
        <w:pStyle w:val="Normln-tun"/>
        <w:numPr>
          <w:ilvl w:val="0"/>
          <w:numId w:val="84"/>
        </w:numPr>
        <w:ind w:left="426" w:hanging="426"/>
      </w:pPr>
      <w:r w:rsidRPr="0036529A">
        <w:t>Současná právní úprava dále stanovuje, že vyvlastňovanému náleží také náhrada v prokázané výši újmy způsobené zákaz</w:t>
      </w:r>
      <w:r w:rsidR="005D64DB" w:rsidRPr="0036529A">
        <w:t>em</w:t>
      </w:r>
      <w:r w:rsidRPr="0036529A">
        <w:t xml:space="preserve"> nakládání s pozemkem nebo stavbou. </w:t>
      </w:r>
      <w:r w:rsidR="005D64DB" w:rsidRPr="0036529A">
        <w:t>Zde by bylo vhodné zvážit</w:t>
      </w:r>
      <w:r w:rsidRPr="0036529A">
        <w:t xml:space="preserve"> zpřesnění podmínek, neboť </w:t>
      </w:r>
      <w:r w:rsidRPr="0036529A">
        <w:t>v praxi dochází ke </w:t>
      </w:r>
      <w:r w:rsidR="005D64DB" w:rsidRPr="0036529A">
        <w:t xml:space="preserve">vznášení </w:t>
      </w:r>
      <w:r w:rsidRPr="0036529A">
        <w:t>spekulativní</w:t>
      </w:r>
      <w:r w:rsidR="005D64DB" w:rsidRPr="0036529A">
        <w:t>ch</w:t>
      </w:r>
      <w:r w:rsidRPr="0036529A">
        <w:t xml:space="preserve"> nároků (nejčastěji v případě újmy způsobené nemožností pronájmu nemovité věci). </w:t>
      </w:r>
    </w:p>
    <w:p w:rsidR="002346A7" w:rsidRPr="0036529A" w:rsidRDefault="000865D6">
      <w:pPr>
        <w:pStyle w:val="Normln-tun"/>
        <w:numPr>
          <w:ilvl w:val="0"/>
          <w:numId w:val="84"/>
        </w:numPr>
        <w:ind w:left="426" w:hanging="426"/>
      </w:pPr>
      <w:r w:rsidRPr="0036529A">
        <w:t xml:space="preserve">Lze zvážit možnost hromadného ocenění v případě plošného vyvlastnění s vysokým počtem osob. </w:t>
      </w:r>
      <w:r w:rsidR="006E7F1D" w:rsidRPr="0036529A">
        <w:t>Mohlo by tak být zajištěno nabídnutí obdobné ceny za obdobné nemovité věci potřebné pro stejný účel vyvlastnění. Snížil by se tak počet sporných situací i administrativní náročnost procesu vyvlastnění. Musí však být zaručeno</w:t>
      </w:r>
      <w:r w:rsidRPr="0036529A">
        <w:t xml:space="preserve">, že </w:t>
      </w:r>
      <w:r w:rsidRPr="0036529A">
        <w:lastRenderedPageBreak/>
        <w:t>bude dosaženo spravedlivého ocenění pro veškeré dotčené nemovité vě</w:t>
      </w:r>
      <w:r w:rsidRPr="0036529A">
        <w:t xml:space="preserve">ci s přihlédnutím k okolnostem u každé z nich. </w:t>
      </w:r>
    </w:p>
    <w:p w:rsidR="002346A7" w:rsidRPr="0036529A" w:rsidRDefault="000865D6">
      <w:pPr>
        <w:pStyle w:val="Normln-tun"/>
        <w:numPr>
          <w:ilvl w:val="0"/>
          <w:numId w:val="84"/>
        </w:numPr>
        <w:ind w:left="426" w:hanging="426"/>
      </w:pPr>
      <w:r w:rsidRPr="0036529A">
        <w:t>V</w:t>
      </w:r>
      <w:r w:rsidR="0010614F" w:rsidRPr="0036529A">
        <w:t> </w:t>
      </w:r>
      <w:r w:rsidRPr="0036529A">
        <w:t>současné</w:t>
      </w:r>
      <w:r w:rsidR="0010614F" w:rsidRPr="0036529A">
        <w:t>m znění zákona o vyvlastnění chybí</w:t>
      </w:r>
      <w:r w:rsidRPr="0036529A">
        <w:t xml:space="preserve"> úprava náhrad u práva stavby</w:t>
      </w:r>
      <w:r w:rsidR="0010614F" w:rsidRPr="0036529A">
        <w:t>, je ji tak třeba doplnit.</w:t>
      </w:r>
      <w:r w:rsidRPr="0036529A">
        <w:t xml:space="preserve"> </w:t>
      </w:r>
      <w:r w:rsidR="0010614F" w:rsidRPr="0036529A">
        <w:t>J</w:t>
      </w:r>
      <w:r w:rsidRPr="0036529A">
        <w:t xml:space="preserve">e </w:t>
      </w:r>
      <w:r w:rsidR="0010614F" w:rsidRPr="0036529A">
        <w:t xml:space="preserve">však </w:t>
      </w:r>
      <w:r w:rsidRPr="0036529A">
        <w:t xml:space="preserve">zapotřebí upozornit na to, že se jedná o problematiku novou, která může </w:t>
      </w:r>
      <w:r w:rsidR="0010614F" w:rsidRPr="0036529A">
        <w:t xml:space="preserve">především v oblasti oceňování </w:t>
      </w:r>
      <w:r w:rsidRPr="0036529A">
        <w:t>způsobit problém.</w:t>
      </w:r>
    </w:p>
    <w:p w:rsidR="0016654D" w:rsidRPr="00795817" w:rsidRDefault="000865D6" w:rsidP="003B6E5B">
      <w:pPr>
        <w:pStyle w:val="Text-Normaln"/>
        <w:widowControl w:val="0"/>
        <w:rPr>
          <w:rFonts w:cs="Arial"/>
          <w:szCs w:val="24"/>
        </w:rPr>
      </w:pPr>
      <w:r w:rsidRPr="00795817">
        <w:rPr>
          <w:b/>
        </w:rPr>
        <w:t>Cíl:</w:t>
      </w:r>
      <w:r w:rsidRPr="00795817">
        <w:t xml:space="preserve"> </w:t>
      </w:r>
      <w:r w:rsidR="009D39C7" w:rsidRPr="00795817">
        <w:rPr>
          <w:rFonts w:cs="Arial"/>
          <w:szCs w:val="24"/>
        </w:rPr>
        <w:t xml:space="preserve">Vyšší míra právní jistoty; předcházení vyvlastňovacím řízením </w:t>
      </w:r>
      <w:r w:rsidR="00C245F4" w:rsidRPr="00795817">
        <w:rPr>
          <w:rFonts w:cs="Arial"/>
          <w:szCs w:val="24"/>
        </w:rPr>
        <w:t>s preferencí uzavírání dohod</w:t>
      </w:r>
    </w:p>
    <w:p w:rsidR="0016654D" w:rsidRPr="00795817" w:rsidRDefault="000865D6" w:rsidP="0016654D">
      <w:pPr>
        <w:pStyle w:val="Text-Normaln"/>
        <w:widowControl w:val="0"/>
        <w:rPr>
          <w:b/>
        </w:rPr>
      </w:pPr>
      <w:r w:rsidRPr="00795817">
        <w:rPr>
          <w:b/>
        </w:rPr>
        <w:t>Návrh variant řešení:</w:t>
      </w:r>
    </w:p>
    <w:p w:rsidR="0016654D" w:rsidRPr="00795817" w:rsidRDefault="000865D6" w:rsidP="0016654D">
      <w:pPr>
        <w:pStyle w:val="Text-Normaln"/>
        <w:widowControl w:val="0"/>
        <w:rPr>
          <w:i/>
        </w:rPr>
      </w:pPr>
      <w:r w:rsidRPr="00795817">
        <w:rPr>
          <w:b/>
          <w:i/>
        </w:rPr>
        <w:t>Varianta 0:</w:t>
      </w:r>
      <w:r w:rsidRPr="00795817">
        <w:rPr>
          <w:i/>
        </w:rPr>
        <w:t xml:space="preserve"> Zachování současného stavu</w:t>
      </w:r>
    </w:p>
    <w:p w:rsidR="00CD4D19" w:rsidRDefault="000865D6" w:rsidP="00E621FF">
      <w:pPr>
        <w:pStyle w:val="Text-Normaln"/>
        <w:widowControl w:val="0"/>
        <w:rPr>
          <w:i/>
        </w:rPr>
      </w:pPr>
      <w:r w:rsidRPr="00795817">
        <w:rPr>
          <w:b/>
          <w:i/>
        </w:rPr>
        <w:t>Varianta 1</w:t>
      </w:r>
      <w:r>
        <w:rPr>
          <w:b/>
          <w:i/>
        </w:rPr>
        <w:t>a</w:t>
      </w:r>
      <w:r w:rsidRPr="00795817">
        <w:rPr>
          <w:b/>
          <w:i/>
        </w:rPr>
        <w:t>:</w:t>
      </w:r>
      <w:r w:rsidRPr="00795817">
        <w:rPr>
          <w:i/>
        </w:rPr>
        <w:t xml:space="preserve"> </w:t>
      </w:r>
      <w:r w:rsidR="00874226" w:rsidRPr="00795817">
        <w:rPr>
          <w:i/>
        </w:rPr>
        <w:t>S</w:t>
      </w:r>
      <w:r w:rsidR="00EE3E69" w:rsidRPr="00795817">
        <w:rPr>
          <w:i/>
        </w:rPr>
        <w:t>tanovit definici ceny tak, aby obsahově odpovídala tržní hodnotě</w:t>
      </w:r>
    </w:p>
    <w:p w:rsidR="00CD4D19" w:rsidRDefault="000865D6" w:rsidP="00CD4D19">
      <w:pPr>
        <w:pStyle w:val="Text-Normaln"/>
        <w:widowControl w:val="0"/>
        <w:rPr>
          <w:i/>
        </w:rPr>
      </w:pPr>
      <w:r w:rsidRPr="00795817">
        <w:rPr>
          <w:b/>
          <w:i/>
        </w:rPr>
        <w:t>Varianta 1</w:t>
      </w:r>
      <w:r>
        <w:rPr>
          <w:b/>
          <w:i/>
        </w:rPr>
        <w:t>b</w:t>
      </w:r>
      <w:r w:rsidRPr="00795817">
        <w:rPr>
          <w:b/>
          <w:i/>
        </w:rPr>
        <w:t>:</w:t>
      </w:r>
      <w:r w:rsidRPr="00795817">
        <w:rPr>
          <w:i/>
        </w:rPr>
        <w:t xml:space="preserve"> </w:t>
      </w:r>
      <w:r>
        <w:rPr>
          <w:i/>
        </w:rPr>
        <w:t>Z</w:t>
      </w:r>
      <w:r w:rsidRPr="00CD4D19">
        <w:rPr>
          <w:i/>
        </w:rPr>
        <w:t>a</w:t>
      </w:r>
      <w:r>
        <w:rPr>
          <w:i/>
        </w:rPr>
        <w:t>vést</w:t>
      </w:r>
      <w:r w:rsidRPr="00CD4D19">
        <w:rPr>
          <w:i/>
        </w:rPr>
        <w:t xml:space="preserve"> úprav</w:t>
      </w:r>
      <w:r>
        <w:rPr>
          <w:i/>
        </w:rPr>
        <w:t>u</w:t>
      </w:r>
      <w:r w:rsidRPr="00CD4D19">
        <w:rPr>
          <w:i/>
        </w:rPr>
        <w:t xml:space="preserve"> paušalizované náhrady v zákoně o vyvlastnění (po vzoru zákona č. 416/2009 Sb., o urychlení výstavby dopravní, vodní a energetické infrastruktury a naturální náhrady)</w:t>
      </w:r>
    </w:p>
    <w:p w:rsidR="00E666F2" w:rsidRPr="00D66333" w:rsidRDefault="000865D6" w:rsidP="00B56096">
      <w:pPr>
        <w:pStyle w:val="Text-Normaln"/>
        <w:widowControl w:val="0"/>
        <w:rPr>
          <w:i/>
          <w:iCs/>
        </w:rPr>
      </w:pPr>
      <w:r w:rsidRPr="00795817">
        <w:rPr>
          <w:b/>
          <w:i/>
        </w:rPr>
        <w:t xml:space="preserve">Varianta </w:t>
      </w:r>
      <w:r>
        <w:rPr>
          <w:b/>
          <w:i/>
        </w:rPr>
        <w:t xml:space="preserve">2: </w:t>
      </w:r>
      <w:r w:rsidRPr="00CD4D19">
        <w:rPr>
          <w:bCs/>
          <w:i/>
        </w:rPr>
        <w:t>Z</w:t>
      </w:r>
      <w:r w:rsidR="00874226" w:rsidRPr="00795817">
        <w:rPr>
          <w:i/>
        </w:rPr>
        <w:t>revidovat příslušné předpisy a upravit pravidla pro stanovování náhrad za jednotlivé účely a kategorie vyvlastnitelů tak, aby motivace uzavřít dohodu před započetím vyvlastňovacího řízení byla vyšší než motivace vést vyvlastňovací řízení</w:t>
      </w:r>
    </w:p>
    <w:p w:rsidR="0016654D" w:rsidRPr="00795817" w:rsidRDefault="000865D6" w:rsidP="0016654D">
      <w:pPr>
        <w:pStyle w:val="Text-Normaln"/>
        <w:widowControl w:val="0"/>
        <w:rPr>
          <w:b/>
          <w:szCs w:val="24"/>
        </w:rPr>
      </w:pPr>
      <w:r w:rsidRPr="00795817">
        <w:rPr>
          <w:b/>
          <w:szCs w:val="24"/>
        </w:rPr>
        <w:t>Identifikace a kvantifikace nákladů a přínosů</w:t>
      </w:r>
    </w:p>
    <w:p w:rsidR="002C2C15" w:rsidRPr="00795817" w:rsidRDefault="000865D6" w:rsidP="002C2C15">
      <w:pPr>
        <w:pStyle w:val="Titulek"/>
      </w:pPr>
      <w:r w:rsidRPr="00795817">
        <w:t xml:space="preserve">Tabulka </w:t>
      </w:r>
      <w:r w:rsidRPr="00795817">
        <w:rPr>
          <w:noProof/>
        </w:rPr>
        <w:fldChar w:fldCharType="begin"/>
      </w:r>
      <w:r w:rsidRPr="00795817">
        <w:rPr>
          <w:noProof/>
        </w:rPr>
        <w:instrText xml:space="preserve"> SEQ Tabulka \</w:instrText>
      </w:r>
      <w:r w:rsidRPr="00795817">
        <w:rPr>
          <w:noProof/>
        </w:rPr>
        <w:instrText xml:space="preserve">* ARABIC </w:instrText>
      </w:r>
      <w:r w:rsidRPr="00795817">
        <w:rPr>
          <w:noProof/>
        </w:rPr>
        <w:fldChar w:fldCharType="separate"/>
      </w:r>
      <w:r w:rsidRPr="00795817">
        <w:rPr>
          <w:noProof/>
        </w:rPr>
        <w:t>21</w:t>
      </w:r>
      <w:r w:rsidRPr="00795817">
        <w:rPr>
          <w:noProof/>
        </w:rPr>
        <w:fldChar w:fldCharType="end"/>
      </w:r>
      <w:r w:rsidRPr="00795817">
        <w:t xml:space="preserve">: Identifikace nákladů a přínosů: </w:t>
      </w:r>
    </w:p>
    <w:tbl>
      <w:tblPr>
        <w:tblStyle w:val="Tabulkaseznamu21"/>
        <w:tblW w:w="9072" w:type="dxa"/>
        <w:tblInd w:w="108" w:type="dxa"/>
        <w:tblLook w:val="04A0" w:firstRow="1" w:lastRow="0" w:firstColumn="1" w:lastColumn="0" w:noHBand="0" w:noVBand="1"/>
      </w:tblPr>
      <w:tblGrid>
        <w:gridCol w:w="2268"/>
        <w:gridCol w:w="6804"/>
      </w:tblGrid>
      <w:tr w:rsidR="00FC72A1" w:rsidTr="00FC72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2C2C15" w:rsidRPr="00795817" w:rsidRDefault="000865D6" w:rsidP="007B3D7E">
            <w:pPr>
              <w:widowControl w:val="0"/>
              <w:tabs>
                <w:tab w:val="left" w:pos="142"/>
              </w:tabs>
              <w:spacing w:before="60" w:after="60"/>
              <w:rPr>
                <w:rFonts w:asciiTheme="minorHAnsi" w:hAnsiTheme="minorHAnsi" w:cstheme="minorHAnsi"/>
                <w:spacing w:val="-4"/>
                <w:sz w:val="20"/>
                <w:szCs w:val="20"/>
              </w:rPr>
            </w:pPr>
            <w:r w:rsidRPr="00795817">
              <w:rPr>
                <w:rFonts w:asciiTheme="minorHAnsi" w:hAnsiTheme="minorHAnsi" w:cstheme="minorHAnsi"/>
                <w:spacing w:val="-4"/>
                <w:sz w:val="20"/>
                <w:szCs w:val="20"/>
              </w:rPr>
              <w:t>Dotčená strana</w:t>
            </w:r>
          </w:p>
        </w:tc>
        <w:tc>
          <w:tcPr>
            <w:tcW w:w="6804" w:type="dxa"/>
            <w:vAlign w:val="center"/>
          </w:tcPr>
          <w:p w:rsidR="002C2C15" w:rsidRPr="00795817" w:rsidRDefault="000865D6" w:rsidP="007B3D7E">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795817">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874226" w:rsidRPr="00795817" w:rsidRDefault="000865D6" w:rsidP="007B3D7E">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Vyvlastnitelé</w:t>
            </w:r>
          </w:p>
        </w:tc>
        <w:tc>
          <w:tcPr>
            <w:tcW w:w="6804" w:type="dxa"/>
            <w:vAlign w:val="center"/>
          </w:tcPr>
          <w:p w:rsidR="00874226" w:rsidRDefault="000865D6" w:rsidP="007B3D7E">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Variant</w:t>
            </w:r>
            <w:r w:rsidR="001B1656">
              <w:rPr>
                <w:rFonts w:asciiTheme="minorHAnsi" w:hAnsiTheme="minorHAnsi" w:cstheme="minorHAnsi"/>
                <w:i/>
                <w:sz w:val="20"/>
                <w:szCs w:val="20"/>
              </w:rPr>
              <w:t>y</w:t>
            </w:r>
            <w:r w:rsidRPr="00795817">
              <w:rPr>
                <w:rFonts w:asciiTheme="minorHAnsi" w:hAnsiTheme="minorHAnsi" w:cstheme="minorHAnsi"/>
                <w:i/>
                <w:sz w:val="20"/>
                <w:szCs w:val="20"/>
              </w:rPr>
              <w:t xml:space="preserve"> 1 – Dodatečné náklady na výplatu náhrad; Přínosy ve formě úspor plynoucích z rychlejší realizace veřejně prospěšných staveb </w:t>
            </w:r>
          </w:p>
          <w:p w:rsidR="00F97B0A" w:rsidRPr="00795817" w:rsidRDefault="000865D6" w:rsidP="00B56096">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Pr>
                <w:rFonts w:asciiTheme="minorHAnsi" w:hAnsiTheme="minorHAnsi" w:cstheme="minorHAnsi"/>
                <w:i/>
                <w:sz w:val="20"/>
                <w:szCs w:val="20"/>
              </w:rPr>
              <w:t>2</w:t>
            </w:r>
            <w:r w:rsidRPr="00795817">
              <w:rPr>
                <w:rFonts w:asciiTheme="minorHAnsi" w:hAnsiTheme="minorHAnsi" w:cstheme="minorHAnsi"/>
                <w:i/>
                <w:sz w:val="20"/>
                <w:szCs w:val="20"/>
              </w:rPr>
              <w:t xml:space="preserve"> – Přínosy ve formě úspor plynoucích z rychlejší realizace veřejně prospěšných staveb</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874226" w:rsidRPr="00795817" w:rsidRDefault="000865D6" w:rsidP="007B3D7E">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Vyvlastňovaní</w:t>
            </w:r>
          </w:p>
        </w:tc>
        <w:tc>
          <w:tcPr>
            <w:tcW w:w="6804" w:type="dxa"/>
            <w:vAlign w:val="center"/>
          </w:tcPr>
          <w:p w:rsidR="00874226" w:rsidRDefault="000865D6" w:rsidP="007B3D7E">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Variant</w:t>
            </w:r>
            <w:r w:rsidR="001B1656">
              <w:rPr>
                <w:rFonts w:asciiTheme="minorHAnsi" w:hAnsiTheme="minorHAnsi" w:cstheme="minorHAnsi"/>
                <w:i/>
                <w:sz w:val="20"/>
                <w:szCs w:val="20"/>
              </w:rPr>
              <w:t>y</w:t>
            </w:r>
            <w:r w:rsidRPr="00795817">
              <w:rPr>
                <w:rFonts w:asciiTheme="minorHAnsi" w:hAnsiTheme="minorHAnsi" w:cstheme="minorHAnsi"/>
                <w:i/>
                <w:sz w:val="20"/>
                <w:szCs w:val="20"/>
              </w:rPr>
              <w:t xml:space="preserve"> 1 – </w:t>
            </w:r>
            <w:r w:rsidR="0030636D" w:rsidRPr="00795817">
              <w:rPr>
                <w:rFonts w:asciiTheme="minorHAnsi" w:hAnsiTheme="minorHAnsi" w:cstheme="minorHAnsi"/>
                <w:i/>
                <w:sz w:val="20"/>
                <w:szCs w:val="20"/>
              </w:rPr>
              <w:t xml:space="preserve">Dodatečné přínosy z výplaty náhrad; Férové </w:t>
            </w:r>
            <w:r w:rsidR="00092A99" w:rsidRPr="00795817">
              <w:rPr>
                <w:rFonts w:asciiTheme="minorHAnsi" w:hAnsiTheme="minorHAnsi" w:cstheme="minorHAnsi"/>
                <w:i/>
                <w:sz w:val="20"/>
                <w:szCs w:val="20"/>
              </w:rPr>
              <w:t>ocenění – srovnatelný</w:t>
            </w:r>
            <w:r w:rsidR="0030636D" w:rsidRPr="00795817">
              <w:rPr>
                <w:rFonts w:asciiTheme="minorHAnsi" w:hAnsiTheme="minorHAnsi" w:cstheme="minorHAnsi"/>
                <w:i/>
                <w:sz w:val="20"/>
                <w:szCs w:val="20"/>
              </w:rPr>
              <w:t xml:space="preserve"> přístup v obdobných případech</w:t>
            </w:r>
          </w:p>
          <w:p w:rsidR="00F97B0A" w:rsidRPr="00795817" w:rsidRDefault="000865D6" w:rsidP="00B56096">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Pr>
                <w:rFonts w:asciiTheme="minorHAnsi" w:hAnsiTheme="minorHAnsi" w:cstheme="minorHAnsi"/>
                <w:i/>
                <w:sz w:val="20"/>
                <w:szCs w:val="20"/>
              </w:rPr>
              <w:t>2</w:t>
            </w:r>
            <w:r w:rsidRPr="00795817">
              <w:rPr>
                <w:rFonts w:asciiTheme="minorHAnsi" w:hAnsiTheme="minorHAnsi" w:cstheme="minorHAnsi"/>
                <w:i/>
                <w:sz w:val="20"/>
                <w:szCs w:val="20"/>
              </w:rPr>
              <w:t xml:space="preserve"> – Férov</w:t>
            </w:r>
            <w:r>
              <w:rPr>
                <w:rFonts w:asciiTheme="minorHAnsi" w:hAnsiTheme="minorHAnsi" w:cstheme="minorHAnsi"/>
                <w:i/>
                <w:sz w:val="20"/>
                <w:szCs w:val="20"/>
              </w:rPr>
              <w:t>á</w:t>
            </w:r>
            <w:r w:rsidRPr="00795817">
              <w:rPr>
                <w:rFonts w:asciiTheme="minorHAnsi" w:hAnsiTheme="minorHAnsi" w:cstheme="minorHAnsi"/>
                <w:i/>
                <w:sz w:val="20"/>
                <w:szCs w:val="20"/>
              </w:rPr>
              <w:t xml:space="preserve"> </w:t>
            </w:r>
            <w:r>
              <w:rPr>
                <w:rFonts w:asciiTheme="minorHAnsi" w:hAnsiTheme="minorHAnsi" w:cstheme="minorHAnsi"/>
                <w:i/>
                <w:sz w:val="20"/>
                <w:szCs w:val="20"/>
              </w:rPr>
              <w:t>náhrada</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874226" w:rsidRPr="00795817" w:rsidRDefault="000865D6" w:rsidP="007B3D7E">
            <w:pPr>
              <w:widowControl w:val="0"/>
              <w:tabs>
                <w:tab w:val="left" w:pos="142"/>
              </w:tabs>
              <w:spacing w:before="60" w:after="60"/>
              <w:jc w:val="left"/>
              <w:rPr>
                <w:rFonts w:asciiTheme="minorHAnsi" w:hAnsiTheme="minorHAnsi" w:cstheme="minorHAnsi"/>
                <w:spacing w:val="-4"/>
                <w:sz w:val="20"/>
                <w:szCs w:val="20"/>
              </w:rPr>
            </w:pPr>
            <w:r w:rsidRPr="00795817">
              <w:rPr>
                <w:rFonts w:asciiTheme="minorHAnsi" w:hAnsiTheme="minorHAnsi" w:cstheme="minorHAnsi"/>
                <w:spacing w:val="-4"/>
                <w:sz w:val="20"/>
                <w:szCs w:val="20"/>
              </w:rPr>
              <w:t>Vyvlastňovací úřad</w:t>
            </w:r>
            <w:r w:rsidRPr="00795817">
              <w:rPr>
                <w:rFonts w:asciiTheme="minorHAnsi" w:hAnsiTheme="minorHAnsi" w:cstheme="minorHAnsi"/>
                <w:spacing w:val="-4"/>
                <w:sz w:val="20"/>
                <w:szCs w:val="20"/>
              </w:rPr>
              <w:t>y</w:t>
            </w:r>
          </w:p>
        </w:tc>
        <w:tc>
          <w:tcPr>
            <w:tcW w:w="6804" w:type="dxa"/>
            <w:vAlign w:val="center"/>
          </w:tcPr>
          <w:p w:rsidR="00F97B0A" w:rsidRDefault="000865D6" w:rsidP="00B56096">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Varianta 1 – Nižší administrativní zátěž při správním řízení</w:t>
            </w:r>
          </w:p>
          <w:p w:rsidR="00B56096" w:rsidRPr="00766323" w:rsidRDefault="000865D6" w:rsidP="00B56096">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795817">
              <w:rPr>
                <w:rFonts w:asciiTheme="minorHAnsi" w:hAnsiTheme="minorHAnsi" w:cstheme="minorHAnsi"/>
                <w:i/>
                <w:sz w:val="20"/>
                <w:szCs w:val="20"/>
              </w:rPr>
              <w:t xml:space="preserve">Varianta </w:t>
            </w:r>
            <w:r>
              <w:rPr>
                <w:rFonts w:asciiTheme="minorHAnsi" w:hAnsiTheme="minorHAnsi" w:cstheme="minorHAnsi"/>
                <w:i/>
                <w:sz w:val="20"/>
                <w:szCs w:val="20"/>
              </w:rPr>
              <w:t>2</w:t>
            </w:r>
            <w:r w:rsidRPr="00795817">
              <w:rPr>
                <w:rFonts w:asciiTheme="minorHAnsi" w:hAnsiTheme="minorHAnsi" w:cstheme="minorHAnsi"/>
                <w:i/>
                <w:sz w:val="20"/>
                <w:szCs w:val="20"/>
              </w:rPr>
              <w:t xml:space="preserve"> – </w:t>
            </w:r>
            <w:r>
              <w:rPr>
                <w:rFonts w:asciiTheme="minorHAnsi" w:hAnsiTheme="minorHAnsi" w:cstheme="minorHAnsi"/>
                <w:i/>
                <w:sz w:val="20"/>
                <w:szCs w:val="20"/>
              </w:rPr>
              <w:t>Úspory díky nižšímu počtu vyvlastňovacích řízení</w:t>
            </w:r>
          </w:p>
        </w:tc>
      </w:tr>
    </w:tbl>
    <w:p w:rsidR="0016654D" w:rsidRPr="00795817" w:rsidRDefault="000865D6" w:rsidP="004D738E">
      <w:pPr>
        <w:pStyle w:val="Text-Normaln"/>
        <w:widowControl w:val="0"/>
        <w:spacing w:before="240"/>
        <w:rPr>
          <w:b/>
        </w:rPr>
      </w:pPr>
      <w:r w:rsidRPr="00795817">
        <w:rPr>
          <w:b/>
        </w:rPr>
        <w:t>Volba varianty a její implementace</w:t>
      </w:r>
    </w:p>
    <w:p w:rsidR="001B1656" w:rsidRPr="00317BE4" w:rsidRDefault="000865D6" w:rsidP="002357D7">
      <w:pPr>
        <w:pStyle w:val="Text-Normaln"/>
        <w:widowControl w:val="0"/>
        <w:rPr>
          <w:rFonts w:cstheme="minorHAnsi"/>
          <w:i/>
          <w:iCs/>
        </w:rPr>
      </w:pPr>
      <w:r w:rsidRPr="00317BE4">
        <w:rPr>
          <w:rFonts w:cstheme="minorHAnsi"/>
          <w:i/>
          <w:iCs/>
        </w:rPr>
        <w:t>Varianta 1a</w:t>
      </w:r>
    </w:p>
    <w:p w:rsidR="009A20DA" w:rsidRDefault="000865D6" w:rsidP="00C23CA0">
      <w:pPr>
        <w:pStyle w:val="Normln-tun"/>
      </w:pPr>
      <w:r w:rsidRPr="00E3425F">
        <w:t>Definici tržní hodnoty lze najít v rámci návrhu novely zákona o oceňování majetku, a to jako odhadovanou částku, za kterou by měly být majetek nebo služba směněny ke dni ocenění mezi ochotným kupujícím a ochotným prodávajícím, a to v obchodním styku uskute</w:t>
      </w:r>
      <w:r w:rsidRPr="00E3425F">
        <w:t xml:space="preserve">čněném v souladu s principem tržního odstupu, po náležitém marketingu, kdy každá ze stran jednala informovaně, uvážlivě a nikoli v tísni. Principem tržního odstupu se rozumí, že účastníci směny jsou osobami, které mezi sebou nemají žádný zvláštní vzájemný </w:t>
      </w:r>
      <w:r w:rsidRPr="00E3425F">
        <w:t xml:space="preserve">vztah a jednají vzájemně nezávisle. </w:t>
      </w:r>
      <w:r w:rsidR="00317BE4">
        <w:t>Proto</w:t>
      </w:r>
      <w:r w:rsidRPr="00E3425F">
        <w:t xml:space="preserve"> v rámci vyvlastňovacího řízení nelze použít tržní hodnotu, neboť zde není ochotný kupující ani ochotný prodávající. Naopak cena obvyklá je správně použita v rámci ocenění náhrady za pozemek či stavbu při odnětí vla</w:t>
      </w:r>
      <w:r w:rsidRPr="00E3425F">
        <w:t xml:space="preserve">stnického práva. </w:t>
      </w:r>
      <w:r>
        <w:t>Variantu 1a zamítáme.</w:t>
      </w:r>
    </w:p>
    <w:p w:rsidR="009A20DA" w:rsidRDefault="000865D6" w:rsidP="00C23CA0">
      <w:pPr>
        <w:pStyle w:val="Normln-tun"/>
      </w:pPr>
      <w:r>
        <w:t xml:space="preserve">Existují však výjimky. </w:t>
      </w:r>
      <w:r w:rsidRPr="001B1656">
        <w:rPr>
          <w:rFonts w:cstheme="minorHAnsi"/>
        </w:rPr>
        <w:t>Současná právní úprava počítá s tím, že obvyklou cenu lze určit u všech nemovitých věcí. Tak tomu však v praxi není. U unikátních či atypických nemovitých věcí není možné obvyklou cenu určit vůb</w:t>
      </w:r>
      <w:r w:rsidRPr="001B1656">
        <w:rPr>
          <w:rFonts w:cstheme="minorHAnsi"/>
        </w:rPr>
        <w:t xml:space="preserve">ec, neboť na trhu chybí srovnatelná nemovitá </w:t>
      </w:r>
      <w:r w:rsidRPr="001B1656">
        <w:rPr>
          <w:rFonts w:cstheme="minorHAnsi"/>
        </w:rPr>
        <w:lastRenderedPageBreak/>
        <w:t xml:space="preserve">věc. Tato skutečnost by se tak měla promítnout v </w:t>
      </w:r>
      <w:r>
        <w:rPr>
          <w:rFonts w:cstheme="minorHAnsi"/>
        </w:rPr>
        <w:t>návrhu</w:t>
      </w:r>
      <w:r w:rsidRPr="001B1656">
        <w:rPr>
          <w:rFonts w:cstheme="minorHAnsi"/>
        </w:rPr>
        <w:t xml:space="preserve"> zákona</w:t>
      </w:r>
      <w:r>
        <w:rPr>
          <w:rFonts w:cstheme="minorHAnsi"/>
        </w:rPr>
        <w:t>, který</w:t>
      </w:r>
      <w:r w:rsidRPr="001B1656">
        <w:rPr>
          <w:rFonts w:cstheme="minorHAnsi"/>
        </w:rPr>
        <w:t xml:space="preserve"> by </w:t>
      </w:r>
      <w:r>
        <w:rPr>
          <w:rFonts w:cstheme="minorHAnsi"/>
        </w:rPr>
        <w:t xml:space="preserve">měl </w:t>
      </w:r>
      <w:r w:rsidRPr="001B1656">
        <w:rPr>
          <w:rFonts w:cstheme="minorHAnsi"/>
        </w:rPr>
        <w:t>umožni</w:t>
      </w:r>
      <w:r>
        <w:rPr>
          <w:rFonts w:cstheme="minorHAnsi"/>
        </w:rPr>
        <w:t>t</w:t>
      </w:r>
      <w:r w:rsidRPr="001B1656">
        <w:rPr>
          <w:rFonts w:cstheme="minorHAnsi"/>
        </w:rPr>
        <w:t xml:space="preserve"> ocenit tyto unikátní a atypické nemovité věci odlišně tak, aby se náhrada rovnala majetkové újmě, která se u vyvlastňovaného v</w:t>
      </w:r>
      <w:r w:rsidRPr="001B1656">
        <w:rPr>
          <w:rFonts w:cstheme="minorHAnsi"/>
        </w:rPr>
        <w:t xml:space="preserve"> důsledku vyvlastnění projeví.</w:t>
      </w:r>
      <w:r>
        <w:rPr>
          <w:rFonts w:cstheme="minorHAnsi"/>
        </w:rPr>
        <w:t xml:space="preserve"> </w:t>
      </w:r>
      <w:r w:rsidRPr="001B1656">
        <w:rPr>
          <w:rFonts w:cstheme="minorHAnsi"/>
        </w:rPr>
        <w:t xml:space="preserve">Tato změna by se nejvíce dotkla samotného zákona o oceňování majetku, na který zákon o vyvlastnění pro účely určení obvyklé ceny odkazuje. </w:t>
      </w:r>
      <w:r>
        <w:rPr>
          <w:rFonts w:cstheme="minorHAnsi"/>
        </w:rPr>
        <w:t>Návrh</w:t>
      </w:r>
      <w:r w:rsidRPr="001B1656">
        <w:rPr>
          <w:rFonts w:cstheme="minorHAnsi"/>
        </w:rPr>
        <w:t xml:space="preserve"> zákona o vyvlastnění by musel obsahovat úpravu, jež by umožňovala namísto ceny o</w:t>
      </w:r>
      <w:r w:rsidRPr="001B1656">
        <w:rPr>
          <w:rFonts w:cstheme="minorHAnsi"/>
        </w:rPr>
        <w:t>bvyklé či zjištěné použít pro tento případ cenu jinou, vhodnější, případně by v ojedinělých případech umožňovala navýšit náhradu nad cenu obvyklou přímo vyvlastňovacímu orgánu. Bez této úpravy je ocenění těchto unikátních a atypických nemovitých věcí čistě</w:t>
      </w:r>
      <w:r w:rsidRPr="001B1656">
        <w:rPr>
          <w:rFonts w:cstheme="minorHAnsi"/>
        </w:rPr>
        <w:t xml:space="preserve"> otázkou znalců, jejichž ocenění se může výrazně lišit. O </w:t>
      </w:r>
      <w:r>
        <w:rPr>
          <w:rFonts w:cstheme="minorHAnsi"/>
        </w:rPr>
        <w:t>pod</w:t>
      </w:r>
      <w:r w:rsidRPr="001B1656">
        <w:rPr>
          <w:rFonts w:cstheme="minorHAnsi"/>
        </w:rPr>
        <w:t>o</w:t>
      </w:r>
      <w:r>
        <w:rPr>
          <w:rFonts w:cstheme="minorHAnsi"/>
        </w:rPr>
        <w:t>b</w:t>
      </w:r>
      <w:r w:rsidRPr="001B1656">
        <w:rPr>
          <w:rFonts w:cstheme="minorHAnsi"/>
        </w:rPr>
        <w:t xml:space="preserve">ném postupu by bylo </w:t>
      </w:r>
      <w:r>
        <w:rPr>
          <w:rFonts w:cstheme="minorHAnsi"/>
        </w:rPr>
        <w:t>mož</w:t>
      </w:r>
      <w:r w:rsidRPr="001B1656">
        <w:rPr>
          <w:rFonts w:cstheme="minorHAnsi"/>
        </w:rPr>
        <w:t>né uvažovat také v případě odnětí práv k objektům k</w:t>
      </w:r>
      <w:r>
        <w:rPr>
          <w:rFonts w:cstheme="minorHAnsi"/>
        </w:rPr>
        <w:t> </w:t>
      </w:r>
      <w:r w:rsidRPr="001B1656">
        <w:rPr>
          <w:rFonts w:cstheme="minorHAnsi"/>
        </w:rPr>
        <w:t>bydlení</w:t>
      </w:r>
      <w:r>
        <w:rPr>
          <w:rFonts w:cstheme="minorHAnsi"/>
        </w:rPr>
        <w:t xml:space="preserve"> </w:t>
      </w:r>
      <w:r w:rsidRPr="001B1656">
        <w:rPr>
          <w:rFonts w:cstheme="minorHAnsi"/>
        </w:rPr>
        <w:t xml:space="preserve">a podnikání. Vyvlastnění těchto nemovitých věcí představuje značný zásah do ekonomického, osobního </w:t>
      </w:r>
      <w:r>
        <w:rPr>
          <w:rFonts w:cstheme="minorHAnsi"/>
        </w:rPr>
        <w:t>i</w:t>
      </w:r>
      <w:r w:rsidRPr="001B1656">
        <w:rPr>
          <w:rFonts w:cstheme="minorHAnsi"/>
        </w:rPr>
        <w:t xml:space="preserve"> rodinného</w:t>
      </w:r>
      <w:r w:rsidRPr="001B1656">
        <w:rPr>
          <w:rFonts w:cstheme="minorHAnsi"/>
        </w:rPr>
        <w:t xml:space="preserve"> života. Řešení této problematiky by mohlo najít inspiraci ve slovenském zákoně, který již v dobrovolné fázi vyvlastnění (ve fázi jednání o dohodě) umožňuje nabídnout vlastníku pozemku náhradní bydlení formou pronájmu po určitou dobu, kdy tento pronájem hr</w:t>
      </w:r>
      <w:r w:rsidRPr="001B1656">
        <w:rPr>
          <w:rFonts w:cstheme="minorHAnsi"/>
        </w:rPr>
        <w:t xml:space="preserve">adí vyvlastnitel. Dále by se u těchto případů dalo uvažovat o procentuálním navýšení náhrady. </w:t>
      </w:r>
    </w:p>
    <w:p w:rsidR="009A20DA" w:rsidRPr="001B1656" w:rsidRDefault="000865D6" w:rsidP="00C23CA0">
      <w:pPr>
        <w:pStyle w:val="Normln-tun"/>
        <w:rPr>
          <w:rFonts w:cstheme="minorHAnsi"/>
        </w:rPr>
      </w:pPr>
      <w:r w:rsidRPr="00E3425F">
        <w:t xml:space="preserve">V případě, že se jedná o náhradu za omezení vlastnického práva zřízením věcného břemene k pozemku či stavbě, </w:t>
      </w:r>
      <w:r>
        <w:t xml:space="preserve">též </w:t>
      </w:r>
      <w:r w:rsidR="00317BE4">
        <w:t>n</w:t>
      </w:r>
      <w:r w:rsidRPr="00E3425F">
        <w:t>elze použít cenu obvyklou, neboť se nejedná o c</w:t>
      </w:r>
      <w:r w:rsidRPr="00E3425F">
        <w:t xml:space="preserve">enu, která by byla dosažena v rámci obvyklého obchodního styku. </w:t>
      </w:r>
      <w:r w:rsidR="00AC5A76" w:rsidRPr="001B1656">
        <w:rPr>
          <w:rFonts w:cstheme="minorHAnsi"/>
        </w:rPr>
        <w:t xml:space="preserve">Zjištěná cena věcného břemene v praxi nevyjadřuje majetkovou újmu vyvlastňovaného. </w:t>
      </w:r>
      <w:r w:rsidR="00AC5A76">
        <w:rPr>
          <w:rFonts w:cstheme="minorHAnsi"/>
        </w:rPr>
        <w:t>Je t</w:t>
      </w:r>
      <w:r w:rsidR="00AC5A76" w:rsidRPr="001B1656">
        <w:rPr>
          <w:rFonts w:cstheme="minorHAnsi"/>
        </w:rPr>
        <w:t xml:space="preserve">omu tak z důvodu tzv. výnosové metody, kdy se v potaz bere roční užitek z věcného břemene. Ten však v některých případech neodpovídá újmě spojené s omezením dané nemovité věci. V praxi má pozemek bez věcného břemene pro účely případného prodeje vyšší hodnotu a je snáze zcizitelný. Rozdíl mezi cenou pozemku se zatížením a bez něj může být v řádech desítkách procent. </w:t>
      </w:r>
      <w:r w:rsidR="00AC5A76">
        <w:rPr>
          <w:rFonts w:cstheme="minorHAnsi"/>
        </w:rPr>
        <w:t>Navíc p</w:t>
      </w:r>
      <w:r w:rsidRPr="001B1656">
        <w:rPr>
          <w:rFonts w:cstheme="minorHAnsi"/>
        </w:rPr>
        <w:t xml:space="preserve">ři stanovení náhrady za omezení práv je v praxi dosahováno částek, které jsou několikanásobně nižší než náklady na určení náhrady. </w:t>
      </w:r>
      <w:r w:rsidR="00AC5A76">
        <w:rPr>
          <w:rFonts w:cstheme="minorHAnsi"/>
        </w:rPr>
        <w:t xml:space="preserve">Návrh zákona by i v tomto případě měl tedy obsahovat odchylný postup pro oceňování věcných břemen, a to vzhledem k výši náhrad co nejjednodušší. </w:t>
      </w:r>
    </w:p>
    <w:p w:rsidR="001B1656" w:rsidRPr="00317BE4" w:rsidRDefault="000865D6" w:rsidP="002357D7">
      <w:pPr>
        <w:pStyle w:val="Text-Normaln"/>
        <w:widowControl w:val="0"/>
        <w:rPr>
          <w:rFonts w:cstheme="minorHAnsi"/>
          <w:i/>
          <w:iCs/>
        </w:rPr>
      </w:pPr>
      <w:r w:rsidRPr="00317BE4">
        <w:rPr>
          <w:rFonts w:cstheme="minorHAnsi"/>
          <w:i/>
          <w:iCs/>
        </w:rPr>
        <w:t>Varianta 1b</w:t>
      </w:r>
    </w:p>
    <w:p w:rsidR="009A20DA" w:rsidRDefault="000865D6" w:rsidP="001B1656">
      <w:pPr>
        <w:pStyle w:val="Text-Normaln"/>
        <w:widowControl w:val="0"/>
        <w:rPr>
          <w:rFonts w:cstheme="minorHAnsi"/>
        </w:rPr>
      </w:pPr>
      <w:r>
        <w:rPr>
          <w:rFonts w:cstheme="minorHAnsi"/>
        </w:rPr>
        <w:t>P</w:t>
      </w:r>
      <w:r w:rsidRPr="001B1656">
        <w:rPr>
          <w:rFonts w:cstheme="minorHAnsi"/>
        </w:rPr>
        <w:t>ravidl</w:t>
      </w:r>
      <w:r>
        <w:rPr>
          <w:rFonts w:cstheme="minorHAnsi"/>
        </w:rPr>
        <w:t>o</w:t>
      </w:r>
      <w:r w:rsidRPr="001B1656">
        <w:rPr>
          <w:rFonts w:cstheme="minorHAnsi"/>
        </w:rPr>
        <w:t xml:space="preserve"> </w:t>
      </w:r>
      <w:r>
        <w:rPr>
          <w:rFonts w:cstheme="minorHAnsi"/>
        </w:rPr>
        <w:t>může</w:t>
      </w:r>
      <w:r w:rsidRPr="001B1656">
        <w:rPr>
          <w:rFonts w:cstheme="minorHAnsi"/>
        </w:rPr>
        <w:t xml:space="preserve"> v určitých případech vést k nespravedlivému určení náhrady.</w:t>
      </w:r>
      <w:r>
        <w:rPr>
          <w:rFonts w:cstheme="minorHAnsi"/>
        </w:rPr>
        <w:t xml:space="preserve"> </w:t>
      </w:r>
      <w:r w:rsidR="001B1656" w:rsidRPr="001B1656">
        <w:rPr>
          <w:rFonts w:cstheme="minorHAnsi"/>
        </w:rPr>
        <w:t>Výhodnost a spravedlivost paušální částky není ve všech případech jednoznačná</w:t>
      </w:r>
      <w:r>
        <w:rPr>
          <w:rFonts w:cstheme="minorHAnsi"/>
        </w:rPr>
        <w:t xml:space="preserve"> i proto</w:t>
      </w:r>
      <w:r w:rsidR="001B1656" w:rsidRPr="001B1656">
        <w:rPr>
          <w:rFonts w:cstheme="minorHAnsi"/>
        </w:rPr>
        <w:t xml:space="preserve">, </w:t>
      </w:r>
      <w:r>
        <w:rPr>
          <w:rFonts w:cstheme="minorHAnsi"/>
        </w:rPr>
        <w:t>že</w:t>
      </w:r>
      <w:r w:rsidR="001B1656" w:rsidRPr="001B1656">
        <w:rPr>
          <w:rFonts w:cstheme="minorHAnsi"/>
        </w:rPr>
        <w:t xml:space="preserve"> je lehce zneužitelná. Od případné právní úpravy paušalizované úpravy tak nelze očekávat, že by významně snížila nutnost zpracovávání znaleckých posudků, zároveň by v určitých případech </w:t>
      </w:r>
      <w:r w:rsidR="00317BE4">
        <w:rPr>
          <w:rFonts w:cstheme="minorHAnsi"/>
        </w:rPr>
        <w:t>mohla vést</w:t>
      </w:r>
      <w:r w:rsidR="001B1656" w:rsidRPr="001B1656">
        <w:rPr>
          <w:rFonts w:cstheme="minorHAnsi"/>
        </w:rPr>
        <w:t xml:space="preserve"> ke </w:t>
      </w:r>
      <w:r w:rsidR="00317BE4">
        <w:rPr>
          <w:rFonts w:cstheme="minorHAnsi"/>
        </w:rPr>
        <w:t>spekulacím s pozemky</w:t>
      </w:r>
      <w:r w:rsidR="001B1656" w:rsidRPr="001B1656">
        <w:rPr>
          <w:rFonts w:cstheme="minorHAnsi"/>
        </w:rPr>
        <w:t xml:space="preserve">. </w:t>
      </w:r>
      <w:r w:rsidR="00317BE4">
        <w:rPr>
          <w:rFonts w:cstheme="minorHAnsi"/>
        </w:rPr>
        <w:t>Při volbě Varianty 1b</w:t>
      </w:r>
      <w:r w:rsidR="00317BE4" w:rsidRPr="001B1656">
        <w:rPr>
          <w:rFonts w:cstheme="minorHAnsi"/>
        </w:rPr>
        <w:t xml:space="preserve"> </w:t>
      </w:r>
      <w:r w:rsidR="00317BE4">
        <w:rPr>
          <w:rFonts w:cstheme="minorHAnsi"/>
        </w:rPr>
        <w:t xml:space="preserve">by </w:t>
      </w:r>
      <w:r w:rsidR="00317BE4" w:rsidRPr="001B1656">
        <w:rPr>
          <w:rFonts w:cstheme="minorHAnsi"/>
        </w:rPr>
        <w:t>tak muselo dojít k nastavení jasných pravidel</w:t>
      </w:r>
      <w:r w:rsidR="00317BE4">
        <w:rPr>
          <w:rFonts w:cstheme="minorHAnsi"/>
        </w:rPr>
        <w:t>.</w:t>
      </w:r>
      <w:r w:rsidR="00317BE4" w:rsidRPr="001B1656">
        <w:rPr>
          <w:rFonts w:cstheme="minorHAnsi"/>
        </w:rPr>
        <w:t xml:space="preserve"> </w:t>
      </w:r>
    </w:p>
    <w:p w:rsidR="001B1656" w:rsidRPr="001B1656" w:rsidRDefault="000865D6" w:rsidP="001B1656">
      <w:pPr>
        <w:pStyle w:val="Text-Normaln"/>
        <w:widowControl w:val="0"/>
        <w:rPr>
          <w:rFonts w:cstheme="minorHAnsi"/>
        </w:rPr>
      </w:pPr>
      <w:r w:rsidRPr="001B1656">
        <w:rPr>
          <w:rFonts w:cstheme="minorHAnsi"/>
        </w:rPr>
        <w:t xml:space="preserve">Na druhou stranu je </w:t>
      </w:r>
      <w:r w:rsidR="00317BE4">
        <w:rPr>
          <w:rFonts w:cstheme="minorHAnsi"/>
        </w:rPr>
        <w:t>třeba</w:t>
      </w:r>
      <w:r w:rsidRPr="001B1656">
        <w:rPr>
          <w:rFonts w:cstheme="minorHAnsi"/>
        </w:rPr>
        <w:t xml:space="preserve"> říci, že by paušalizovaná náhrada mohla vést k úspoře finančních prostředků na straně vyvlastnitele</w:t>
      </w:r>
      <w:r w:rsidR="00317BE4">
        <w:rPr>
          <w:rFonts w:cstheme="minorHAnsi"/>
        </w:rPr>
        <w:t xml:space="preserve">, pokud by došlo ke </w:t>
      </w:r>
      <w:r w:rsidRPr="001B1656">
        <w:rPr>
          <w:rFonts w:cstheme="minorHAnsi"/>
        </w:rPr>
        <w:t>snížení prost</w:t>
      </w:r>
      <w:r w:rsidRPr="001B1656">
        <w:rPr>
          <w:rFonts w:cstheme="minorHAnsi"/>
        </w:rPr>
        <w:t xml:space="preserve">ředků vynaložených na samotné vyvlastňovací řízení. </w:t>
      </w:r>
      <w:r w:rsidR="009A20DA">
        <w:rPr>
          <w:rFonts w:cstheme="minorHAnsi"/>
        </w:rPr>
        <w:t>P</w:t>
      </w:r>
      <w:r w:rsidR="009A20DA" w:rsidRPr="001B1656">
        <w:rPr>
          <w:rFonts w:cstheme="minorHAnsi"/>
        </w:rPr>
        <w:t xml:space="preserve">ro pozemky s nejmenší rozlohou </w:t>
      </w:r>
      <w:r w:rsidR="009A20DA">
        <w:rPr>
          <w:rFonts w:cstheme="minorHAnsi"/>
        </w:rPr>
        <w:t>by nebylo třeba</w:t>
      </w:r>
      <w:r w:rsidR="009A20DA" w:rsidRPr="001B1656">
        <w:rPr>
          <w:rFonts w:cstheme="minorHAnsi"/>
        </w:rPr>
        <w:t xml:space="preserve"> vést zdlouhavé vyvlastňovací řízení, kdy určená náhrada bude příliš nízká a výše nákladů na řízení bude tuto částku převyšovat.</w:t>
      </w:r>
      <w:r w:rsidR="009A20DA">
        <w:rPr>
          <w:rFonts w:cstheme="minorHAnsi"/>
        </w:rPr>
        <w:t xml:space="preserve"> </w:t>
      </w:r>
      <w:r w:rsidR="00317BE4">
        <w:rPr>
          <w:rFonts w:cstheme="minorHAnsi"/>
        </w:rPr>
        <w:t>Mohlo by též dojít</w:t>
      </w:r>
      <w:r w:rsidR="00317BE4" w:rsidRPr="001B1656">
        <w:rPr>
          <w:rFonts w:cstheme="minorHAnsi"/>
        </w:rPr>
        <w:t xml:space="preserve"> ke zvýšení motivace k uzavírání dohod tam, kde náhrady ve vyvlastňovacím řízení neodpovídají újmě způsobené vyvlastněním</w:t>
      </w:r>
      <w:r w:rsidR="00317BE4">
        <w:rPr>
          <w:rFonts w:cstheme="minorHAnsi"/>
        </w:rPr>
        <w:t>.</w:t>
      </w:r>
      <w:r w:rsidRPr="001B1656">
        <w:rPr>
          <w:rFonts w:cstheme="minorHAnsi"/>
        </w:rPr>
        <w:t xml:space="preserve"> </w:t>
      </w:r>
    </w:p>
    <w:p w:rsidR="001B1656" w:rsidRPr="00531915" w:rsidRDefault="000865D6" w:rsidP="001B1656">
      <w:pPr>
        <w:pStyle w:val="Text-Normaln"/>
        <w:widowControl w:val="0"/>
        <w:rPr>
          <w:rFonts w:cstheme="minorHAnsi"/>
          <w:bCs/>
        </w:rPr>
      </w:pPr>
      <w:r w:rsidRPr="00531915">
        <w:rPr>
          <w:bCs/>
          <w:i/>
        </w:rPr>
        <w:t>Varianta 2</w:t>
      </w:r>
    </w:p>
    <w:p w:rsidR="00EA3AA4" w:rsidRPr="00C83EA4" w:rsidRDefault="000865D6" w:rsidP="00EA3AA4">
      <w:pPr>
        <w:pStyle w:val="Normln-tun"/>
      </w:pPr>
      <w:r w:rsidRPr="001B1656">
        <w:t>Motivace k uzavření dohod je u vlastníků pozemků v současné době nižší nebo stejná jako pro vedení vyvlastňovacího řízení. Tento fa</w:t>
      </w:r>
      <w:r w:rsidRPr="001B1656">
        <w:t>kt je však značným nedostatkem a úskalím současné úpravy. Je tak třeb</w:t>
      </w:r>
      <w:r w:rsidR="00531915">
        <w:t xml:space="preserve">a např. </w:t>
      </w:r>
      <w:r w:rsidRPr="001B1656">
        <w:t>změnit či zvýšit</w:t>
      </w:r>
      <w:r w:rsidR="00531915" w:rsidRPr="00531915">
        <w:t xml:space="preserve"> </w:t>
      </w:r>
      <w:r w:rsidR="00531915" w:rsidRPr="001B1656">
        <w:t>koeficienty</w:t>
      </w:r>
      <w:r w:rsidRPr="001B1656">
        <w:t>, aby pokryly způsobenou újmu a zároveň by motivovaly k uzavření smlouvy</w:t>
      </w:r>
      <w:r w:rsidR="00531915">
        <w:t xml:space="preserve">, </w:t>
      </w:r>
      <w:r w:rsidRPr="001B1656">
        <w:t>zvýš</w:t>
      </w:r>
      <w:r w:rsidR="00531915">
        <w:t>it</w:t>
      </w:r>
      <w:r w:rsidRPr="001B1656">
        <w:t xml:space="preserve"> ceny obvyklé, stanov</w:t>
      </w:r>
      <w:r w:rsidR="00531915">
        <w:t>it</w:t>
      </w:r>
      <w:r w:rsidRPr="001B1656">
        <w:t xml:space="preserve"> </w:t>
      </w:r>
      <w:r w:rsidRPr="001B1656">
        <w:lastRenderedPageBreak/>
        <w:t xml:space="preserve">minimální ceny věci (bude-li pro předem </w:t>
      </w:r>
      <w:r w:rsidRPr="001B1656">
        <w:t>stanovené situace vyšší než cena obvyklá) či zav</w:t>
      </w:r>
      <w:r w:rsidR="00531915">
        <w:t>ést</w:t>
      </w:r>
      <w:r w:rsidRPr="001B1656">
        <w:t xml:space="preserve"> náhrad</w:t>
      </w:r>
      <w:r w:rsidR="00531915">
        <w:t>y</w:t>
      </w:r>
      <w:r w:rsidRPr="001B1656">
        <w:t xml:space="preserve"> dalších nákladů i v dobrovolné fázi vyvlastňovacího řízení</w:t>
      </w:r>
      <w:r w:rsidR="00766323">
        <w:t>. Další možností může být nástroj hromadného ocenění</w:t>
      </w:r>
      <w:r w:rsidR="00766323" w:rsidRPr="00766323">
        <w:t xml:space="preserve"> </w:t>
      </w:r>
      <w:r w:rsidR="00766323">
        <w:t>v</w:t>
      </w:r>
      <w:r w:rsidR="00766323" w:rsidRPr="00766323">
        <w:t xml:space="preserve"> případě plošného vyvlastnění s vysokým počtem osob</w:t>
      </w:r>
      <w:r w:rsidR="00766323">
        <w:t>.</w:t>
      </w:r>
      <w:r w:rsidR="00F55F0D" w:rsidRPr="00092A99">
        <w:t xml:space="preserve"> </w:t>
      </w:r>
      <w:r w:rsidR="00674298">
        <w:t>Volíme tak Variantu 2, a to i proto, že p</w:t>
      </w:r>
      <w:r w:rsidRPr="00C83EA4">
        <w:t>řesunem nákladů do dobrovolné fáze vyvlastnění (z nedobrovolných nákladů řízení na dobrovolné motivační zvýšení kupní ceny) nemus</w:t>
      </w:r>
      <w:r w:rsidR="00BE576B">
        <w:t>í</w:t>
      </w:r>
      <w:r w:rsidRPr="00C83EA4">
        <w:t xml:space="preserve"> </w:t>
      </w:r>
      <w:r w:rsidR="00BE576B">
        <w:t xml:space="preserve">s jistotou </w:t>
      </w:r>
      <w:r w:rsidRPr="00C83EA4">
        <w:t>dojít k</w:t>
      </w:r>
      <w:r w:rsidR="00BE576B">
        <w:t xml:space="preserve"> přímé </w:t>
      </w:r>
      <w:r w:rsidRPr="00C83EA4">
        <w:t xml:space="preserve">finanční úspoře, na druhou stranu však </w:t>
      </w:r>
      <w:r w:rsidR="00BE576B">
        <w:t>určitě dojde</w:t>
      </w:r>
      <w:r w:rsidRPr="00C83EA4">
        <w:t xml:space="preserve"> k časové úspoře, která </w:t>
      </w:r>
      <w:r w:rsidR="00BE576B">
        <w:t>je</w:t>
      </w:r>
      <w:r w:rsidRPr="00C83EA4">
        <w:t xml:space="preserve"> u řady záměr</w:t>
      </w:r>
      <w:r w:rsidRPr="00C83EA4">
        <w:t xml:space="preserve">ů podstatnější </w:t>
      </w:r>
      <w:r w:rsidR="00BE576B">
        <w:t>a v konečném důsledku znamená nepřímý pozitivní dopad též</w:t>
      </w:r>
      <w:r w:rsidRPr="00C83EA4">
        <w:t xml:space="preserve">. </w:t>
      </w:r>
    </w:p>
    <w:p w:rsidR="00EF37C9" w:rsidRDefault="000865D6" w:rsidP="00EF37C9">
      <w:pPr>
        <w:pStyle w:val="Normln-tun"/>
      </w:pPr>
      <w:bookmarkStart w:id="136" w:name="_Hlk84945758"/>
      <w:r>
        <w:t>Navrhuje se tak stanovit, aby v</w:t>
      </w:r>
      <w:r w:rsidRPr="00EF37C9">
        <w:t>yvlastňovanému nálež</w:t>
      </w:r>
      <w:r>
        <w:t>ela</w:t>
      </w:r>
      <w:r w:rsidRPr="00EF37C9">
        <w:t xml:space="preserve"> vůči vyvlastniteli </w:t>
      </w:r>
    </w:p>
    <w:p w:rsidR="00EF37C9" w:rsidRDefault="000865D6">
      <w:pPr>
        <w:pStyle w:val="Normln-tun"/>
        <w:numPr>
          <w:ilvl w:val="0"/>
          <w:numId w:val="101"/>
        </w:numPr>
      </w:pPr>
      <w:r w:rsidRPr="00EF37C9">
        <w:t>náhrada za vyvlastnění</w:t>
      </w:r>
    </w:p>
    <w:p w:rsidR="00EF37C9" w:rsidRDefault="000865D6">
      <w:pPr>
        <w:pStyle w:val="Normln-tun"/>
        <w:numPr>
          <w:ilvl w:val="0"/>
          <w:numId w:val="101"/>
        </w:numPr>
      </w:pPr>
      <w:r>
        <w:t>n</w:t>
      </w:r>
      <w:r w:rsidRPr="00EF37C9">
        <w:t>áhrad</w:t>
      </w:r>
      <w:r>
        <w:t>a</w:t>
      </w:r>
      <w:r w:rsidRPr="00EF37C9">
        <w:t xml:space="preserve"> </w:t>
      </w:r>
      <w:r w:rsidR="00456B19" w:rsidRPr="00EF37C9">
        <w:t>za újmu, která vyvlastňovanému vznikla z důvodu omezení nakládání s předmětem vyvlastnění po dobu vyvlastňovacího řízení</w:t>
      </w:r>
    </w:p>
    <w:p w:rsidR="00456B19" w:rsidRPr="00EF37C9" w:rsidRDefault="000865D6">
      <w:pPr>
        <w:pStyle w:val="Normln-tun"/>
        <w:numPr>
          <w:ilvl w:val="0"/>
          <w:numId w:val="101"/>
        </w:numPr>
      </w:pPr>
      <w:r>
        <w:t xml:space="preserve">náhrada </w:t>
      </w:r>
      <w:r w:rsidRPr="00EF37C9">
        <w:t xml:space="preserve">účelně vynaložených nákladů, které vyvlastňovanému vznikly v souvislosti s vyvlastňovacím řízením, byla-li žádost o vyvlastnění zamítnuta, nebo bylo-li vyvlastňovací řízení zastaveno z důvodu zpětvzetí </w:t>
      </w:r>
      <w:r w:rsidRPr="00EF37C9">
        <w:t>žádosti o vyvlastnění</w:t>
      </w:r>
    </w:p>
    <w:p w:rsidR="00EF37C9" w:rsidRPr="00EF37C9" w:rsidRDefault="000865D6">
      <w:pPr>
        <w:pStyle w:val="Normln-tun"/>
        <w:numPr>
          <w:ilvl w:val="0"/>
          <w:numId w:val="101"/>
        </w:numPr>
      </w:pPr>
      <w:r w:rsidRPr="00EF37C9">
        <w:t>účelně vynaložených nákladů vyvlastňovaného na vyhotovení znaleckého posudku oceňujícího předmět vyvlastnění, a</w:t>
      </w:r>
    </w:p>
    <w:p w:rsidR="00EF37C9" w:rsidRPr="00EF37C9" w:rsidRDefault="000865D6">
      <w:pPr>
        <w:pStyle w:val="Normln-tun"/>
        <w:numPr>
          <w:ilvl w:val="0"/>
          <w:numId w:val="101"/>
        </w:numPr>
      </w:pPr>
      <w:r w:rsidRPr="00EF37C9">
        <w:t>dalších nákladů účelně vynaložených v souvislosti s vyvlastňovacím řízením.</w:t>
      </w:r>
    </w:p>
    <w:p w:rsidR="00EF37C9" w:rsidRPr="00EF37C9" w:rsidRDefault="000865D6" w:rsidP="00EF37C9">
      <w:pPr>
        <w:pStyle w:val="Normln-tun"/>
      </w:pPr>
      <w:r w:rsidRPr="00EF37C9">
        <w:t>Jestliže do</w:t>
      </w:r>
      <w:r w:rsidR="00FC0A3C">
        <w:t>jde</w:t>
      </w:r>
      <w:r w:rsidRPr="00EF37C9">
        <w:t xml:space="preserve"> k vyvlastnění, vyvlastňovaný </w:t>
      </w:r>
      <w:r w:rsidR="00FC0A3C">
        <w:t>by měl mít dále</w:t>
      </w:r>
      <w:r w:rsidRPr="00EF37C9">
        <w:t xml:space="preserve"> vůči vyvlastniteli nárok na náhradu </w:t>
      </w:r>
    </w:p>
    <w:p w:rsidR="00EF37C9" w:rsidRPr="00EF37C9" w:rsidRDefault="000865D6">
      <w:pPr>
        <w:pStyle w:val="Normln-tun"/>
        <w:numPr>
          <w:ilvl w:val="0"/>
          <w:numId w:val="101"/>
        </w:numPr>
      </w:pPr>
      <w:r w:rsidRPr="00EF37C9">
        <w:t>účelně vynaložených stěhovacích nákladů,</w:t>
      </w:r>
    </w:p>
    <w:p w:rsidR="00EF37C9" w:rsidRPr="00EF37C9" w:rsidRDefault="000865D6">
      <w:pPr>
        <w:pStyle w:val="Normln-tun"/>
        <w:numPr>
          <w:ilvl w:val="0"/>
          <w:numId w:val="101"/>
        </w:numPr>
      </w:pPr>
      <w:r>
        <w:t>ú</w:t>
      </w:r>
      <w:r w:rsidRPr="00EF37C9">
        <w:t>čelně vynaložených nákladů spojených se změnou místa podnikání,</w:t>
      </w:r>
    </w:p>
    <w:p w:rsidR="00EF37C9" w:rsidRPr="00EF37C9" w:rsidRDefault="000865D6">
      <w:pPr>
        <w:pStyle w:val="Normln-tun"/>
        <w:numPr>
          <w:ilvl w:val="0"/>
          <w:numId w:val="101"/>
        </w:numPr>
      </w:pPr>
      <w:r w:rsidRPr="00EF37C9">
        <w:t xml:space="preserve">majetkové újmy, která vyvlastňovanému vznikla vznikem dluhu vůči oprávněnému ze závazkového práva, </w:t>
      </w:r>
      <w:r w:rsidRPr="00EF37C9">
        <w:t>které vyvlastněním zaniklo nebo bylo vyvlastněním omezeno.</w:t>
      </w:r>
    </w:p>
    <w:p w:rsidR="00EF37C9" w:rsidRPr="00EF37C9" w:rsidRDefault="000865D6" w:rsidP="00EF37C9">
      <w:pPr>
        <w:pStyle w:val="Normln-tun"/>
      </w:pPr>
      <w:r w:rsidRPr="00EF37C9">
        <w:t>Oprávněnému z věcného práva váznoucího na předmětu vyvlastnění, které rozhodnutím o vyvlastnění zanik</w:t>
      </w:r>
      <w:r w:rsidR="00DA1E65">
        <w:t>lo</w:t>
      </w:r>
      <w:r w:rsidRPr="00EF37C9">
        <w:t xml:space="preserve"> nebo </w:t>
      </w:r>
      <w:r w:rsidR="00DA1E65">
        <w:t>bylo</w:t>
      </w:r>
      <w:r w:rsidRPr="00EF37C9">
        <w:t xml:space="preserve"> omez</w:t>
      </w:r>
      <w:r w:rsidR="00DA1E65">
        <w:t>eno</w:t>
      </w:r>
      <w:r w:rsidRPr="00EF37C9">
        <w:t xml:space="preserve">, </w:t>
      </w:r>
      <w:r w:rsidR="00DA1E65">
        <w:t xml:space="preserve">by měla </w:t>
      </w:r>
      <w:r w:rsidRPr="00EF37C9">
        <w:t>nálež</w:t>
      </w:r>
      <w:r w:rsidR="00DA1E65">
        <w:t>et</w:t>
      </w:r>
      <w:r w:rsidRPr="00EF37C9">
        <w:t xml:space="preserve"> náhrada za zánik nebo omezení tohoto věcného práva vůči vyvlastniteli.</w:t>
      </w:r>
      <w:r w:rsidR="00DA1E65">
        <w:t xml:space="preserve"> </w:t>
      </w:r>
      <w:r w:rsidRPr="00EF37C9">
        <w:t xml:space="preserve">Zaniklo-li závazkové právo vyvlastněním nebo bylo-li vyvlastněním omezeno, </w:t>
      </w:r>
      <w:r w:rsidR="00DA1E65">
        <w:t>měl by mít</w:t>
      </w:r>
      <w:r w:rsidRPr="00EF37C9">
        <w:t xml:space="preserve"> </w:t>
      </w:r>
      <w:r w:rsidR="00DA1E65">
        <w:t xml:space="preserve">dále </w:t>
      </w:r>
      <w:r w:rsidR="00DA1E65" w:rsidRPr="00EF37C9">
        <w:t>nárok na náhradu majetkové újmy, která mu vyvlastněním vznikla</w:t>
      </w:r>
      <w:r w:rsidR="00DA1E65">
        <w:t>,</w:t>
      </w:r>
      <w:r w:rsidR="00DA1E65" w:rsidRPr="00EF37C9">
        <w:t xml:space="preserve"> </w:t>
      </w:r>
      <w:r w:rsidRPr="00EF37C9">
        <w:t>oprávněný ze závazkového práv</w:t>
      </w:r>
      <w:r w:rsidRPr="00EF37C9">
        <w:t xml:space="preserve">a vůči vyvlastňovanému. </w:t>
      </w:r>
    </w:p>
    <w:p w:rsidR="000445C6" w:rsidRDefault="000865D6" w:rsidP="000445C6">
      <w:pPr>
        <w:pStyle w:val="Normln-tun"/>
      </w:pPr>
      <w:r>
        <w:t xml:space="preserve">Výše náhrady za vyvlastnění musí být vzhledem ke všem okolnostem spravedlivá a musí odpovídat majetkové újmě, která vyvlastněním vznikla ke dni rozhodnutí o vyvlastnění. Určí ji vyvlastňovací úřad ke dni rozhodnutí o vyvlastnění s </w:t>
      </w:r>
      <w:r>
        <w:t>ohledem na obvyklou cenu určenou znaleckým posudkem, nebo na cenu zjištěnou, je-li předmětem vyvlastnění věcné břemeno nebo právo stavby. Při určování výše náhrady za vyvlastnění by měl smět vyvlastňovací úřad odchýlit od ceny předmětu vyvlastnění určené z</w:t>
      </w:r>
      <w:r>
        <w:t xml:space="preserve">naleckým posudkem, jestliže cena předmětu vyvlastnění určená znaleckým posudkem není vzhledem ke všem okolnostem spravedlivá. </w:t>
      </w:r>
    </w:p>
    <w:p w:rsidR="000445C6" w:rsidRDefault="000865D6" w:rsidP="000445C6">
      <w:pPr>
        <w:pStyle w:val="Normln-tun"/>
      </w:pPr>
      <w:r w:rsidRPr="00EC1878">
        <w:t xml:space="preserve">Vyvlastnitel, který </w:t>
      </w:r>
      <w:r>
        <w:t>bude</w:t>
      </w:r>
      <w:r w:rsidRPr="00EC1878">
        <w:t xml:space="preserve"> vlastníkem, správcem nebo provozovatelem dopravní infrastruktury nebo veřejné technické infrastruktury, </w:t>
      </w:r>
      <w:r>
        <w:t>by měl být</w:t>
      </w:r>
      <w:r w:rsidRPr="00EC1878">
        <w:t xml:space="preserve"> oprávněn nechat vyhotovit pro účely smlouvy o získání práv a vyvlastňovacího řízení společný znalecký posudek pro více nemovitých věcí tak, aby znalecký posudek pokryl celé území dotčené záměrem, kterým se naplňuje účel vyvlastnění.</w:t>
      </w:r>
    </w:p>
    <w:bookmarkEnd w:id="136"/>
    <w:p w:rsidR="00ED3302" w:rsidRDefault="00ED3302" w:rsidP="00BF1D0E">
      <w:pPr>
        <w:pStyle w:val="Normln-tun"/>
      </w:pPr>
    </w:p>
    <w:p w:rsidR="003F78FE" w:rsidRPr="00B34E14" w:rsidRDefault="000865D6" w:rsidP="003F78FE">
      <w:pPr>
        <w:pStyle w:val="Nadpis2a"/>
      </w:pPr>
      <w:bookmarkStart w:id="137" w:name="_Toc256000018"/>
      <w:r w:rsidRPr="00B34E14">
        <w:t>Vyvlastňovací úřady</w:t>
      </w:r>
      <w:bookmarkEnd w:id="137"/>
    </w:p>
    <w:p w:rsidR="003F78FE" w:rsidRPr="00B34E14" w:rsidRDefault="000865D6" w:rsidP="003F78FE">
      <w:pPr>
        <w:pStyle w:val="Text-Normaln"/>
        <w:widowControl w:val="0"/>
        <w:rPr>
          <w:b/>
          <w:bCs/>
        </w:rPr>
      </w:pPr>
      <w:r w:rsidRPr="00B34E14">
        <w:rPr>
          <w:b/>
          <w:bCs/>
        </w:rPr>
        <w:t>Popis současného stavu:</w:t>
      </w:r>
    </w:p>
    <w:p w:rsidR="003F78FE" w:rsidRPr="00B34E14" w:rsidRDefault="000865D6" w:rsidP="003F78FE">
      <w:pPr>
        <w:pStyle w:val="Normln-tun"/>
      </w:pPr>
      <w:r w:rsidRPr="00B34E14">
        <w:t>Ustanovení § 15 zákona o vyvlastnění vymezuje vyvlastňovací úřady, které jsou příslušné o vedení vyvlastňovacího řízení. Jako vyvlastňovací úřady působí především obecní úřady ORP. Vyvlastňovacím úřadem jsou dále</w:t>
      </w:r>
      <w:r w:rsidRPr="00B34E14">
        <w:t xml:space="preserve"> magistráty územně členěných statutárních měst a Magistrát hlavního města Prahy. </w:t>
      </w:r>
    </w:p>
    <w:p w:rsidR="003F78FE" w:rsidRPr="00B34E14" w:rsidRDefault="000865D6" w:rsidP="00FC41D3">
      <w:pPr>
        <w:pStyle w:val="Normln-tun"/>
        <w:rPr>
          <w:rFonts w:cstheme="minorHAnsi"/>
        </w:rPr>
      </w:pPr>
      <w:r w:rsidRPr="00B34E14">
        <w:t xml:space="preserve">Nejčastěji je agenda Vyvlastnění (označení dle RPP) vykonávána v rámci činnosti stavebních úřadů. </w:t>
      </w:r>
    </w:p>
    <w:p w:rsidR="003F78FE" w:rsidRPr="00B34E14" w:rsidRDefault="000865D6" w:rsidP="003F78FE">
      <w:pPr>
        <w:pStyle w:val="Normln-tun"/>
      </w:pPr>
      <w:r>
        <w:t xml:space="preserve">Agendu </w:t>
      </w:r>
      <w:r w:rsidRPr="00B34E14">
        <w:t xml:space="preserve">Vyvlastnění </w:t>
      </w:r>
      <w:r>
        <w:t>vykonávají</w:t>
      </w:r>
      <w:r w:rsidRPr="00B34E14">
        <w:t xml:space="preserve"> vyvlastňovací úřady v</w:t>
      </w:r>
      <w:r>
        <w:t xml:space="preserve"> rámci </w:t>
      </w:r>
      <w:r w:rsidRPr="00B34E14">
        <w:t>přenesené působno</w:t>
      </w:r>
      <w:r w:rsidRPr="00B34E14">
        <w:t>sti.</w:t>
      </w:r>
    </w:p>
    <w:p w:rsidR="003F78FE" w:rsidRPr="00B34E14" w:rsidRDefault="000865D6" w:rsidP="003F78FE">
      <w:pPr>
        <w:pStyle w:val="Normln-tun"/>
      </w:pPr>
      <w:r w:rsidRPr="00B34E14">
        <w:t xml:space="preserve">Místní příslušnost se určí dle toho, kde se vyvlastňovaný pozemek nebo stavba nachází. Ve stanovených případech je pak v zájmu zachování nestrannosti místní příslušnost vyvlastňovacího úřadu určena odlišně. </w:t>
      </w:r>
    </w:p>
    <w:p w:rsidR="003F78FE" w:rsidRPr="00B34E14" w:rsidRDefault="000865D6" w:rsidP="003F78FE">
      <w:pPr>
        <w:pStyle w:val="Normln-tun"/>
      </w:pPr>
      <w:r w:rsidRPr="00B34E14">
        <w:t>První z doplňujících pravidel k určení míst</w:t>
      </w:r>
      <w:r w:rsidRPr="00B34E14">
        <w:t>ní příslušnosti vyvlastňovacího úřadu stanoví, že pokud se vyvlastňované pozemky nebo stavby nachází ve správním obvodu (území) dvou nebo více vyvlastňovacích úřadů, rozhodne nejbližší společně nadřízený správní orgán usnesením o tom, který z nich vyvlastň</w:t>
      </w:r>
      <w:r w:rsidRPr="00B34E14">
        <w:t>ovací řízení provede. V případě, že se bude jednat o vyvlastňovací úřady, které jsou na území stejného kraje, bude nejbližším nadřízeným správním orgánem příslušný krajský úřad. Složitější situace nastane v případě, že všechny zúčastněné vyvlastňovací úřad</w:t>
      </w:r>
      <w:r w:rsidRPr="00B34E14">
        <w:t>y nespadají pod jeden krajský úřad. Pro určení společného nadřízeného orgánu je pak nutné vyjít z ustanovení § 178 správního řádu. V řízení vedeném v přenesené působnosti je věcně příslušný ústřední správní úřad, popřípadě ústřední správní úřad, jehož obor</w:t>
      </w:r>
      <w:r w:rsidRPr="00B34E14">
        <w:t xml:space="preserve"> působnosti je rozhodované věci nejbližší. V tomto případě by se tak jednalo o MMR, v jehož gesci je problematika vyvlastnění pozemků a staveb.</w:t>
      </w:r>
    </w:p>
    <w:p w:rsidR="003F78FE" w:rsidRPr="00B34E14" w:rsidRDefault="000865D6" w:rsidP="003F78FE">
      <w:pPr>
        <w:pStyle w:val="Normln-tun"/>
      </w:pPr>
      <w:r w:rsidRPr="00B34E14">
        <w:t>Obecné pravidlo k určení místní příslušnosti je třeba korigovat rovněž s ohledem na možný konflikt zájmů v přípa</w:t>
      </w:r>
      <w:r w:rsidRPr="00B34E14">
        <w:t>dě, že vyvlastnitel má nějaký vztah k vyvlastňovacímu úřadu. V zájmu zachování objektivity rozhodování je pak dle zákonných pravidel určen k vedení vyvlastňovacího řízení jiný obecní úřad ORP, magistrát statutárního města nebo magistrát hlavního města Prah</w:t>
      </w:r>
      <w:r w:rsidRPr="00B34E14">
        <w:t>y.</w:t>
      </w:r>
    </w:p>
    <w:p w:rsidR="003F78FE" w:rsidRPr="00B34E14" w:rsidRDefault="000865D6" w:rsidP="003F78FE">
      <w:pPr>
        <w:pStyle w:val="Normln-tun"/>
      </w:pPr>
      <w:r w:rsidRPr="00B34E14">
        <w:t>Pokud je vyvlastnitelem obec, jejíž obecní úřad je zároveň příslušným k vyvlastňovacímu řízení, pověří nadřízený krajský úřad jiný obecní úřad ORP, působící v jeho správním obvodu. Obdobně se postupuje i v případě, že vyvlastnitelem je osoba, jejímž zři</w:t>
      </w:r>
      <w:r w:rsidRPr="00B34E14">
        <w:t>zovatelem je obec, jejíž obecní úřad je příslušný k vedení vyvlastňovacího řízení.</w:t>
      </w:r>
    </w:p>
    <w:p w:rsidR="003F78FE" w:rsidRPr="00B34E14" w:rsidRDefault="000865D6" w:rsidP="003F78FE">
      <w:pPr>
        <w:pStyle w:val="Normln-tun"/>
      </w:pPr>
      <w:r w:rsidRPr="00B34E14">
        <w:t>V případě, že je vyvlastnitelem hlavní město Praha a příslušným vyvlastňovacím úřadem je magistrát hlavního města Prahy, pověří MMR coby ústřední správní úřad ve věcech vyvl</w:t>
      </w:r>
      <w:r w:rsidRPr="00B34E14">
        <w:t>astnění usnesením jiný vyvlastňovací úřad k vedení vyvlastňovacího řízení.</w:t>
      </w:r>
    </w:p>
    <w:p w:rsidR="003F78FE" w:rsidRPr="00284057" w:rsidRDefault="000865D6" w:rsidP="003F78FE">
      <w:pPr>
        <w:pStyle w:val="Normln-tun"/>
      </w:pPr>
      <w:r w:rsidRPr="00B34E14">
        <w:t>Pokud je jakýmkoliv účastníkem vyvlastňovacího řízení kraj, jehož krajský úřad by byl příslušný coby odvolací orgán proti rozhodnutí vyvlastňovacího úřadu, určí pro vedení odvolacíh</w:t>
      </w:r>
      <w:r w:rsidRPr="00B34E14">
        <w:t xml:space="preserve">o řízení MMR </w:t>
      </w:r>
      <w:r w:rsidRPr="00284057">
        <w:t xml:space="preserve">usnesením jiný krajský úřad. </w:t>
      </w:r>
    </w:p>
    <w:p w:rsidR="003F78FE" w:rsidRPr="00284057" w:rsidRDefault="000865D6" w:rsidP="003F78FE">
      <w:pPr>
        <w:pStyle w:val="Normln-tun"/>
      </w:pPr>
      <w:r w:rsidRPr="00284057">
        <w:t>Speciální pravidla pro příslušnost dle zákona č. 416/2009 Sb. jsou uvedena v kap. 1.2.1.</w:t>
      </w:r>
    </w:p>
    <w:p w:rsidR="000B1EC8" w:rsidRPr="00284057" w:rsidRDefault="000865D6" w:rsidP="000B1EC8">
      <w:pPr>
        <w:pStyle w:val="Text-Normaln"/>
        <w:widowControl w:val="0"/>
        <w:rPr>
          <w:b/>
          <w:bCs/>
        </w:rPr>
      </w:pPr>
      <w:r w:rsidRPr="00284057">
        <w:rPr>
          <w:b/>
          <w:bCs/>
        </w:rPr>
        <w:t xml:space="preserve">Definice problému: </w:t>
      </w:r>
    </w:p>
    <w:p w:rsidR="000B1EC8" w:rsidRPr="00284057" w:rsidRDefault="000865D6" w:rsidP="000B1EC8">
      <w:pPr>
        <w:pStyle w:val="Normln-tun"/>
      </w:pPr>
      <w:r w:rsidRPr="00284057">
        <w:t>Konkrétní problémy spojené s průběhem vyvlastňovacího řízení byly uvedeny v kapitole 1.2.2 Definice prob</w:t>
      </w:r>
      <w:r w:rsidRPr="00284057">
        <w:t xml:space="preserve">lému. Vyvlastňovací úřady nejčastěji uváděly nedostatek zkušeností a </w:t>
      </w:r>
      <w:r w:rsidRPr="00284057">
        <w:lastRenderedPageBreak/>
        <w:t>praxe, neboť vyvlastňovací řízení nevedou často; dále pak velké množství žádostí podávaných nárazově či absenci metodik, školení. Problémy na straně vyvlastnitelů se lišily dle jejich kon</w:t>
      </w:r>
      <w:r w:rsidRPr="00284057">
        <w:t>krétního předmětu činnosti. V neposlední řadě je třeba zmínit nov</w:t>
      </w:r>
      <w:r w:rsidR="00284057" w:rsidRPr="00284057">
        <w:t>ý</w:t>
      </w:r>
      <w:r w:rsidRPr="00284057">
        <w:t xml:space="preserve"> stavební zákon</w:t>
      </w:r>
      <w:r w:rsidR="00284057" w:rsidRPr="00284057">
        <w:t xml:space="preserve"> a jeho připravovanou novelizaci</w:t>
      </w:r>
      <w:r w:rsidRPr="00284057">
        <w:t>, kter</w:t>
      </w:r>
      <w:r w:rsidR="00284057" w:rsidRPr="00284057">
        <w:t>é oba</w:t>
      </w:r>
      <w:r w:rsidRPr="00284057">
        <w:t xml:space="preserve"> počít</w:t>
      </w:r>
      <w:r w:rsidR="00284057" w:rsidRPr="00284057">
        <w:t>aly</w:t>
      </w:r>
      <w:r w:rsidRPr="00284057">
        <w:t xml:space="preserve"> s</w:t>
      </w:r>
      <w:r w:rsidR="00284057" w:rsidRPr="00284057">
        <w:t xml:space="preserve"> různými </w:t>
      </w:r>
      <w:r w:rsidRPr="00284057">
        <w:t>institucionální změn</w:t>
      </w:r>
      <w:r w:rsidR="00284057" w:rsidRPr="00284057">
        <w:t>ami</w:t>
      </w:r>
      <w:r w:rsidRPr="00284057">
        <w:t xml:space="preserve"> struktury stavebních úřadů. Protože agenda vyvlastňování je z velké části prováděna stavebními úřady, bude muset být ve variantách odražena i změna ve struktuře vyvlastňovacích úřadů.</w:t>
      </w:r>
      <w:r>
        <w:rPr>
          <w:rStyle w:val="Znakapoznpodarou"/>
        </w:rPr>
        <w:footnoteReference w:id="24"/>
      </w:r>
      <w:r w:rsidRPr="00284057">
        <w:t xml:space="preserve">  </w:t>
      </w:r>
    </w:p>
    <w:p w:rsidR="000B1EC8" w:rsidRPr="00284057" w:rsidRDefault="000865D6" w:rsidP="000B1EC8">
      <w:pPr>
        <w:pStyle w:val="Text-Normaln"/>
        <w:widowControl w:val="0"/>
        <w:rPr>
          <w:rFonts w:cs="Arial"/>
          <w:szCs w:val="24"/>
        </w:rPr>
      </w:pPr>
      <w:r w:rsidRPr="00284057">
        <w:rPr>
          <w:b/>
        </w:rPr>
        <w:t>Cíl:</w:t>
      </w:r>
      <w:r w:rsidRPr="00284057">
        <w:t xml:space="preserve"> </w:t>
      </w:r>
      <w:r w:rsidRPr="00284057">
        <w:rPr>
          <w:rFonts w:cs="Arial"/>
          <w:szCs w:val="24"/>
        </w:rPr>
        <w:t>Zefektivnění procesu získávání potřebných vlastnických práv inv</w:t>
      </w:r>
      <w:r w:rsidRPr="00284057">
        <w:rPr>
          <w:rFonts w:cs="Arial"/>
          <w:szCs w:val="24"/>
        </w:rPr>
        <w:t>estory</w:t>
      </w:r>
    </w:p>
    <w:p w:rsidR="000B1EC8" w:rsidRPr="00284057" w:rsidRDefault="000865D6" w:rsidP="000B1EC8">
      <w:pPr>
        <w:pStyle w:val="Text-Normaln"/>
        <w:widowControl w:val="0"/>
        <w:rPr>
          <w:b/>
        </w:rPr>
      </w:pPr>
      <w:r w:rsidRPr="00284057">
        <w:rPr>
          <w:b/>
        </w:rPr>
        <w:t>Návrh variant řešení:</w:t>
      </w:r>
    </w:p>
    <w:p w:rsidR="000B1EC8" w:rsidRPr="00284057" w:rsidRDefault="000865D6" w:rsidP="000B1EC8">
      <w:pPr>
        <w:pStyle w:val="Text-Normaln"/>
        <w:widowControl w:val="0"/>
        <w:rPr>
          <w:i/>
        </w:rPr>
      </w:pPr>
      <w:r w:rsidRPr="00284057">
        <w:rPr>
          <w:b/>
          <w:i/>
        </w:rPr>
        <w:t>Varianta 0:</w:t>
      </w:r>
      <w:r w:rsidRPr="00284057">
        <w:rPr>
          <w:i/>
        </w:rPr>
        <w:t xml:space="preserve"> Zachování současného stavu</w:t>
      </w:r>
    </w:p>
    <w:p w:rsidR="000B1EC8" w:rsidRPr="00284057" w:rsidRDefault="000865D6" w:rsidP="000B1EC8">
      <w:pPr>
        <w:pStyle w:val="Text-Normaln"/>
        <w:widowControl w:val="0"/>
        <w:rPr>
          <w:i/>
        </w:rPr>
      </w:pPr>
      <w:r w:rsidRPr="00284057">
        <w:rPr>
          <w:b/>
          <w:i/>
        </w:rPr>
        <w:t>Varianta 1:</w:t>
      </w:r>
      <w:r w:rsidRPr="00284057">
        <w:rPr>
          <w:i/>
        </w:rPr>
        <w:t xml:space="preserve"> Úprava institucionální struktury dle návrhu </w:t>
      </w:r>
      <w:r w:rsidR="00284057" w:rsidRPr="00284057">
        <w:rPr>
          <w:i/>
        </w:rPr>
        <w:t xml:space="preserve">novely </w:t>
      </w:r>
      <w:r w:rsidRPr="00284057">
        <w:rPr>
          <w:i/>
        </w:rPr>
        <w:t xml:space="preserve">nového stavebního zákona; větší koncentrace vyvlastňovacích úřadů tak, aby bylo možné zajistit odpovídající míru kvalifikace </w:t>
      </w:r>
      <w:r w:rsidRPr="00284057">
        <w:rPr>
          <w:i/>
        </w:rPr>
        <w:t>úředníků a jejich specializaci (při 0,1 úvazku na agendu vyvlastňování je specializace obtížná)</w:t>
      </w:r>
    </w:p>
    <w:p w:rsidR="000B1EC8" w:rsidRPr="00284057" w:rsidRDefault="000865D6" w:rsidP="000B1EC8">
      <w:pPr>
        <w:pStyle w:val="Text-Normaln"/>
        <w:widowControl w:val="0"/>
        <w:rPr>
          <w:b/>
          <w:szCs w:val="24"/>
        </w:rPr>
      </w:pPr>
      <w:r w:rsidRPr="00284057">
        <w:rPr>
          <w:b/>
          <w:szCs w:val="24"/>
        </w:rPr>
        <w:t>Identifikace a kvantifikace nákladů a přínosů</w:t>
      </w:r>
    </w:p>
    <w:p w:rsidR="000B1EC8" w:rsidRPr="00284057" w:rsidRDefault="000865D6" w:rsidP="000B1EC8">
      <w:pPr>
        <w:pStyle w:val="Titulek"/>
      </w:pPr>
      <w:r w:rsidRPr="00284057">
        <w:t xml:space="preserve">Tabulka </w:t>
      </w:r>
      <w:r w:rsidRPr="00284057">
        <w:rPr>
          <w:noProof/>
        </w:rPr>
        <w:fldChar w:fldCharType="begin"/>
      </w:r>
      <w:r w:rsidRPr="00284057">
        <w:rPr>
          <w:noProof/>
        </w:rPr>
        <w:instrText xml:space="preserve"> SEQ Tabulka \* ARABIC </w:instrText>
      </w:r>
      <w:r w:rsidRPr="00284057">
        <w:rPr>
          <w:noProof/>
        </w:rPr>
        <w:fldChar w:fldCharType="separate"/>
      </w:r>
      <w:r w:rsidRPr="00284057">
        <w:rPr>
          <w:noProof/>
        </w:rPr>
        <w:t>22</w:t>
      </w:r>
      <w:r w:rsidRPr="00284057">
        <w:rPr>
          <w:noProof/>
        </w:rPr>
        <w:fldChar w:fldCharType="end"/>
      </w:r>
      <w:r w:rsidRPr="00284057">
        <w:t xml:space="preserve">: Identifikace nákladů a přínosů: </w:t>
      </w:r>
    </w:p>
    <w:tbl>
      <w:tblPr>
        <w:tblStyle w:val="Tabulkaseznamu21"/>
        <w:tblW w:w="9072" w:type="dxa"/>
        <w:tblInd w:w="108" w:type="dxa"/>
        <w:tblLook w:val="04A0" w:firstRow="1" w:lastRow="0" w:firstColumn="1" w:lastColumn="0" w:noHBand="0" w:noVBand="1"/>
      </w:tblPr>
      <w:tblGrid>
        <w:gridCol w:w="2268"/>
        <w:gridCol w:w="6804"/>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0B1EC8" w:rsidRPr="00284057" w:rsidRDefault="000865D6" w:rsidP="007320A7">
            <w:pPr>
              <w:widowControl w:val="0"/>
              <w:tabs>
                <w:tab w:val="left" w:pos="142"/>
              </w:tabs>
              <w:spacing w:before="60" w:after="60"/>
              <w:rPr>
                <w:rFonts w:asciiTheme="minorHAnsi" w:hAnsiTheme="minorHAnsi" w:cstheme="minorHAnsi"/>
                <w:spacing w:val="-4"/>
                <w:sz w:val="20"/>
                <w:szCs w:val="20"/>
              </w:rPr>
            </w:pPr>
            <w:r w:rsidRPr="00284057">
              <w:rPr>
                <w:rFonts w:asciiTheme="minorHAnsi" w:hAnsiTheme="minorHAnsi" w:cstheme="minorHAnsi"/>
                <w:spacing w:val="-4"/>
                <w:sz w:val="20"/>
                <w:szCs w:val="20"/>
              </w:rPr>
              <w:t>Dotčená strana</w:t>
            </w:r>
          </w:p>
        </w:tc>
        <w:tc>
          <w:tcPr>
            <w:tcW w:w="6804" w:type="dxa"/>
            <w:vAlign w:val="center"/>
          </w:tcPr>
          <w:p w:rsidR="000B1EC8" w:rsidRPr="00284057" w:rsidRDefault="000865D6" w:rsidP="007320A7">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284057">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0B1EC8" w:rsidRPr="00284057" w:rsidRDefault="000865D6" w:rsidP="007320A7">
            <w:pPr>
              <w:widowControl w:val="0"/>
              <w:tabs>
                <w:tab w:val="left" w:pos="142"/>
              </w:tabs>
              <w:spacing w:before="60" w:after="60"/>
              <w:jc w:val="left"/>
              <w:rPr>
                <w:rFonts w:asciiTheme="minorHAnsi" w:hAnsiTheme="minorHAnsi" w:cstheme="minorHAnsi"/>
                <w:spacing w:val="-4"/>
                <w:sz w:val="20"/>
                <w:szCs w:val="20"/>
              </w:rPr>
            </w:pPr>
            <w:r w:rsidRPr="00284057">
              <w:rPr>
                <w:rFonts w:asciiTheme="minorHAnsi" w:hAnsiTheme="minorHAnsi" w:cstheme="minorHAnsi"/>
                <w:spacing w:val="-4"/>
                <w:sz w:val="20"/>
                <w:szCs w:val="20"/>
              </w:rPr>
              <w:t>Vyvlastnitelé</w:t>
            </w:r>
          </w:p>
        </w:tc>
        <w:tc>
          <w:tcPr>
            <w:tcW w:w="6804" w:type="dxa"/>
            <w:vAlign w:val="center"/>
          </w:tcPr>
          <w:p w:rsidR="000B1EC8" w:rsidRPr="00284057" w:rsidRDefault="000865D6" w:rsidP="007320A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284057">
              <w:rPr>
                <w:rFonts w:asciiTheme="minorHAnsi" w:hAnsiTheme="minorHAnsi" w:cstheme="minorHAnsi"/>
                <w:i/>
                <w:sz w:val="20"/>
                <w:szCs w:val="20"/>
              </w:rPr>
              <w:t>Varianta 1 – Zkrácení fáze získávání potřebných vlastnických titulů</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0B1EC8" w:rsidRPr="00284057" w:rsidRDefault="000865D6" w:rsidP="007320A7">
            <w:pPr>
              <w:widowControl w:val="0"/>
              <w:tabs>
                <w:tab w:val="left" w:pos="142"/>
              </w:tabs>
              <w:spacing w:before="60" w:after="60"/>
              <w:jc w:val="left"/>
              <w:rPr>
                <w:rFonts w:asciiTheme="minorHAnsi" w:hAnsiTheme="minorHAnsi" w:cstheme="minorHAnsi"/>
                <w:spacing w:val="-4"/>
                <w:sz w:val="20"/>
                <w:szCs w:val="20"/>
              </w:rPr>
            </w:pPr>
            <w:r w:rsidRPr="00284057">
              <w:rPr>
                <w:rFonts w:asciiTheme="minorHAnsi" w:hAnsiTheme="minorHAnsi" w:cstheme="minorHAnsi"/>
                <w:spacing w:val="-4"/>
                <w:sz w:val="20"/>
                <w:szCs w:val="20"/>
              </w:rPr>
              <w:t>Vyvlastňovaní</w:t>
            </w:r>
          </w:p>
        </w:tc>
        <w:tc>
          <w:tcPr>
            <w:tcW w:w="6804" w:type="dxa"/>
            <w:vAlign w:val="center"/>
          </w:tcPr>
          <w:p w:rsidR="000B1EC8" w:rsidRPr="00284057" w:rsidRDefault="000865D6" w:rsidP="007320A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284057">
              <w:rPr>
                <w:rFonts w:asciiTheme="minorHAnsi" w:hAnsiTheme="minorHAnsi" w:cstheme="minorHAnsi"/>
                <w:i/>
                <w:sz w:val="20"/>
                <w:szCs w:val="20"/>
              </w:rPr>
              <w:t xml:space="preserve">Varianta 1 – </w:t>
            </w:r>
            <w:r w:rsidR="00284057">
              <w:rPr>
                <w:rFonts w:asciiTheme="minorHAnsi" w:hAnsiTheme="minorHAnsi" w:cstheme="minorHAnsi"/>
                <w:i/>
                <w:sz w:val="20"/>
                <w:szCs w:val="20"/>
              </w:rPr>
              <w:t>Vyšší efektivnost, transparentnost a profesionalita procesu</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0B1EC8" w:rsidRPr="00284057" w:rsidRDefault="000865D6" w:rsidP="007320A7">
            <w:pPr>
              <w:widowControl w:val="0"/>
              <w:tabs>
                <w:tab w:val="left" w:pos="142"/>
              </w:tabs>
              <w:spacing w:before="60" w:after="60"/>
              <w:jc w:val="left"/>
              <w:rPr>
                <w:rFonts w:asciiTheme="minorHAnsi" w:hAnsiTheme="minorHAnsi" w:cstheme="minorHAnsi"/>
                <w:spacing w:val="-4"/>
                <w:sz w:val="20"/>
                <w:szCs w:val="20"/>
              </w:rPr>
            </w:pPr>
            <w:r w:rsidRPr="00284057">
              <w:rPr>
                <w:rFonts w:asciiTheme="minorHAnsi" w:hAnsiTheme="minorHAnsi" w:cstheme="minorHAnsi"/>
                <w:spacing w:val="-4"/>
                <w:sz w:val="20"/>
                <w:szCs w:val="20"/>
              </w:rPr>
              <w:t>Vyvlastňovací úřady</w:t>
            </w:r>
          </w:p>
        </w:tc>
        <w:tc>
          <w:tcPr>
            <w:tcW w:w="6804" w:type="dxa"/>
            <w:vAlign w:val="center"/>
          </w:tcPr>
          <w:p w:rsidR="000B1EC8" w:rsidRPr="00284057" w:rsidRDefault="000865D6" w:rsidP="007320A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284057">
              <w:rPr>
                <w:rFonts w:asciiTheme="minorHAnsi" w:hAnsiTheme="minorHAnsi" w:cstheme="minorHAnsi"/>
                <w:i/>
                <w:sz w:val="20"/>
                <w:szCs w:val="20"/>
              </w:rPr>
              <w:t xml:space="preserve">Varianta 1 – </w:t>
            </w:r>
            <w:r w:rsidR="00284057">
              <w:rPr>
                <w:rFonts w:asciiTheme="minorHAnsi" w:hAnsiTheme="minorHAnsi" w:cstheme="minorHAnsi"/>
                <w:i/>
                <w:sz w:val="20"/>
                <w:szCs w:val="20"/>
              </w:rPr>
              <w:t>Celkově n</w:t>
            </w:r>
            <w:r w:rsidRPr="00284057">
              <w:rPr>
                <w:rFonts w:asciiTheme="minorHAnsi" w:hAnsiTheme="minorHAnsi" w:cstheme="minorHAnsi"/>
                <w:i/>
                <w:sz w:val="20"/>
                <w:szCs w:val="20"/>
              </w:rPr>
              <w:t>ižší administrativní zátěž</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0B1EC8" w:rsidRPr="00284057" w:rsidRDefault="000865D6" w:rsidP="007320A7">
            <w:pPr>
              <w:widowControl w:val="0"/>
              <w:tabs>
                <w:tab w:val="left" w:pos="142"/>
              </w:tabs>
              <w:spacing w:before="60" w:after="60"/>
              <w:jc w:val="left"/>
              <w:rPr>
                <w:rFonts w:asciiTheme="minorHAnsi" w:hAnsiTheme="minorHAnsi" w:cstheme="minorHAnsi"/>
                <w:spacing w:val="-4"/>
                <w:sz w:val="20"/>
                <w:szCs w:val="20"/>
              </w:rPr>
            </w:pPr>
            <w:r w:rsidRPr="00284057">
              <w:rPr>
                <w:rFonts w:asciiTheme="minorHAnsi" w:hAnsiTheme="minorHAnsi" w:cstheme="minorHAnsi"/>
                <w:spacing w:val="-4"/>
                <w:sz w:val="20"/>
                <w:szCs w:val="20"/>
              </w:rPr>
              <w:t>Ostatní</w:t>
            </w:r>
          </w:p>
        </w:tc>
        <w:tc>
          <w:tcPr>
            <w:tcW w:w="6804" w:type="dxa"/>
            <w:vAlign w:val="center"/>
          </w:tcPr>
          <w:p w:rsidR="000B1EC8" w:rsidRPr="00284057" w:rsidRDefault="000865D6" w:rsidP="007320A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284057">
              <w:rPr>
                <w:rFonts w:asciiTheme="minorHAnsi" w:hAnsiTheme="minorHAnsi" w:cstheme="minorHAnsi"/>
                <w:i/>
                <w:sz w:val="20"/>
                <w:szCs w:val="20"/>
              </w:rPr>
              <w:t>Variant</w:t>
            </w:r>
            <w:r w:rsidRPr="00284057">
              <w:rPr>
                <w:rFonts w:asciiTheme="minorHAnsi" w:hAnsiTheme="minorHAnsi" w:cstheme="minorHAnsi"/>
                <w:i/>
                <w:sz w:val="20"/>
                <w:szCs w:val="20"/>
              </w:rPr>
              <w:t>a 1 – Rychlejší realizace veřejně prospěšných staveb</w:t>
            </w:r>
          </w:p>
        </w:tc>
      </w:tr>
    </w:tbl>
    <w:p w:rsidR="000B1EC8" w:rsidRPr="00284057" w:rsidRDefault="000865D6" w:rsidP="000B1EC8">
      <w:pPr>
        <w:pStyle w:val="Text-Normaln"/>
        <w:widowControl w:val="0"/>
        <w:spacing w:before="360"/>
        <w:rPr>
          <w:b/>
        </w:rPr>
      </w:pPr>
      <w:r w:rsidRPr="00284057">
        <w:rPr>
          <w:b/>
        </w:rPr>
        <w:t>Volba varianty a její implementace</w:t>
      </w:r>
    </w:p>
    <w:p w:rsidR="000B1EC8" w:rsidRPr="00284057" w:rsidRDefault="000865D6" w:rsidP="000B1EC8">
      <w:pPr>
        <w:pStyle w:val="Text-Normaln"/>
        <w:widowControl w:val="0"/>
      </w:pPr>
      <w:r w:rsidRPr="00284057">
        <w:rPr>
          <w:i/>
          <w:iCs/>
        </w:rPr>
        <w:t xml:space="preserve">K Variantě 1 - </w:t>
      </w:r>
      <w:r w:rsidR="00284057" w:rsidRPr="00284057">
        <w:rPr>
          <w:i/>
          <w:iCs/>
        </w:rPr>
        <w:t>Úprava institucionální struktury dle návrhu novely nového stavebního zákona; větší koncentrace vyvlastňovacích úřadů tak, aby bylo možné zajistit odpovídající míru kvalifikace úředníků a jejich specializaci</w:t>
      </w:r>
    </w:p>
    <w:p w:rsidR="00392421" w:rsidRPr="00D1090D" w:rsidRDefault="000865D6" w:rsidP="000B1EC8">
      <w:pPr>
        <w:pStyle w:val="Normln-tun"/>
      </w:pPr>
      <w:r w:rsidRPr="00D1090D">
        <w:t xml:space="preserve">Návrh </w:t>
      </w:r>
      <w:r w:rsidR="00254E0E">
        <w:t xml:space="preserve">institucionální struktury by měl odpovídat novému stavebnímu zákonu, potažmo </w:t>
      </w:r>
      <w:r w:rsidR="00D36AE5">
        <w:t xml:space="preserve">jeho </w:t>
      </w:r>
      <w:r w:rsidR="00254E0E">
        <w:t>připravované novele</w:t>
      </w:r>
      <w:r w:rsidRPr="00D1090D">
        <w:t xml:space="preserve">. </w:t>
      </w:r>
      <w:r w:rsidR="00254E0E">
        <w:t>Optimálně, i vzhledem k závěrům konzultací, by vyvlastňovacími úřady měly být</w:t>
      </w:r>
      <w:r w:rsidRPr="00D1090D">
        <w:t xml:space="preserve"> </w:t>
      </w:r>
    </w:p>
    <w:p w:rsidR="00254E0E" w:rsidRDefault="000865D6" w:rsidP="00254E0E">
      <w:pPr>
        <w:pStyle w:val="Normln-tun"/>
      </w:pPr>
      <w:r>
        <w:t xml:space="preserve">a) </w:t>
      </w:r>
      <w:r>
        <w:t>Ministerstvo pro místní rozvoj,</w:t>
      </w:r>
    </w:p>
    <w:p w:rsidR="00254E0E" w:rsidRDefault="000865D6" w:rsidP="00254E0E">
      <w:pPr>
        <w:pStyle w:val="Normln-tun"/>
      </w:pPr>
      <w:r>
        <w:t>b) Specializovaný a odvolací stavební úřad a</w:t>
      </w:r>
    </w:p>
    <w:p w:rsidR="00392421" w:rsidRPr="00D1090D" w:rsidRDefault="000865D6" w:rsidP="00254E0E">
      <w:pPr>
        <w:pStyle w:val="Normln-tun"/>
      </w:pPr>
      <w:r>
        <w:t>c) krajské úřady</w:t>
      </w:r>
      <w:r w:rsidRPr="00D1090D">
        <w:t xml:space="preserve">. </w:t>
      </w:r>
    </w:p>
    <w:p w:rsidR="00254E0E" w:rsidRDefault="000865D6" w:rsidP="00254E0E">
      <w:pPr>
        <w:pStyle w:val="Normln-tun"/>
      </w:pPr>
      <w:r>
        <w:t xml:space="preserve">Ministerstvo by mělo být nadřízeným správním orgánem Specializovaného a odvolacího stavebního úřadu. Specializovaný a odvolací stavebního úřad je nadřízeným </w:t>
      </w:r>
      <w:r>
        <w:t>správním orgánem krajských úřadů.</w:t>
      </w:r>
    </w:p>
    <w:p w:rsidR="000B1EC8" w:rsidRPr="007D3362" w:rsidRDefault="000865D6" w:rsidP="000B1EC8">
      <w:pPr>
        <w:pStyle w:val="Normln-tun"/>
      </w:pPr>
      <w:r w:rsidRPr="007D3362">
        <w:t>Přínosy této varianty se očekávají především v tom, že by mělo docházet k menší chybovosti, což by znamenalo méně odvolání a žalob a ve výsledku rychlejší proces. Logika této varianty je taková, že vyvlastňovací úřady mají</w:t>
      </w:r>
      <w:r w:rsidRPr="007D3362">
        <w:t xml:space="preserve"> malé zkušenosti s vyvlastňovacím řízením, což představuje vyšší riziko vzniku procesní chyby a následných úspěšných odvolání a žalob. K urychlení procesu vyvlastňování dojde tím, že </w:t>
      </w:r>
      <w:r w:rsidRPr="007D3362">
        <w:lastRenderedPageBreak/>
        <w:t>méně často dojde ke vzniku procesní</w:t>
      </w:r>
      <w:r w:rsidR="007D3362">
        <w:t>ch</w:t>
      </w:r>
      <w:r w:rsidRPr="007D3362">
        <w:t xml:space="preserve"> chyb. Úředníci též ušetří čas opako</w:t>
      </w:r>
      <w:r w:rsidRPr="007D3362">
        <w:t xml:space="preserve">vaným samostudiem pravidel. </w:t>
      </w:r>
    </w:p>
    <w:p w:rsidR="000B1EC8" w:rsidRPr="006F0DF6" w:rsidRDefault="000865D6" w:rsidP="000B1EC8">
      <w:pPr>
        <w:pStyle w:val="Normln-tun"/>
        <w:rPr>
          <w:rFonts w:cstheme="minorHAnsi"/>
        </w:rPr>
      </w:pPr>
      <w:r w:rsidRPr="006F0DF6">
        <w:rPr>
          <w:rFonts w:cstheme="minorHAnsi"/>
        </w:rPr>
        <w:t>Varianta 1 je v souladu s nedávnou změnou vyvlastňovacího úřadu u staveb dopravní infrastruktury. S účinností od 1. 8. 2019 zákon č. 416/2009 Sb., o urychlení výstavby dopravní, vodní a energetické infrastruktury a infrastruktu</w:t>
      </w:r>
      <w:r w:rsidRPr="006F0DF6">
        <w:rPr>
          <w:rFonts w:cstheme="minorHAnsi"/>
        </w:rPr>
        <w:t>ry elektronických komunikací změnil v ust. § 2e u staveb dopravní infrastruktury příslušnost vyvlastňovacího úřadu, kdy nyní je již příslušný krajský úřad kraje, na jehož území se má stavba uskutečnit. U hlavního města Prahy pak zůstává příslušným k vedení</w:t>
      </w:r>
      <w:r w:rsidRPr="006F0DF6">
        <w:rPr>
          <w:rFonts w:cstheme="minorHAnsi"/>
        </w:rPr>
        <w:t xml:space="preserve"> vyvlastňovacího řízení v souladu s obecnou úpravou dle zákona o vyvlastnění Magistrát hlavního města Prahy. Odvolacím orgánem je dle typu stavby buď Ministerstvo dopravy nebo Ministerstvo pro místní rozvoj. „</w:t>
      </w:r>
      <w:r w:rsidRPr="006F0DF6">
        <w:rPr>
          <w:rFonts w:cstheme="minorHAnsi"/>
          <w:i/>
          <w:iCs/>
        </w:rPr>
        <w:t xml:space="preserve">Tuto změnu lze vzhledem ke složitosti přípravy </w:t>
      </w:r>
      <w:r w:rsidRPr="006F0DF6">
        <w:rPr>
          <w:rFonts w:cstheme="minorHAnsi"/>
          <w:i/>
          <w:iCs/>
        </w:rPr>
        <w:t>staveb dopravní infrastruktury označit za účelnou. Vedení vyvlastňovacího řízení obecně klade na pracovníky obcí s rozšířenou působností vysoké nároky, neboť se jedná o řízení složité, ve kterém se řeší celá řada dílčích právních otázek. Je navíc nutné pra</w:t>
      </w:r>
      <w:r w:rsidRPr="006F0DF6">
        <w:rPr>
          <w:rFonts w:cstheme="minorHAnsi"/>
          <w:i/>
          <w:iCs/>
        </w:rPr>
        <w:t>covat s celou řadou právních předpisů (správní řád, zákon o vyvlastnění, zákon o urychlení výstavby a zvláštní zákon, ve kterém je uveden účel vyvlastnění). Někteří pracovníci vyvlastňovacích úřadů nemají právní vzdělání a s vyvlastňovacím řízením se setká</w:t>
      </w:r>
      <w:r w:rsidRPr="006F0DF6">
        <w:rPr>
          <w:rFonts w:cstheme="minorHAnsi"/>
          <w:i/>
          <w:iCs/>
        </w:rPr>
        <w:t>vají velmi výjimečně. V případě nesprávného posouzení věci pak dochází k prodlužování vyvlastňovacích řízení, čímž se opětovně oddaluje budování potřebné infrastruktury. Zákonodárce by měl tedy zvážit, zda nepřesunout příslušnost k vedení vyvlastňovacích ř</w:t>
      </w:r>
      <w:r w:rsidRPr="006F0DF6">
        <w:rPr>
          <w:rFonts w:cstheme="minorHAnsi"/>
          <w:i/>
          <w:iCs/>
        </w:rPr>
        <w:t>ízení na krajské úřady ve všech případech.“ (Názor viz</w:t>
      </w:r>
      <w:r w:rsidRPr="006F0DF6">
        <w:rPr>
          <w:rFonts w:cstheme="minorHAnsi"/>
        </w:rPr>
        <w:t xml:space="preserve"> </w:t>
      </w:r>
      <w:r w:rsidRPr="006F0DF6">
        <w:rPr>
          <w:rFonts w:cstheme="minorHAnsi"/>
          <w:i/>
          <w:iCs/>
        </w:rPr>
        <w:t xml:space="preserve">Vlachová, B. (2019). Aktuální otázky vyvlastnění v režimu zákona o urychlení výstavby. Dostupné z </w:t>
      </w:r>
      <w:hyperlink r:id="rId11" w:history="1">
        <w:r w:rsidRPr="006F0DF6">
          <w:rPr>
            <w:rStyle w:val="Hypertextovodkaz"/>
            <w:rFonts w:cstheme="minorHAnsi"/>
            <w:i/>
            <w:iCs/>
            <w:color w:val="auto"/>
          </w:rPr>
          <w:t>https://advokatnidenik.cz/2019/07/15/aktualni-otazky-vyvlastneni-v-rezimu-zakona-o-urychleni-vystavby/</w:t>
        </w:r>
      </w:hyperlink>
      <w:r w:rsidRPr="006F0DF6">
        <w:rPr>
          <w:rFonts w:cstheme="minorHAnsi"/>
        </w:rPr>
        <w:t>)</w:t>
      </w:r>
    </w:p>
    <w:p w:rsidR="00EE1775" w:rsidRDefault="000865D6" w:rsidP="000B1EC8">
      <w:pPr>
        <w:pStyle w:val="Normln-tun"/>
      </w:pPr>
      <w:r w:rsidRPr="00B129A2">
        <w:t xml:space="preserve">Ve statistikách ÚÚR vykázaly </w:t>
      </w:r>
      <w:r w:rsidR="00284C14" w:rsidRPr="00B129A2">
        <w:t>OSÚ</w:t>
      </w:r>
      <w:r w:rsidRPr="00B129A2">
        <w:t xml:space="preserve"> na obcích III. stupně a magistrátech územně členěných statutárních měst v roce 2020 2 389 úředních osob</w:t>
      </w:r>
      <w:r w:rsidRPr="00B129A2">
        <w:t xml:space="preserve">, resp. 2 279 úvazků. </w:t>
      </w:r>
      <w:r w:rsidRPr="00EE1775">
        <w:t xml:space="preserve">Druhoinstanční </w:t>
      </w:r>
      <w:r w:rsidR="00E1755F">
        <w:t>stavební úřady</w:t>
      </w:r>
      <w:r w:rsidRPr="00EE1775">
        <w:t xml:space="preserve"> </w:t>
      </w:r>
      <w:r w:rsidR="00E1755F">
        <w:t>z</w:t>
      </w:r>
      <w:r w:rsidRPr="00EE1775">
        <w:t>aměstnáva</w:t>
      </w:r>
      <w:r>
        <w:t xml:space="preserve">ly </w:t>
      </w:r>
      <w:r w:rsidRPr="00EE1775">
        <w:t>celkem 227 osob se 222 úvazky.</w:t>
      </w:r>
      <w:r>
        <w:t xml:space="preserve"> </w:t>
      </w:r>
    </w:p>
    <w:p w:rsidR="00516BBF" w:rsidRDefault="000865D6" w:rsidP="001C7E3A">
      <w:pPr>
        <w:pStyle w:val="Text-Normaln"/>
        <w:widowControl w:val="0"/>
      </w:pPr>
      <w:r w:rsidRPr="00074BB1">
        <w:rPr>
          <w:bCs/>
        </w:rPr>
        <w:t>Prvoinstanční SSÚ</w:t>
      </w:r>
      <w:r w:rsidRPr="00074BB1">
        <w:t xml:space="preserve"> zaměstnáva</w:t>
      </w:r>
      <w:r w:rsidR="00EE1775" w:rsidRPr="00074BB1">
        <w:t>ly</w:t>
      </w:r>
      <w:r w:rsidRPr="00074BB1">
        <w:t xml:space="preserve"> celkem 900 (dopravní stavby), resp. 966 (vodní stavby), osob s 693, resp. 851, úvazky. </w:t>
      </w:r>
      <w:r w:rsidR="00CB7ADB" w:rsidRPr="00074BB1">
        <w:t>Z tohoto počtu jich 775</w:t>
      </w:r>
      <w:r w:rsidR="00284C14" w:rsidRPr="00074BB1">
        <w:t xml:space="preserve">, resp. </w:t>
      </w:r>
      <w:r w:rsidR="00CB7ADB" w:rsidRPr="00074BB1">
        <w:t>866</w:t>
      </w:r>
      <w:r w:rsidRPr="00074BB1">
        <w:t>, osob</w:t>
      </w:r>
      <w:r w:rsidR="00CB7ADB" w:rsidRPr="00074BB1">
        <w:t xml:space="preserve"> </w:t>
      </w:r>
      <w:r w:rsidRPr="00074BB1">
        <w:t xml:space="preserve">s 595, resp. 760, úvazky </w:t>
      </w:r>
      <w:r w:rsidR="00CB7ADB" w:rsidRPr="00074BB1">
        <w:t>agendu vykonávalo na obcích III. stupně a magistrátech územně členěných statutárních měst</w:t>
      </w:r>
      <w:r w:rsidR="00074BB1">
        <w:t xml:space="preserve"> (celkem 1 641 úředních osob/1 355 úvazků).</w:t>
      </w:r>
    </w:p>
    <w:p w:rsidR="001C7E3A" w:rsidRDefault="000865D6" w:rsidP="001C7E3A">
      <w:pPr>
        <w:pStyle w:val="Text-Normaln"/>
        <w:widowControl w:val="0"/>
      </w:pPr>
      <w:r>
        <w:t xml:space="preserve">Co se týká </w:t>
      </w:r>
      <w:r w:rsidRPr="00284C14">
        <w:rPr>
          <w:bCs/>
        </w:rPr>
        <w:t xml:space="preserve">druhoinstančních </w:t>
      </w:r>
      <w:r>
        <w:t>SSÚ, situace tam z pohledu počtu zaměstnanců vypad</w:t>
      </w:r>
      <w:r w:rsidR="00516BBF">
        <w:t>ala</w:t>
      </w:r>
      <w:r>
        <w:t xml:space="preserve"> následovně.</w:t>
      </w:r>
      <w:r w:rsidR="00CB7ADB">
        <w:t xml:space="preserve"> Za dopravní stavby se jednalo o </w:t>
      </w:r>
      <w:r w:rsidR="00E1755F">
        <w:t>71 pracovníků</w:t>
      </w:r>
      <w:r w:rsidR="00516BBF">
        <w:t xml:space="preserve"> se</w:t>
      </w:r>
      <w:r w:rsidR="00E1755F">
        <w:t xml:space="preserve"> 47 úvazk</w:t>
      </w:r>
      <w:r w:rsidR="00516BBF">
        <w:t>y</w:t>
      </w:r>
      <w:r w:rsidR="00E1755F">
        <w:t>, za vodní stavby se jednalo o 112 pracovníků</w:t>
      </w:r>
      <w:r w:rsidR="00516BBF">
        <w:t xml:space="preserve"> se </w:t>
      </w:r>
      <w:r w:rsidR="00E1755F">
        <w:t>100 úvazků</w:t>
      </w:r>
      <w:r w:rsidR="00074BB1">
        <w:t xml:space="preserve"> (celkem 183 úředních osob/147 úvazků</w:t>
      </w:r>
      <w:r w:rsidR="00FC330B">
        <w:t xml:space="preserve">, z toho </w:t>
      </w:r>
      <w:r w:rsidR="003E297E">
        <w:t>2</w:t>
      </w:r>
      <w:r w:rsidR="00FC330B">
        <w:t xml:space="preserve">3 </w:t>
      </w:r>
      <w:r w:rsidR="003E297E">
        <w:t>úředních osob na MD či MZe s 1</w:t>
      </w:r>
      <w:r w:rsidR="00FC330B">
        <w:t>6,5 úvazk</w:t>
      </w:r>
      <w:r w:rsidR="003E297E">
        <w:t>y</w:t>
      </w:r>
      <w:r w:rsidR="00FC330B">
        <w:t>)</w:t>
      </w:r>
      <w:r w:rsidR="003E297E">
        <w:t>.</w:t>
      </w:r>
    </w:p>
    <w:tbl>
      <w:tblPr>
        <w:tblStyle w:val="Barevntabulkaseznamu6zvraznn52"/>
        <w:tblW w:w="9072" w:type="dxa"/>
        <w:tblBorders>
          <w:top w:val="dotted" w:sz="4" w:space="0" w:color="auto"/>
          <w:bottom w:val="dotted" w:sz="4" w:space="0" w:color="auto"/>
          <w:insideH w:val="dotted" w:sz="4" w:space="0" w:color="auto"/>
        </w:tblBorders>
        <w:tblLook w:val="04A0" w:firstRow="1" w:lastRow="0" w:firstColumn="1" w:lastColumn="0" w:noHBand="0" w:noVBand="1"/>
      </w:tblPr>
      <w:tblGrid>
        <w:gridCol w:w="5387"/>
        <w:gridCol w:w="921"/>
        <w:gridCol w:w="921"/>
        <w:gridCol w:w="921"/>
        <w:gridCol w:w="922"/>
      </w:tblGrid>
      <w:tr w:rsidR="00FC72A1" w:rsidTr="00FC72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7" w:type="dxa"/>
            <w:tcBorders>
              <w:top w:val="single" w:sz="4" w:space="0" w:color="auto"/>
              <w:bottom w:val="none" w:sz="0" w:space="0" w:color="auto"/>
            </w:tcBorders>
            <w:shd w:val="clear" w:color="auto" w:fill="D9D9D9" w:themeFill="background1" w:themeFillShade="D9"/>
            <w:vAlign w:val="center"/>
            <w:hideMark/>
          </w:tcPr>
          <w:p w:rsidR="000B1EC8" w:rsidRPr="007D0551" w:rsidRDefault="000865D6" w:rsidP="007320A7">
            <w:pPr>
              <w:spacing w:before="0" w:after="0"/>
              <w:jc w:val="left"/>
              <w:rPr>
                <w:rFonts w:ascii="Calibri" w:eastAsia="Times New Roman" w:hAnsi="Calibri" w:cs="Calibri"/>
                <w:color w:val="000000"/>
                <w:sz w:val="20"/>
                <w:szCs w:val="20"/>
                <w:lang w:eastAsia="cs-CZ"/>
              </w:rPr>
            </w:pPr>
            <w:r w:rsidRPr="007D0551">
              <w:rPr>
                <w:rFonts w:ascii="Calibri" w:eastAsia="Times New Roman" w:hAnsi="Calibri" w:cs="Calibri"/>
                <w:color w:val="000000"/>
                <w:sz w:val="20"/>
                <w:szCs w:val="20"/>
                <w:lang w:eastAsia="cs-CZ"/>
              </w:rPr>
              <w:t xml:space="preserve">Prvoinstanční </w:t>
            </w:r>
            <w:r w:rsidRPr="00215DDF">
              <w:rPr>
                <w:rFonts w:ascii="Calibri" w:eastAsia="Times New Roman" w:hAnsi="Calibri" w:cs="Calibri"/>
                <w:color w:val="000000"/>
                <w:sz w:val="20"/>
                <w:szCs w:val="20"/>
                <w:lang w:eastAsia="cs-CZ"/>
              </w:rPr>
              <w:t>vyvl. úřady</w:t>
            </w:r>
            <w:r w:rsidR="00C56A49" w:rsidRPr="00215DDF">
              <w:rPr>
                <w:rFonts w:ascii="Calibri" w:eastAsia="Times New Roman" w:hAnsi="Calibri" w:cs="Calibri"/>
                <w:color w:val="000000"/>
                <w:sz w:val="20"/>
                <w:szCs w:val="20"/>
                <w:lang w:eastAsia="cs-CZ"/>
              </w:rPr>
              <w:t xml:space="preserve"> (ve Variantě 1 půjde o přesun úředníků</w:t>
            </w:r>
            <w:r w:rsidR="00215DDF">
              <w:rPr>
                <w:rFonts w:ascii="Calibri" w:eastAsia="Times New Roman" w:hAnsi="Calibri" w:cs="Calibri"/>
                <w:color w:val="000000"/>
                <w:sz w:val="20"/>
                <w:szCs w:val="20"/>
                <w:lang w:eastAsia="cs-CZ"/>
              </w:rPr>
              <w:t>/úvazků</w:t>
            </w:r>
            <w:r w:rsidR="00C56A49" w:rsidRPr="00215DDF">
              <w:rPr>
                <w:rFonts w:ascii="Calibri" w:eastAsia="Times New Roman" w:hAnsi="Calibri" w:cs="Calibri"/>
                <w:color w:val="000000"/>
                <w:sz w:val="20"/>
                <w:szCs w:val="20"/>
                <w:lang w:eastAsia="cs-CZ"/>
              </w:rPr>
              <w:t xml:space="preserve"> z ORP a ÚČSM na krajskou úroveň)</w:t>
            </w:r>
          </w:p>
        </w:tc>
        <w:tc>
          <w:tcPr>
            <w:tcW w:w="921" w:type="dxa"/>
            <w:tcBorders>
              <w:top w:val="single" w:sz="4" w:space="0" w:color="auto"/>
              <w:bottom w:val="none" w:sz="0" w:space="0" w:color="auto"/>
            </w:tcBorders>
            <w:shd w:val="clear" w:color="auto" w:fill="D9D9D9" w:themeFill="background1" w:themeFillShade="D9"/>
            <w:vAlign w:val="center"/>
            <w:hideMark/>
          </w:tcPr>
          <w:p w:rsidR="000B1EC8" w:rsidRPr="007D0551"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7D0551">
              <w:rPr>
                <w:rFonts w:ascii="Calibri" w:eastAsia="Times New Roman" w:hAnsi="Calibri" w:cs="Calibri"/>
                <w:color w:val="000000"/>
                <w:sz w:val="20"/>
                <w:szCs w:val="20"/>
                <w:lang w:eastAsia="cs-CZ"/>
              </w:rPr>
              <w:t>1 %</w:t>
            </w:r>
          </w:p>
        </w:tc>
        <w:tc>
          <w:tcPr>
            <w:tcW w:w="921" w:type="dxa"/>
            <w:tcBorders>
              <w:top w:val="single" w:sz="4" w:space="0" w:color="auto"/>
              <w:bottom w:val="none" w:sz="0" w:space="0" w:color="auto"/>
            </w:tcBorders>
            <w:shd w:val="clear" w:color="auto" w:fill="D9D9D9" w:themeFill="background1" w:themeFillShade="D9"/>
            <w:vAlign w:val="center"/>
            <w:hideMark/>
          </w:tcPr>
          <w:p w:rsidR="000B1EC8" w:rsidRPr="007D0551"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7D0551">
              <w:rPr>
                <w:rFonts w:ascii="Calibri" w:eastAsia="Times New Roman" w:hAnsi="Calibri" w:cs="Calibri"/>
                <w:color w:val="000000"/>
                <w:sz w:val="20"/>
                <w:szCs w:val="20"/>
                <w:lang w:eastAsia="cs-CZ"/>
              </w:rPr>
              <w:t>2 %</w:t>
            </w:r>
          </w:p>
        </w:tc>
        <w:tc>
          <w:tcPr>
            <w:tcW w:w="921" w:type="dxa"/>
            <w:tcBorders>
              <w:top w:val="single" w:sz="4" w:space="0" w:color="auto"/>
              <w:bottom w:val="none" w:sz="0" w:space="0" w:color="auto"/>
            </w:tcBorders>
            <w:shd w:val="clear" w:color="auto" w:fill="D9D9D9" w:themeFill="background1" w:themeFillShade="D9"/>
            <w:vAlign w:val="center"/>
          </w:tcPr>
          <w:p w:rsidR="000B1EC8" w:rsidRPr="007D0551"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7D0551">
              <w:rPr>
                <w:rFonts w:ascii="Calibri" w:eastAsia="Times New Roman" w:hAnsi="Calibri" w:cs="Calibri"/>
                <w:color w:val="000000"/>
                <w:sz w:val="20"/>
                <w:szCs w:val="20"/>
                <w:lang w:eastAsia="cs-CZ"/>
              </w:rPr>
              <w:t>5 %</w:t>
            </w:r>
          </w:p>
        </w:tc>
        <w:tc>
          <w:tcPr>
            <w:tcW w:w="922" w:type="dxa"/>
            <w:tcBorders>
              <w:top w:val="single" w:sz="4" w:space="0" w:color="auto"/>
              <w:bottom w:val="none" w:sz="0" w:space="0" w:color="auto"/>
            </w:tcBorders>
            <w:shd w:val="clear" w:color="auto" w:fill="D9D9D9" w:themeFill="background1" w:themeFillShade="D9"/>
            <w:vAlign w:val="center"/>
          </w:tcPr>
          <w:p w:rsidR="000B1EC8" w:rsidRPr="00EE77D6" w:rsidRDefault="000865D6" w:rsidP="007320A7">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cs-CZ"/>
              </w:rPr>
            </w:pPr>
            <w:r w:rsidRPr="00EE77D6">
              <w:rPr>
                <w:rFonts w:ascii="Calibri" w:eastAsia="Times New Roman" w:hAnsi="Calibri" w:cs="Calibri"/>
                <w:i/>
                <w:iCs/>
                <w:color w:val="000000"/>
                <w:sz w:val="20"/>
                <w:szCs w:val="20"/>
                <w:lang w:eastAsia="cs-CZ"/>
              </w:rPr>
              <w:t>10 %</w:t>
            </w:r>
          </w:p>
        </w:tc>
      </w:tr>
      <w:tr w:rsidR="00FC72A1" w:rsidTr="00FC72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vAlign w:val="center"/>
            <w:hideMark/>
          </w:tcPr>
          <w:p w:rsidR="000B1EC8" w:rsidRPr="007D0551" w:rsidRDefault="000865D6" w:rsidP="007320A7">
            <w:pPr>
              <w:spacing w:before="0" w:after="0"/>
              <w:jc w:val="left"/>
              <w:rPr>
                <w:rFonts w:ascii="Calibri" w:eastAsia="Times New Roman" w:hAnsi="Calibri" w:cs="Calibri"/>
                <w:color w:val="000000"/>
                <w:sz w:val="20"/>
                <w:szCs w:val="20"/>
                <w:lang w:eastAsia="cs-CZ"/>
              </w:rPr>
            </w:pPr>
            <w:r w:rsidRPr="007D0551">
              <w:rPr>
                <w:rFonts w:ascii="Calibri" w:eastAsia="Times New Roman" w:hAnsi="Calibri" w:cs="Calibri"/>
                <w:b w:val="0"/>
                <w:bCs w:val="0"/>
                <w:color w:val="000000"/>
                <w:sz w:val="20"/>
                <w:szCs w:val="20"/>
                <w:lang w:eastAsia="cs-CZ"/>
              </w:rPr>
              <w:t>Počet úředních osob na výkon agendy vyvlastňovacích úřadů</w:t>
            </w:r>
          </w:p>
        </w:tc>
        <w:tc>
          <w:tcPr>
            <w:tcW w:w="921" w:type="dxa"/>
            <w:shd w:val="clear" w:color="auto" w:fill="auto"/>
            <w:vAlign w:val="center"/>
            <w:hideMark/>
          </w:tcPr>
          <w:p w:rsidR="000B1EC8" w:rsidRPr="007D0551"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24</w:t>
            </w:r>
          </w:p>
        </w:tc>
        <w:tc>
          <w:tcPr>
            <w:tcW w:w="921" w:type="dxa"/>
            <w:shd w:val="clear" w:color="auto" w:fill="auto"/>
            <w:vAlign w:val="center"/>
            <w:hideMark/>
          </w:tcPr>
          <w:p w:rsidR="000B1EC8" w:rsidRPr="007D0551"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48</w:t>
            </w:r>
          </w:p>
        </w:tc>
        <w:tc>
          <w:tcPr>
            <w:tcW w:w="921" w:type="dxa"/>
            <w:shd w:val="clear" w:color="auto" w:fill="auto"/>
            <w:vAlign w:val="center"/>
          </w:tcPr>
          <w:p w:rsidR="000B1EC8" w:rsidRPr="007D0551"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119</w:t>
            </w:r>
          </w:p>
        </w:tc>
        <w:tc>
          <w:tcPr>
            <w:tcW w:w="922" w:type="dxa"/>
            <w:shd w:val="clear" w:color="auto" w:fill="auto"/>
            <w:vAlign w:val="center"/>
          </w:tcPr>
          <w:p w:rsidR="000B1EC8" w:rsidRPr="007D0551"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239</w:t>
            </w:r>
          </w:p>
        </w:tc>
      </w:tr>
      <w:tr w:rsidR="00FC72A1" w:rsidTr="00FC72A1">
        <w:trPr>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vAlign w:val="center"/>
          </w:tcPr>
          <w:p w:rsidR="000B1EC8" w:rsidRPr="007D0551" w:rsidRDefault="000865D6" w:rsidP="007320A7">
            <w:pPr>
              <w:spacing w:before="0" w:after="0"/>
              <w:jc w:val="left"/>
              <w:rPr>
                <w:rFonts w:ascii="Calibri" w:eastAsia="Times New Roman" w:hAnsi="Calibri" w:cs="Calibri"/>
                <w:color w:val="000000"/>
                <w:sz w:val="20"/>
                <w:szCs w:val="20"/>
                <w:lang w:eastAsia="cs-CZ"/>
              </w:rPr>
            </w:pPr>
            <w:r w:rsidRPr="007D0551">
              <w:rPr>
                <w:rFonts w:ascii="Calibri" w:eastAsia="Times New Roman" w:hAnsi="Calibri" w:cs="Calibri"/>
                <w:b w:val="0"/>
                <w:bCs w:val="0"/>
                <w:color w:val="000000"/>
                <w:sz w:val="20"/>
                <w:szCs w:val="20"/>
                <w:lang w:eastAsia="cs-CZ"/>
              </w:rPr>
              <w:t>Počet úvazků na výkon agendy vyvlastňovacích úřadů</w:t>
            </w:r>
          </w:p>
        </w:tc>
        <w:tc>
          <w:tcPr>
            <w:tcW w:w="921" w:type="dxa"/>
            <w:shd w:val="clear" w:color="auto" w:fill="auto"/>
            <w:vAlign w:val="center"/>
          </w:tcPr>
          <w:p w:rsidR="000B1EC8" w:rsidRPr="007D0551"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23</w:t>
            </w:r>
          </w:p>
        </w:tc>
        <w:tc>
          <w:tcPr>
            <w:tcW w:w="921" w:type="dxa"/>
            <w:shd w:val="clear" w:color="auto" w:fill="auto"/>
            <w:vAlign w:val="center"/>
          </w:tcPr>
          <w:p w:rsidR="000B1EC8" w:rsidRPr="007D0551"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46</w:t>
            </w:r>
          </w:p>
        </w:tc>
        <w:tc>
          <w:tcPr>
            <w:tcW w:w="921" w:type="dxa"/>
            <w:shd w:val="clear" w:color="auto" w:fill="auto"/>
            <w:vAlign w:val="center"/>
          </w:tcPr>
          <w:p w:rsidR="000B1EC8" w:rsidRPr="007D0551"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114</w:t>
            </w:r>
          </w:p>
        </w:tc>
        <w:tc>
          <w:tcPr>
            <w:tcW w:w="922" w:type="dxa"/>
            <w:shd w:val="clear" w:color="auto" w:fill="auto"/>
            <w:vAlign w:val="center"/>
          </w:tcPr>
          <w:p w:rsidR="000B1EC8" w:rsidRPr="007D0551"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228</w:t>
            </w:r>
          </w:p>
        </w:tc>
      </w:tr>
      <w:tr w:rsidR="00FC72A1" w:rsidTr="00FC72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D9D9D9" w:themeFill="background1" w:themeFillShade="D9"/>
          </w:tcPr>
          <w:p w:rsidR="00B85068" w:rsidRPr="00215DDF" w:rsidRDefault="000865D6" w:rsidP="00B85068">
            <w:pPr>
              <w:spacing w:before="0" w:after="0"/>
              <w:jc w:val="left"/>
              <w:rPr>
                <w:rFonts w:ascii="Calibri" w:eastAsia="Times New Roman" w:hAnsi="Calibri" w:cs="Calibri"/>
                <w:color w:val="000000"/>
                <w:sz w:val="20"/>
                <w:szCs w:val="20"/>
                <w:lang w:eastAsia="cs-CZ"/>
              </w:rPr>
            </w:pPr>
            <w:r w:rsidRPr="000228EE">
              <w:rPr>
                <w:rFonts w:ascii="Calibri" w:eastAsia="Times New Roman" w:hAnsi="Calibri" w:cs="Calibri"/>
                <w:color w:val="000000"/>
                <w:sz w:val="20"/>
                <w:szCs w:val="20"/>
                <w:lang w:eastAsia="cs-CZ"/>
              </w:rPr>
              <w:t xml:space="preserve">Prvoinstanční vyvl. úřady </w:t>
            </w:r>
            <w:r w:rsidR="00FA2E6D">
              <w:rPr>
                <w:rFonts w:ascii="Calibri" w:eastAsia="Times New Roman" w:hAnsi="Calibri" w:cs="Calibri"/>
                <w:color w:val="000000"/>
                <w:sz w:val="20"/>
                <w:szCs w:val="20"/>
                <w:lang w:eastAsia="cs-CZ"/>
              </w:rPr>
              <w:t xml:space="preserve">ze SSÚ </w:t>
            </w:r>
            <w:r w:rsidRPr="000228EE">
              <w:rPr>
                <w:rFonts w:ascii="Calibri" w:eastAsia="Times New Roman" w:hAnsi="Calibri" w:cs="Calibri"/>
                <w:color w:val="000000"/>
                <w:sz w:val="20"/>
                <w:szCs w:val="20"/>
                <w:lang w:eastAsia="cs-CZ"/>
              </w:rPr>
              <w:t xml:space="preserve">(ve Variantě 1 půjde o přesun úředníků/úvazků z ORP a ÚČSM </w:t>
            </w:r>
            <w:r>
              <w:rPr>
                <w:rFonts w:ascii="Calibri" w:eastAsia="Times New Roman" w:hAnsi="Calibri" w:cs="Calibri"/>
                <w:color w:val="000000"/>
                <w:sz w:val="20"/>
                <w:szCs w:val="20"/>
                <w:lang w:eastAsia="cs-CZ"/>
              </w:rPr>
              <w:t>pod státní SOSÚ</w:t>
            </w:r>
            <w:r w:rsidRPr="000228EE">
              <w:rPr>
                <w:rFonts w:ascii="Calibri" w:eastAsia="Times New Roman" w:hAnsi="Calibri" w:cs="Calibri"/>
                <w:color w:val="000000"/>
                <w:sz w:val="20"/>
                <w:szCs w:val="20"/>
                <w:lang w:eastAsia="cs-CZ"/>
              </w:rPr>
              <w:t>)</w:t>
            </w:r>
          </w:p>
        </w:tc>
        <w:tc>
          <w:tcPr>
            <w:tcW w:w="921" w:type="dxa"/>
            <w:shd w:val="clear" w:color="auto" w:fill="D9D9D9" w:themeFill="background1" w:themeFillShade="D9"/>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highlight w:val="yellow"/>
                <w:lang w:eastAsia="cs-CZ"/>
              </w:rPr>
            </w:pPr>
            <w:r w:rsidRPr="004A6AB4">
              <w:rPr>
                <w:rFonts w:ascii="Calibri" w:eastAsia="Times New Roman" w:hAnsi="Calibri" w:cs="Calibri"/>
                <w:b/>
                <w:bCs/>
                <w:color w:val="000000"/>
                <w:sz w:val="20"/>
                <w:szCs w:val="20"/>
                <w:lang w:eastAsia="cs-CZ"/>
              </w:rPr>
              <w:t>1 %</w:t>
            </w:r>
          </w:p>
        </w:tc>
        <w:tc>
          <w:tcPr>
            <w:tcW w:w="921" w:type="dxa"/>
            <w:shd w:val="clear" w:color="auto" w:fill="D9D9D9" w:themeFill="background1" w:themeFillShade="D9"/>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highlight w:val="yellow"/>
                <w:lang w:eastAsia="cs-CZ"/>
              </w:rPr>
            </w:pPr>
            <w:r w:rsidRPr="004A6AB4">
              <w:rPr>
                <w:rFonts w:ascii="Calibri" w:eastAsia="Times New Roman" w:hAnsi="Calibri" w:cs="Calibri"/>
                <w:b/>
                <w:bCs/>
                <w:color w:val="000000"/>
                <w:sz w:val="20"/>
                <w:szCs w:val="20"/>
                <w:lang w:eastAsia="cs-CZ"/>
              </w:rPr>
              <w:t>2 %</w:t>
            </w:r>
          </w:p>
        </w:tc>
        <w:tc>
          <w:tcPr>
            <w:tcW w:w="921" w:type="dxa"/>
            <w:shd w:val="clear" w:color="auto" w:fill="D9D9D9" w:themeFill="background1" w:themeFillShade="D9"/>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0"/>
                <w:szCs w:val="20"/>
                <w:highlight w:val="yellow"/>
                <w:lang w:eastAsia="cs-CZ"/>
              </w:rPr>
            </w:pPr>
            <w:r w:rsidRPr="004A6AB4">
              <w:rPr>
                <w:rFonts w:ascii="Calibri" w:eastAsia="Times New Roman" w:hAnsi="Calibri" w:cs="Calibri"/>
                <w:b/>
                <w:bCs/>
                <w:color w:val="000000"/>
                <w:sz w:val="20"/>
                <w:szCs w:val="20"/>
                <w:lang w:eastAsia="cs-CZ"/>
              </w:rPr>
              <w:t>5 %</w:t>
            </w:r>
          </w:p>
        </w:tc>
        <w:tc>
          <w:tcPr>
            <w:tcW w:w="922" w:type="dxa"/>
            <w:shd w:val="clear" w:color="auto" w:fill="D9D9D9" w:themeFill="background1" w:themeFillShade="D9"/>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i/>
                <w:iCs/>
                <w:color w:val="000000"/>
                <w:sz w:val="20"/>
                <w:szCs w:val="20"/>
                <w:highlight w:val="yellow"/>
                <w:lang w:eastAsia="cs-CZ"/>
              </w:rPr>
            </w:pPr>
            <w:r w:rsidRPr="004A6AB4">
              <w:rPr>
                <w:rFonts w:ascii="Calibri" w:eastAsia="Times New Roman" w:hAnsi="Calibri" w:cs="Calibri"/>
                <w:b/>
                <w:bCs/>
                <w:i/>
                <w:iCs/>
                <w:color w:val="000000"/>
                <w:sz w:val="20"/>
                <w:szCs w:val="20"/>
                <w:lang w:eastAsia="cs-CZ"/>
              </w:rPr>
              <w:t>10 %</w:t>
            </w:r>
          </w:p>
        </w:tc>
      </w:tr>
      <w:tr w:rsidR="00FC72A1" w:rsidTr="00FC72A1">
        <w:trPr>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vAlign w:val="center"/>
          </w:tcPr>
          <w:p w:rsidR="00B85068" w:rsidRPr="00215DDF" w:rsidRDefault="000865D6" w:rsidP="00B85068">
            <w:pPr>
              <w:spacing w:before="0" w:after="0"/>
              <w:jc w:val="left"/>
              <w:rPr>
                <w:rFonts w:ascii="Calibri" w:eastAsia="Times New Roman" w:hAnsi="Calibri" w:cs="Calibri"/>
                <w:color w:val="000000"/>
                <w:sz w:val="20"/>
                <w:szCs w:val="20"/>
                <w:lang w:eastAsia="cs-CZ"/>
              </w:rPr>
            </w:pPr>
            <w:r w:rsidRPr="007D0551">
              <w:rPr>
                <w:rFonts w:ascii="Calibri" w:eastAsia="Times New Roman" w:hAnsi="Calibri" w:cs="Calibri"/>
                <w:b w:val="0"/>
                <w:bCs w:val="0"/>
                <w:color w:val="000000"/>
                <w:sz w:val="20"/>
                <w:szCs w:val="20"/>
                <w:lang w:eastAsia="cs-CZ"/>
              </w:rPr>
              <w:t>Počet úředních osob na výkon agendy vyvlastňovacích úřadů</w:t>
            </w:r>
          </w:p>
        </w:tc>
        <w:tc>
          <w:tcPr>
            <w:tcW w:w="921" w:type="dxa"/>
            <w:shd w:val="clear" w:color="auto" w:fill="auto"/>
            <w:vAlign w:val="center"/>
          </w:tcPr>
          <w:p w:rsidR="00B85068" w:rsidRPr="004A6AB4" w:rsidRDefault="000865D6" w:rsidP="00B8506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color w:val="000000"/>
                <w:sz w:val="20"/>
                <w:szCs w:val="20"/>
                <w:lang w:eastAsia="cs-CZ"/>
              </w:rPr>
              <w:t>16</w:t>
            </w:r>
          </w:p>
        </w:tc>
        <w:tc>
          <w:tcPr>
            <w:tcW w:w="921" w:type="dxa"/>
            <w:shd w:val="clear" w:color="auto" w:fill="auto"/>
            <w:vAlign w:val="center"/>
          </w:tcPr>
          <w:p w:rsidR="00B85068" w:rsidRPr="004A6AB4" w:rsidRDefault="000865D6" w:rsidP="00B8506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color w:val="000000"/>
                <w:sz w:val="20"/>
                <w:szCs w:val="20"/>
                <w:lang w:eastAsia="cs-CZ"/>
              </w:rPr>
              <w:t>33</w:t>
            </w:r>
          </w:p>
        </w:tc>
        <w:tc>
          <w:tcPr>
            <w:tcW w:w="921" w:type="dxa"/>
            <w:shd w:val="clear" w:color="auto" w:fill="auto"/>
            <w:vAlign w:val="center"/>
          </w:tcPr>
          <w:p w:rsidR="00B85068" w:rsidRPr="004A6AB4" w:rsidRDefault="000865D6" w:rsidP="00B8506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color w:val="000000"/>
                <w:sz w:val="20"/>
                <w:szCs w:val="20"/>
                <w:lang w:eastAsia="cs-CZ"/>
              </w:rPr>
              <w:t>82</w:t>
            </w:r>
          </w:p>
        </w:tc>
        <w:tc>
          <w:tcPr>
            <w:tcW w:w="922" w:type="dxa"/>
            <w:shd w:val="clear" w:color="auto" w:fill="auto"/>
            <w:vAlign w:val="center"/>
          </w:tcPr>
          <w:p w:rsidR="00B85068" w:rsidRPr="004A6AB4" w:rsidRDefault="000865D6" w:rsidP="00B85068">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cs-CZ"/>
              </w:rPr>
            </w:pPr>
            <w:r w:rsidRPr="004A6AB4">
              <w:rPr>
                <w:rFonts w:ascii="Calibri" w:eastAsia="Times New Roman" w:hAnsi="Calibri" w:cs="Calibri"/>
                <w:i/>
                <w:iCs/>
                <w:color w:val="000000"/>
                <w:sz w:val="20"/>
                <w:szCs w:val="20"/>
                <w:lang w:eastAsia="cs-CZ"/>
              </w:rPr>
              <w:t>164</w:t>
            </w:r>
          </w:p>
        </w:tc>
      </w:tr>
      <w:tr w:rsidR="00FC72A1" w:rsidTr="00FC72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vAlign w:val="center"/>
          </w:tcPr>
          <w:p w:rsidR="00B85068" w:rsidRPr="00215DDF" w:rsidRDefault="000865D6" w:rsidP="00B85068">
            <w:pPr>
              <w:spacing w:before="0" w:after="0"/>
              <w:jc w:val="left"/>
              <w:rPr>
                <w:rFonts w:ascii="Calibri" w:eastAsia="Times New Roman" w:hAnsi="Calibri" w:cs="Calibri"/>
                <w:color w:val="000000"/>
                <w:sz w:val="20"/>
                <w:szCs w:val="20"/>
                <w:lang w:eastAsia="cs-CZ"/>
              </w:rPr>
            </w:pPr>
            <w:r w:rsidRPr="007D0551">
              <w:rPr>
                <w:rFonts w:ascii="Calibri" w:eastAsia="Times New Roman" w:hAnsi="Calibri" w:cs="Calibri"/>
                <w:b w:val="0"/>
                <w:bCs w:val="0"/>
                <w:color w:val="000000"/>
                <w:sz w:val="20"/>
                <w:szCs w:val="20"/>
                <w:lang w:eastAsia="cs-CZ"/>
              </w:rPr>
              <w:t>Počet úvazků na výkon agendy vyvlastňovacích úřadů</w:t>
            </w:r>
          </w:p>
        </w:tc>
        <w:tc>
          <w:tcPr>
            <w:tcW w:w="921" w:type="dxa"/>
            <w:shd w:val="clear" w:color="auto" w:fill="auto"/>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color w:val="000000"/>
                <w:sz w:val="20"/>
                <w:szCs w:val="20"/>
                <w:lang w:eastAsia="cs-CZ"/>
              </w:rPr>
              <w:t>14</w:t>
            </w:r>
          </w:p>
        </w:tc>
        <w:tc>
          <w:tcPr>
            <w:tcW w:w="921" w:type="dxa"/>
            <w:shd w:val="clear" w:color="auto" w:fill="auto"/>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color w:val="000000"/>
                <w:sz w:val="20"/>
                <w:szCs w:val="20"/>
                <w:lang w:eastAsia="cs-CZ"/>
              </w:rPr>
              <w:t>27</w:t>
            </w:r>
          </w:p>
        </w:tc>
        <w:tc>
          <w:tcPr>
            <w:tcW w:w="921" w:type="dxa"/>
            <w:shd w:val="clear" w:color="auto" w:fill="auto"/>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color w:val="000000"/>
                <w:sz w:val="20"/>
                <w:szCs w:val="20"/>
                <w:lang w:eastAsia="cs-CZ"/>
              </w:rPr>
              <w:t>68</w:t>
            </w:r>
          </w:p>
        </w:tc>
        <w:tc>
          <w:tcPr>
            <w:tcW w:w="922" w:type="dxa"/>
            <w:shd w:val="clear" w:color="auto" w:fill="auto"/>
            <w:vAlign w:val="center"/>
          </w:tcPr>
          <w:p w:rsidR="00B85068" w:rsidRPr="004A6AB4" w:rsidRDefault="000865D6" w:rsidP="00B85068">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cs-CZ"/>
              </w:rPr>
            </w:pPr>
            <w:r w:rsidRPr="004A6AB4">
              <w:rPr>
                <w:rFonts w:ascii="Calibri" w:eastAsia="Times New Roman" w:hAnsi="Calibri" w:cs="Calibri"/>
                <w:i/>
                <w:iCs/>
                <w:color w:val="000000"/>
                <w:sz w:val="20"/>
                <w:szCs w:val="20"/>
                <w:lang w:eastAsia="cs-CZ"/>
              </w:rPr>
              <w:t>136</w:t>
            </w:r>
          </w:p>
        </w:tc>
      </w:tr>
      <w:tr w:rsidR="00FC72A1" w:rsidTr="00FC72A1">
        <w:trPr>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D9D9D9" w:themeFill="background1" w:themeFillShade="D9"/>
            <w:vAlign w:val="center"/>
            <w:hideMark/>
          </w:tcPr>
          <w:p w:rsidR="000B1EC8" w:rsidRPr="003F78FE" w:rsidRDefault="000865D6" w:rsidP="007320A7">
            <w:pPr>
              <w:spacing w:before="0" w:after="0"/>
              <w:jc w:val="left"/>
              <w:rPr>
                <w:rFonts w:ascii="Calibri" w:eastAsia="Times New Roman" w:hAnsi="Calibri" w:cs="Calibri"/>
                <w:color w:val="000000"/>
                <w:sz w:val="20"/>
                <w:szCs w:val="20"/>
                <w:highlight w:val="yellow"/>
                <w:lang w:eastAsia="cs-CZ"/>
              </w:rPr>
            </w:pPr>
            <w:r w:rsidRPr="00215DDF">
              <w:rPr>
                <w:rFonts w:ascii="Calibri" w:eastAsia="Times New Roman" w:hAnsi="Calibri" w:cs="Calibri"/>
                <w:color w:val="000000"/>
                <w:sz w:val="20"/>
                <w:szCs w:val="20"/>
                <w:lang w:eastAsia="cs-CZ"/>
              </w:rPr>
              <w:t>Druhoinstanční vyvl. úřady</w:t>
            </w:r>
            <w:r w:rsidR="00C56A49" w:rsidRPr="00215DDF">
              <w:rPr>
                <w:rFonts w:ascii="Calibri" w:eastAsia="Times New Roman" w:hAnsi="Calibri" w:cs="Calibri"/>
                <w:color w:val="000000"/>
                <w:sz w:val="20"/>
                <w:szCs w:val="20"/>
                <w:lang w:eastAsia="cs-CZ"/>
              </w:rPr>
              <w:t xml:space="preserve"> (</w:t>
            </w:r>
            <w:r w:rsidR="00215DDF" w:rsidRPr="00215DDF">
              <w:rPr>
                <w:rFonts w:ascii="Calibri" w:eastAsia="Times New Roman" w:hAnsi="Calibri" w:cs="Calibri"/>
                <w:color w:val="000000"/>
                <w:sz w:val="20"/>
                <w:szCs w:val="20"/>
                <w:lang w:eastAsia="cs-CZ"/>
              </w:rPr>
              <w:t xml:space="preserve">ve Variantě 1 půjde o přesun </w:t>
            </w:r>
            <w:r w:rsidR="00C56A49">
              <w:rPr>
                <w:rFonts w:ascii="Calibri" w:eastAsia="Times New Roman" w:hAnsi="Calibri" w:cs="Calibri"/>
                <w:color w:val="000000"/>
                <w:sz w:val="20"/>
                <w:szCs w:val="20"/>
                <w:lang w:eastAsia="cs-CZ"/>
              </w:rPr>
              <w:t xml:space="preserve">z </w:t>
            </w:r>
            <w:r w:rsidR="00C56A49" w:rsidRPr="00C56A49">
              <w:rPr>
                <w:rFonts w:ascii="Calibri" w:eastAsia="Times New Roman" w:hAnsi="Calibri" w:cs="Calibri"/>
                <w:color w:val="000000"/>
                <w:sz w:val="20"/>
                <w:szCs w:val="20"/>
                <w:lang w:eastAsia="cs-CZ"/>
              </w:rPr>
              <w:t>druhoinstančních SSÚ</w:t>
            </w:r>
            <w:r w:rsidR="00215DDF">
              <w:rPr>
                <w:rFonts w:ascii="Calibri" w:eastAsia="Times New Roman" w:hAnsi="Calibri" w:cs="Calibri"/>
                <w:color w:val="000000"/>
                <w:sz w:val="20"/>
                <w:szCs w:val="20"/>
                <w:lang w:eastAsia="cs-CZ"/>
              </w:rPr>
              <w:t xml:space="preserve"> </w:t>
            </w:r>
            <w:r w:rsidR="00010678">
              <w:rPr>
                <w:rFonts w:ascii="Calibri" w:eastAsia="Times New Roman" w:hAnsi="Calibri" w:cs="Calibri"/>
                <w:color w:val="000000"/>
                <w:sz w:val="20"/>
                <w:szCs w:val="20"/>
                <w:lang w:eastAsia="cs-CZ"/>
              </w:rPr>
              <w:t xml:space="preserve">(vyjma MD a MZe) </w:t>
            </w:r>
            <w:r w:rsidR="00215DDF">
              <w:rPr>
                <w:rFonts w:ascii="Calibri" w:eastAsia="Times New Roman" w:hAnsi="Calibri" w:cs="Calibri"/>
                <w:color w:val="000000"/>
                <w:sz w:val="20"/>
                <w:szCs w:val="20"/>
                <w:lang w:eastAsia="cs-CZ"/>
              </w:rPr>
              <w:t>pod státní SOSÚ)</w:t>
            </w:r>
          </w:p>
        </w:tc>
        <w:tc>
          <w:tcPr>
            <w:tcW w:w="921" w:type="dxa"/>
            <w:shd w:val="clear" w:color="auto" w:fill="D9D9D9" w:themeFill="background1" w:themeFillShade="D9"/>
            <w:vAlign w:val="center"/>
            <w:hideMark/>
          </w:tcPr>
          <w:p w:rsidR="000B1EC8" w:rsidRPr="004A6AB4"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cs-CZ"/>
              </w:rPr>
            </w:pPr>
            <w:r w:rsidRPr="004A6AB4">
              <w:rPr>
                <w:rFonts w:ascii="Calibri" w:eastAsia="Times New Roman" w:hAnsi="Calibri" w:cs="Calibri"/>
                <w:b/>
                <w:bCs/>
                <w:color w:val="000000"/>
                <w:sz w:val="20"/>
                <w:szCs w:val="20"/>
                <w:lang w:eastAsia="cs-CZ"/>
              </w:rPr>
              <w:t>1 %</w:t>
            </w:r>
          </w:p>
        </w:tc>
        <w:tc>
          <w:tcPr>
            <w:tcW w:w="921" w:type="dxa"/>
            <w:shd w:val="clear" w:color="auto" w:fill="D9D9D9" w:themeFill="background1" w:themeFillShade="D9"/>
            <w:vAlign w:val="center"/>
            <w:hideMark/>
          </w:tcPr>
          <w:p w:rsidR="000B1EC8" w:rsidRPr="004A6AB4"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cs-CZ"/>
              </w:rPr>
            </w:pPr>
            <w:r w:rsidRPr="004A6AB4">
              <w:rPr>
                <w:rFonts w:ascii="Calibri" w:eastAsia="Times New Roman" w:hAnsi="Calibri" w:cs="Calibri"/>
                <w:b/>
                <w:bCs/>
                <w:color w:val="000000"/>
                <w:sz w:val="20"/>
                <w:szCs w:val="20"/>
                <w:lang w:eastAsia="cs-CZ"/>
              </w:rPr>
              <w:t>2 %</w:t>
            </w:r>
          </w:p>
        </w:tc>
        <w:tc>
          <w:tcPr>
            <w:tcW w:w="921" w:type="dxa"/>
            <w:shd w:val="clear" w:color="auto" w:fill="D9D9D9" w:themeFill="background1" w:themeFillShade="D9"/>
            <w:vAlign w:val="center"/>
          </w:tcPr>
          <w:p w:rsidR="000B1EC8" w:rsidRPr="004A6AB4"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0"/>
                <w:szCs w:val="20"/>
                <w:lang w:eastAsia="cs-CZ"/>
              </w:rPr>
            </w:pPr>
            <w:r w:rsidRPr="004A6AB4">
              <w:rPr>
                <w:rFonts w:ascii="Calibri" w:eastAsia="Times New Roman" w:hAnsi="Calibri" w:cs="Calibri"/>
                <w:b/>
                <w:bCs/>
                <w:color w:val="000000"/>
                <w:sz w:val="20"/>
                <w:szCs w:val="20"/>
                <w:lang w:eastAsia="cs-CZ"/>
              </w:rPr>
              <w:t>5 %</w:t>
            </w:r>
          </w:p>
        </w:tc>
        <w:tc>
          <w:tcPr>
            <w:tcW w:w="922" w:type="dxa"/>
            <w:shd w:val="clear" w:color="auto" w:fill="D9D9D9" w:themeFill="background1" w:themeFillShade="D9"/>
            <w:vAlign w:val="center"/>
          </w:tcPr>
          <w:p w:rsidR="000B1EC8" w:rsidRPr="004A6AB4"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i/>
                <w:iCs/>
                <w:color w:val="000000"/>
                <w:sz w:val="20"/>
                <w:szCs w:val="20"/>
                <w:lang w:eastAsia="cs-CZ"/>
              </w:rPr>
            </w:pPr>
            <w:r w:rsidRPr="004A6AB4">
              <w:rPr>
                <w:rFonts w:ascii="Calibri" w:eastAsia="Times New Roman" w:hAnsi="Calibri" w:cs="Calibri"/>
                <w:b/>
                <w:bCs/>
                <w:i/>
                <w:iCs/>
                <w:color w:val="000000"/>
                <w:sz w:val="20"/>
                <w:szCs w:val="20"/>
                <w:lang w:eastAsia="cs-CZ"/>
              </w:rPr>
              <w:t>10 %</w:t>
            </w:r>
          </w:p>
        </w:tc>
      </w:tr>
      <w:tr w:rsidR="00FC72A1" w:rsidTr="00FC72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vAlign w:val="center"/>
            <w:hideMark/>
          </w:tcPr>
          <w:p w:rsidR="000B1EC8" w:rsidRPr="00B85068" w:rsidRDefault="000865D6" w:rsidP="007320A7">
            <w:pPr>
              <w:spacing w:before="0" w:after="0"/>
              <w:jc w:val="left"/>
              <w:rPr>
                <w:rFonts w:ascii="Calibri" w:eastAsia="Times New Roman" w:hAnsi="Calibri" w:cs="Calibri"/>
                <w:color w:val="000000"/>
                <w:sz w:val="20"/>
                <w:szCs w:val="20"/>
                <w:lang w:eastAsia="cs-CZ"/>
              </w:rPr>
            </w:pPr>
            <w:r w:rsidRPr="00B85068">
              <w:rPr>
                <w:rFonts w:ascii="Calibri" w:eastAsia="Times New Roman" w:hAnsi="Calibri" w:cs="Calibri"/>
                <w:b w:val="0"/>
                <w:bCs w:val="0"/>
                <w:color w:val="000000"/>
                <w:sz w:val="20"/>
                <w:szCs w:val="20"/>
                <w:lang w:eastAsia="cs-CZ"/>
              </w:rPr>
              <w:t>Počet úředních osob na výkon agendy vyvlastňovacích úřadů</w:t>
            </w:r>
          </w:p>
        </w:tc>
        <w:tc>
          <w:tcPr>
            <w:tcW w:w="921" w:type="dxa"/>
            <w:shd w:val="clear" w:color="auto" w:fill="auto"/>
            <w:vAlign w:val="center"/>
          </w:tcPr>
          <w:p w:rsidR="000B1EC8" w:rsidRPr="00B85068"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2</w:t>
            </w:r>
          </w:p>
        </w:tc>
        <w:tc>
          <w:tcPr>
            <w:tcW w:w="921" w:type="dxa"/>
            <w:shd w:val="clear" w:color="auto" w:fill="auto"/>
            <w:vAlign w:val="center"/>
          </w:tcPr>
          <w:p w:rsidR="000B1EC8" w:rsidRPr="00B85068"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3</w:t>
            </w:r>
          </w:p>
        </w:tc>
        <w:tc>
          <w:tcPr>
            <w:tcW w:w="921" w:type="dxa"/>
            <w:shd w:val="clear" w:color="auto" w:fill="auto"/>
            <w:vAlign w:val="center"/>
          </w:tcPr>
          <w:p w:rsidR="000B1EC8" w:rsidRPr="00B85068"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8</w:t>
            </w:r>
          </w:p>
        </w:tc>
        <w:tc>
          <w:tcPr>
            <w:tcW w:w="922" w:type="dxa"/>
            <w:shd w:val="clear" w:color="auto" w:fill="auto"/>
            <w:vAlign w:val="center"/>
          </w:tcPr>
          <w:p w:rsidR="000B1EC8" w:rsidRPr="00B85068" w:rsidRDefault="000865D6" w:rsidP="007320A7">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1</w:t>
            </w:r>
            <w:r w:rsidR="003E297E">
              <w:rPr>
                <w:rFonts w:ascii="Calibri" w:eastAsia="Times New Roman" w:hAnsi="Calibri" w:cs="Calibri"/>
                <w:i/>
                <w:iCs/>
                <w:color w:val="000000"/>
                <w:sz w:val="20"/>
                <w:szCs w:val="20"/>
                <w:lang w:eastAsia="cs-CZ"/>
              </w:rPr>
              <w:t>6</w:t>
            </w:r>
          </w:p>
        </w:tc>
      </w:tr>
      <w:tr w:rsidR="00FC72A1" w:rsidTr="00FC72A1">
        <w:trPr>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auto"/>
            <w:vAlign w:val="center"/>
          </w:tcPr>
          <w:p w:rsidR="000B1EC8" w:rsidRPr="00B85068" w:rsidRDefault="000865D6" w:rsidP="007320A7">
            <w:pPr>
              <w:spacing w:before="0" w:after="0"/>
              <w:jc w:val="left"/>
              <w:rPr>
                <w:rFonts w:ascii="Calibri" w:eastAsia="Times New Roman" w:hAnsi="Calibri" w:cs="Calibri"/>
                <w:color w:val="000000"/>
                <w:sz w:val="20"/>
                <w:szCs w:val="20"/>
                <w:lang w:eastAsia="cs-CZ"/>
              </w:rPr>
            </w:pPr>
            <w:r w:rsidRPr="00B85068">
              <w:rPr>
                <w:rFonts w:ascii="Calibri" w:eastAsia="Times New Roman" w:hAnsi="Calibri" w:cs="Calibri"/>
                <w:b w:val="0"/>
                <w:bCs w:val="0"/>
                <w:color w:val="000000"/>
                <w:sz w:val="20"/>
                <w:szCs w:val="20"/>
                <w:lang w:eastAsia="cs-CZ"/>
              </w:rPr>
              <w:t xml:space="preserve">Počet úvazků na výkon agendy vyvlastňovacích </w:t>
            </w:r>
            <w:r w:rsidRPr="00B85068">
              <w:rPr>
                <w:rFonts w:ascii="Calibri" w:eastAsia="Times New Roman" w:hAnsi="Calibri" w:cs="Calibri"/>
                <w:b w:val="0"/>
                <w:bCs w:val="0"/>
                <w:color w:val="000000"/>
                <w:sz w:val="20"/>
                <w:szCs w:val="20"/>
                <w:lang w:eastAsia="cs-CZ"/>
              </w:rPr>
              <w:t>úřadů</w:t>
            </w:r>
          </w:p>
        </w:tc>
        <w:tc>
          <w:tcPr>
            <w:tcW w:w="921" w:type="dxa"/>
            <w:shd w:val="clear" w:color="auto" w:fill="auto"/>
            <w:vAlign w:val="center"/>
          </w:tcPr>
          <w:p w:rsidR="000B1EC8" w:rsidRPr="00B85068"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w:t>
            </w:r>
          </w:p>
        </w:tc>
        <w:tc>
          <w:tcPr>
            <w:tcW w:w="921" w:type="dxa"/>
            <w:shd w:val="clear" w:color="auto" w:fill="auto"/>
            <w:vAlign w:val="center"/>
          </w:tcPr>
          <w:p w:rsidR="000B1EC8" w:rsidRPr="00B85068"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3</w:t>
            </w:r>
          </w:p>
        </w:tc>
        <w:tc>
          <w:tcPr>
            <w:tcW w:w="921" w:type="dxa"/>
            <w:shd w:val="clear" w:color="auto" w:fill="auto"/>
            <w:vAlign w:val="center"/>
          </w:tcPr>
          <w:p w:rsidR="000B1EC8" w:rsidRPr="00B85068"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7</w:t>
            </w:r>
          </w:p>
        </w:tc>
        <w:tc>
          <w:tcPr>
            <w:tcW w:w="922" w:type="dxa"/>
            <w:shd w:val="clear" w:color="auto" w:fill="auto"/>
            <w:vAlign w:val="center"/>
          </w:tcPr>
          <w:p w:rsidR="000B1EC8" w:rsidRPr="00B85068" w:rsidRDefault="000865D6" w:rsidP="007320A7">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1</w:t>
            </w:r>
            <w:r w:rsidR="003E297E">
              <w:rPr>
                <w:rFonts w:ascii="Calibri" w:eastAsia="Times New Roman" w:hAnsi="Calibri" w:cs="Calibri"/>
                <w:i/>
                <w:iCs/>
                <w:color w:val="000000"/>
                <w:sz w:val="20"/>
                <w:szCs w:val="20"/>
                <w:lang w:eastAsia="cs-CZ"/>
              </w:rPr>
              <w:t>3</w:t>
            </w:r>
          </w:p>
        </w:tc>
      </w:tr>
      <w:tr w:rsidR="00FC72A1" w:rsidTr="00FC72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7" w:type="dxa"/>
            <w:shd w:val="clear" w:color="auto" w:fill="D9D9D9" w:themeFill="background1" w:themeFillShade="D9"/>
            <w:vAlign w:val="center"/>
          </w:tcPr>
          <w:p w:rsidR="00EE77D6" w:rsidRPr="00B85068" w:rsidRDefault="000865D6" w:rsidP="00EE77D6">
            <w:pPr>
              <w:spacing w:before="0" w:after="0"/>
              <w:jc w:val="left"/>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Celkem</w:t>
            </w:r>
          </w:p>
        </w:tc>
        <w:tc>
          <w:tcPr>
            <w:tcW w:w="921" w:type="dxa"/>
            <w:shd w:val="clear" w:color="auto" w:fill="D9D9D9" w:themeFill="background1" w:themeFillShade="D9"/>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b/>
                <w:bCs/>
                <w:color w:val="000000"/>
                <w:sz w:val="20"/>
                <w:szCs w:val="20"/>
                <w:lang w:eastAsia="cs-CZ"/>
              </w:rPr>
              <w:t>1 %</w:t>
            </w:r>
          </w:p>
        </w:tc>
        <w:tc>
          <w:tcPr>
            <w:tcW w:w="921" w:type="dxa"/>
            <w:shd w:val="clear" w:color="auto" w:fill="D9D9D9" w:themeFill="background1" w:themeFillShade="D9"/>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b/>
                <w:bCs/>
                <w:color w:val="000000"/>
                <w:sz w:val="20"/>
                <w:szCs w:val="20"/>
                <w:lang w:eastAsia="cs-CZ"/>
              </w:rPr>
              <w:t>2 %</w:t>
            </w:r>
          </w:p>
        </w:tc>
        <w:tc>
          <w:tcPr>
            <w:tcW w:w="921" w:type="dxa"/>
            <w:shd w:val="clear" w:color="auto" w:fill="D9D9D9" w:themeFill="background1" w:themeFillShade="D9"/>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sidRPr="004A6AB4">
              <w:rPr>
                <w:rFonts w:ascii="Calibri" w:eastAsia="Times New Roman" w:hAnsi="Calibri" w:cs="Calibri"/>
                <w:b/>
                <w:bCs/>
                <w:color w:val="000000"/>
                <w:sz w:val="20"/>
                <w:szCs w:val="20"/>
                <w:lang w:eastAsia="cs-CZ"/>
              </w:rPr>
              <w:t>5 %</w:t>
            </w:r>
          </w:p>
        </w:tc>
        <w:tc>
          <w:tcPr>
            <w:tcW w:w="922" w:type="dxa"/>
            <w:shd w:val="clear" w:color="auto" w:fill="D9D9D9" w:themeFill="background1" w:themeFillShade="D9"/>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cs-CZ"/>
              </w:rPr>
            </w:pPr>
            <w:r w:rsidRPr="004A6AB4">
              <w:rPr>
                <w:rFonts w:ascii="Calibri" w:eastAsia="Times New Roman" w:hAnsi="Calibri" w:cs="Calibri"/>
                <w:b/>
                <w:bCs/>
                <w:i/>
                <w:iCs/>
                <w:color w:val="000000"/>
                <w:sz w:val="20"/>
                <w:szCs w:val="20"/>
                <w:lang w:eastAsia="cs-CZ"/>
              </w:rPr>
              <w:t>10 %</w:t>
            </w:r>
          </w:p>
        </w:tc>
      </w:tr>
      <w:tr w:rsidR="00FC72A1" w:rsidTr="00FC72A1">
        <w:trPr>
          <w:trHeight w:val="288"/>
        </w:trPr>
        <w:tc>
          <w:tcPr>
            <w:cnfStyle w:val="001000000000" w:firstRow="0" w:lastRow="0" w:firstColumn="1" w:lastColumn="0" w:oddVBand="0" w:evenVBand="0" w:oddHBand="0" w:evenHBand="0" w:firstRowFirstColumn="0" w:firstRowLastColumn="0" w:lastRowFirstColumn="0" w:lastRowLastColumn="0"/>
            <w:tcW w:w="5387" w:type="dxa"/>
            <w:tcBorders>
              <w:bottom w:val="dotted" w:sz="4" w:space="0" w:color="auto"/>
            </w:tcBorders>
            <w:shd w:val="clear" w:color="auto" w:fill="auto"/>
            <w:vAlign w:val="center"/>
          </w:tcPr>
          <w:p w:rsidR="00EE77D6" w:rsidRPr="00B85068" w:rsidRDefault="000865D6" w:rsidP="00EE77D6">
            <w:pPr>
              <w:spacing w:before="0" w:after="0"/>
              <w:jc w:val="left"/>
              <w:rPr>
                <w:rFonts w:ascii="Calibri" w:eastAsia="Times New Roman" w:hAnsi="Calibri" w:cs="Calibri"/>
                <w:color w:val="000000"/>
                <w:sz w:val="20"/>
                <w:szCs w:val="20"/>
                <w:lang w:eastAsia="cs-CZ"/>
              </w:rPr>
            </w:pPr>
            <w:r w:rsidRPr="00B85068">
              <w:rPr>
                <w:rFonts w:ascii="Calibri" w:eastAsia="Times New Roman" w:hAnsi="Calibri" w:cs="Calibri"/>
                <w:b w:val="0"/>
                <w:bCs w:val="0"/>
                <w:color w:val="000000"/>
                <w:sz w:val="20"/>
                <w:szCs w:val="20"/>
                <w:lang w:eastAsia="cs-CZ"/>
              </w:rPr>
              <w:t>Počet úředních osob na výkon agendy vyvlastňovacích úřadů</w:t>
            </w:r>
          </w:p>
        </w:tc>
        <w:tc>
          <w:tcPr>
            <w:tcW w:w="921" w:type="dxa"/>
            <w:tcBorders>
              <w:bottom w:val="dotted" w:sz="4" w:space="0" w:color="auto"/>
            </w:tcBorders>
            <w:shd w:val="clear" w:color="auto" w:fill="auto"/>
            <w:vAlign w:val="center"/>
          </w:tcPr>
          <w:p w:rsidR="00EE77D6" w:rsidRDefault="000865D6" w:rsidP="00EE77D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42</w:t>
            </w:r>
          </w:p>
        </w:tc>
        <w:tc>
          <w:tcPr>
            <w:tcW w:w="921" w:type="dxa"/>
            <w:tcBorders>
              <w:bottom w:val="dotted" w:sz="4" w:space="0" w:color="auto"/>
            </w:tcBorders>
            <w:shd w:val="clear" w:color="auto" w:fill="auto"/>
            <w:vAlign w:val="center"/>
          </w:tcPr>
          <w:p w:rsidR="00EE77D6" w:rsidRDefault="000865D6" w:rsidP="00EE77D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8</w:t>
            </w:r>
            <w:r w:rsidR="003E297E">
              <w:rPr>
                <w:rFonts w:ascii="Calibri" w:eastAsia="Times New Roman" w:hAnsi="Calibri" w:cs="Calibri"/>
                <w:color w:val="000000"/>
                <w:sz w:val="20"/>
                <w:szCs w:val="20"/>
                <w:lang w:eastAsia="cs-CZ"/>
              </w:rPr>
              <w:t>4</w:t>
            </w:r>
          </w:p>
        </w:tc>
        <w:tc>
          <w:tcPr>
            <w:tcW w:w="921" w:type="dxa"/>
            <w:tcBorders>
              <w:bottom w:val="dotted" w:sz="4" w:space="0" w:color="auto"/>
            </w:tcBorders>
            <w:shd w:val="clear" w:color="auto" w:fill="auto"/>
            <w:vAlign w:val="center"/>
          </w:tcPr>
          <w:p w:rsidR="00EE77D6" w:rsidRDefault="000865D6" w:rsidP="00EE77D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2</w:t>
            </w:r>
            <w:r w:rsidR="003E297E">
              <w:rPr>
                <w:rFonts w:ascii="Calibri" w:eastAsia="Times New Roman" w:hAnsi="Calibri" w:cs="Calibri"/>
                <w:color w:val="000000"/>
                <w:sz w:val="20"/>
                <w:szCs w:val="20"/>
                <w:lang w:eastAsia="cs-CZ"/>
              </w:rPr>
              <w:t>09</w:t>
            </w:r>
          </w:p>
        </w:tc>
        <w:tc>
          <w:tcPr>
            <w:tcW w:w="922" w:type="dxa"/>
            <w:tcBorders>
              <w:bottom w:val="dotted" w:sz="4" w:space="0" w:color="auto"/>
            </w:tcBorders>
            <w:shd w:val="clear" w:color="auto" w:fill="auto"/>
            <w:vAlign w:val="center"/>
          </w:tcPr>
          <w:p w:rsidR="00EE77D6" w:rsidRDefault="000865D6" w:rsidP="00EE77D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4</w:t>
            </w:r>
            <w:r w:rsidR="003E297E">
              <w:rPr>
                <w:rFonts w:ascii="Calibri" w:eastAsia="Times New Roman" w:hAnsi="Calibri" w:cs="Calibri"/>
                <w:i/>
                <w:iCs/>
                <w:color w:val="000000"/>
                <w:sz w:val="20"/>
                <w:szCs w:val="20"/>
                <w:lang w:eastAsia="cs-CZ"/>
              </w:rPr>
              <w:t>19</w:t>
            </w:r>
          </w:p>
        </w:tc>
      </w:tr>
      <w:tr w:rsidR="00FC72A1" w:rsidTr="00FC72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5387" w:type="dxa"/>
            <w:tcBorders>
              <w:bottom w:val="single" w:sz="4" w:space="0" w:color="auto"/>
            </w:tcBorders>
            <w:shd w:val="clear" w:color="auto" w:fill="auto"/>
            <w:vAlign w:val="center"/>
          </w:tcPr>
          <w:p w:rsidR="00EE77D6" w:rsidRPr="00B85068" w:rsidRDefault="000865D6" w:rsidP="00EE77D6">
            <w:pPr>
              <w:spacing w:before="0" w:after="0"/>
              <w:jc w:val="left"/>
              <w:rPr>
                <w:rFonts w:ascii="Calibri" w:eastAsia="Times New Roman" w:hAnsi="Calibri" w:cs="Calibri"/>
                <w:color w:val="000000"/>
                <w:sz w:val="20"/>
                <w:szCs w:val="20"/>
                <w:lang w:eastAsia="cs-CZ"/>
              </w:rPr>
            </w:pPr>
            <w:r w:rsidRPr="00B85068">
              <w:rPr>
                <w:rFonts w:ascii="Calibri" w:eastAsia="Times New Roman" w:hAnsi="Calibri" w:cs="Calibri"/>
                <w:b w:val="0"/>
                <w:bCs w:val="0"/>
                <w:color w:val="000000"/>
                <w:sz w:val="20"/>
                <w:szCs w:val="20"/>
                <w:lang w:eastAsia="cs-CZ"/>
              </w:rPr>
              <w:lastRenderedPageBreak/>
              <w:t>Počet úvazků na výkon agendy vyvlastňovacích úřadů</w:t>
            </w:r>
          </w:p>
        </w:tc>
        <w:tc>
          <w:tcPr>
            <w:tcW w:w="921" w:type="dxa"/>
            <w:tcBorders>
              <w:bottom w:val="single" w:sz="4" w:space="0" w:color="auto"/>
            </w:tcBorders>
            <w:shd w:val="clear" w:color="auto" w:fill="auto"/>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38</w:t>
            </w:r>
          </w:p>
        </w:tc>
        <w:tc>
          <w:tcPr>
            <w:tcW w:w="921" w:type="dxa"/>
            <w:tcBorders>
              <w:bottom w:val="single" w:sz="4" w:space="0" w:color="auto"/>
            </w:tcBorders>
            <w:shd w:val="clear" w:color="auto" w:fill="auto"/>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76</w:t>
            </w:r>
          </w:p>
        </w:tc>
        <w:tc>
          <w:tcPr>
            <w:tcW w:w="921" w:type="dxa"/>
            <w:tcBorders>
              <w:bottom w:val="single" w:sz="4" w:space="0" w:color="auto"/>
            </w:tcBorders>
            <w:shd w:val="clear" w:color="auto" w:fill="auto"/>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eastAsia="cs-CZ"/>
              </w:rPr>
            </w:pPr>
            <w:r>
              <w:rPr>
                <w:rFonts w:ascii="Calibri" w:eastAsia="Times New Roman" w:hAnsi="Calibri" w:cs="Calibri"/>
                <w:color w:val="000000"/>
                <w:sz w:val="20"/>
                <w:szCs w:val="20"/>
                <w:lang w:eastAsia="cs-CZ"/>
              </w:rPr>
              <w:t>189</w:t>
            </w:r>
          </w:p>
        </w:tc>
        <w:tc>
          <w:tcPr>
            <w:tcW w:w="922" w:type="dxa"/>
            <w:tcBorders>
              <w:bottom w:val="single" w:sz="4" w:space="0" w:color="auto"/>
            </w:tcBorders>
            <w:shd w:val="clear" w:color="auto" w:fill="auto"/>
            <w:vAlign w:val="center"/>
          </w:tcPr>
          <w:p w:rsidR="00EE77D6" w:rsidRDefault="000865D6" w:rsidP="00EE77D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color w:val="000000"/>
                <w:sz w:val="20"/>
                <w:szCs w:val="20"/>
                <w:lang w:eastAsia="cs-CZ"/>
              </w:rPr>
            </w:pPr>
            <w:r>
              <w:rPr>
                <w:rFonts w:ascii="Calibri" w:eastAsia="Times New Roman" w:hAnsi="Calibri" w:cs="Calibri"/>
                <w:i/>
                <w:iCs/>
                <w:color w:val="000000"/>
                <w:sz w:val="20"/>
                <w:szCs w:val="20"/>
                <w:lang w:eastAsia="cs-CZ"/>
              </w:rPr>
              <w:t>37</w:t>
            </w:r>
            <w:r w:rsidR="003E297E">
              <w:rPr>
                <w:rFonts w:ascii="Calibri" w:eastAsia="Times New Roman" w:hAnsi="Calibri" w:cs="Calibri"/>
                <w:i/>
                <w:iCs/>
                <w:color w:val="000000"/>
                <w:sz w:val="20"/>
                <w:szCs w:val="20"/>
                <w:lang w:eastAsia="cs-CZ"/>
              </w:rPr>
              <w:t>7</w:t>
            </w:r>
          </w:p>
        </w:tc>
      </w:tr>
    </w:tbl>
    <w:p w:rsidR="000B1EC8" w:rsidRPr="00010678" w:rsidRDefault="000865D6" w:rsidP="000B1EC8">
      <w:pPr>
        <w:pStyle w:val="Normln-tun"/>
      </w:pPr>
      <w:r w:rsidRPr="00010678">
        <w:t xml:space="preserve">Celkem pak tedy budeme jednorázové náklady spojené s novou strukturou </w:t>
      </w:r>
      <w:r w:rsidRPr="00010678">
        <w:t>odhadovat pro 3</w:t>
      </w:r>
      <w:r w:rsidR="00010678" w:rsidRPr="00010678">
        <w:t>8</w:t>
      </w:r>
      <w:r w:rsidRPr="00010678">
        <w:t xml:space="preserve"> až 1</w:t>
      </w:r>
      <w:r w:rsidR="00010678" w:rsidRPr="00010678">
        <w:t>89</w:t>
      </w:r>
      <w:r w:rsidRPr="00010678">
        <w:t xml:space="preserve"> pracovních úvazků (10% podíl agendy vyvlastňování na agendě stavebních úřadů se dle </w:t>
      </w:r>
      <w:r w:rsidR="00010678">
        <w:t>údajů poskytnutých příslušnými úřady</w:t>
      </w:r>
      <w:r w:rsidRPr="00010678">
        <w:t xml:space="preserve"> jeví jako příliš vysoký). </w:t>
      </w:r>
    </w:p>
    <w:p w:rsidR="000B1EC8" w:rsidRPr="00FA2E6D" w:rsidRDefault="000865D6" w:rsidP="000B1EC8">
      <w:pPr>
        <w:pStyle w:val="Normln-tun"/>
      </w:pPr>
      <w:r w:rsidRPr="00FA2E6D">
        <w:t xml:space="preserve">Je však třeba říci, že pokud úspěšně proběhne legislativní proces a </w:t>
      </w:r>
      <w:r w:rsidR="00010678" w:rsidRPr="00FA2E6D">
        <w:t>novela</w:t>
      </w:r>
      <w:r w:rsidRPr="00FA2E6D">
        <w:t xml:space="preserve"> </w:t>
      </w:r>
      <w:r w:rsidR="00FA2E6D">
        <w:t xml:space="preserve">nového </w:t>
      </w:r>
      <w:r w:rsidRPr="00FA2E6D">
        <w:t>stavební</w:t>
      </w:r>
      <w:r w:rsidR="00010678" w:rsidRPr="00FA2E6D">
        <w:t>ho</w:t>
      </w:r>
      <w:r w:rsidRPr="00FA2E6D">
        <w:t xml:space="preserve"> zákon</w:t>
      </w:r>
      <w:r w:rsidR="00010678" w:rsidRPr="00FA2E6D">
        <w:t>a</w:t>
      </w:r>
      <w:r w:rsidRPr="00FA2E6D">
        <w:t xml:space="preserve"> vejde v platnost, </w:t>
      </w:r>
      <w:r w:rsidR="00FA2E6D">
        <w:t xml:space="preserve">část </w:t>
      </w:r>
      <w:r w:rsidRPr="00FA2E6D">
        <w:t>níže uveden</w:t>
      </w:r>
      <w:r w:rsidR="00FA2E6D">
        <w:t>ých</w:t>
      </w:r>
      <w:r w:rsidRPr="00FA2E6D">
        <w:t xml:space="preserve"> náklad</w:t>
      </w:r>
      <w:r w:rsidR="00FA2E6D">
        <w:t>ů</w:t>
      </w:r>
      <w:r w:rsidRPr="00FA2E6D">
        <w:t xml:space="preserve"> bud</w:t>
      </w:r>
      <w:r w:rsidR="00FA2E6D">
        <w:t>e</w:t>
      </w:r>
      <w:r w:rsidRPr="00FA2E6D">
        <w:t xml:space="preserve"> vynaložen</w:t>
      </w:r>
      <w:r w:rsidR="00FA2E6D">
        <w:t>a</w:t>
      </w:r>
      <w:r w:rsidRPr="00FA2E6D">
        <w:t xml:space="preserve"> jako součást </w:t>
      </w:r>
      <w:r w:rsidR="00FA2E6D" w:rsidRPr="00FA2E6D">
        <w:t>její implementace</w:t>
      </w:r>
      <w:r w:rsidR="00FA2E6D">
        <w:t xml:space="preserve"> (konkrétně vytvoření SOSÚ</w:t>
      </w:r>
      <w:r w:rsidR="00857B64">
        <w:t>, tj. přibližně polovina nákladů</w:t>
      </w:r>
      <w:r w:rsidR="00FA2E6D">
        <w:t>)</w:t>
      </w:r>
      <w:r w:rsidRPr="00FA2E6D">
        <w:t xml:space="preserve">. Při hodnocení dopadů </w:t>
      </w:r>
      <w:r w:rsidR="00FA2E6D" w:rsidRPr="00FA2E6D">
        <w:t>novely</w:t>
      </w:r>
      <w:r w:rsidRPr="00FA2E6D">
        <w:t xml:space="preserve"> </w:t>
      </w:r>
      <w:r w:rsidR="00FA2E6D">
        <w:t xml:space="preserve">nového </w:t>
      </w:r>
      <w:r w:rsidR="00FA2E6D" w:rsidRPr="00FA2E6D">
        <w:t xml:space="preserve">stavebního zákona </w:t>
      </w:r>
      <w:r w:rsidRPr="00FA2E6D">
        <w:t>bylo pracováno s celkovým počtem</w:t>
      </w:r>
      <w:r w:rsidRPr="00FA2E6D">
        <w:t xml:space="preserve"> úvazků a úředních osob na stavebních úřadech, konzervativně nebylo provedeno ponížení o procentuální část, kterou dále vyhrazujeme pro vyvlastňovací úřady. Navíc u provozních nákladů půjde o navýšení nákladů na straně státní správy a snížení nákladů na st</w:t>
      </w:r>
      <w:r w:rsidRPr="00FA2E6D">
        <w:t>raně samosprávy, která nyní vykonává agendu vyvlastňovacích úřadů v přenesené působnosti.</w:t>
      </w:r>
    </w:p>
    <w:tbl>
      <w:tblPr>
        <w:tblStyle w:val="Tabulkaseznamu21"/>
        <w:tblW w:w="9072" w:type="dxa"/>
        <w:tblLayout w:type="fixed"/>
        <w:tblLook w:val="04A0" w:firstRow="1" w:lastRow="0" w:firstColumn="1" w:lastColumn="0" w:noHBand="0" w:noVBand="1"/>
      </w:tblPr>
      <w:tblGrid>
        <w:gridCol w:w="4395"/>
        <w:gridCol w:w="2126"/>
        <w:gridCol w:w="2551"/>
      </w:tblGrid>
      <w:tr w:rsidR="00FC72A1" w:rsidTr="00FC72A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tcBorders>
              <w:bottom w:val="double" w:sz="4" w:space="0" w:color="auto"/>
            </w:tcBorders>
            <w:noWrap/>
            <w:tcMar>
              <w:left w:w="28" w:type="dxa"/>
              <w:right w:w="28" w:type="dxa"/>
            </w:tcMar>
            <w:vAlign w:val="center"/>
          </w:tcPr>
          <w:p w:rsidR="000B1EC8" w:rsidRPr="00FA2E6D" w:rsidRDefault="000865D6" w:rsidP="007320A7">
            <w:pPr>
              <w:widowControl w:val="0"/>
              <w:spacing w:beforeLines="40" w:before="96" w:afterLines="40" w:after="96"/>
              <w:rPr>
                <w:rFonts w:asciiTheme="minorHAnsi" w:hAnsiTheme="minorHAnsi" w:cstheme="minorHAnsi"/>
                <w:i/>
                <w:iCs/>
                <w:color w:val="000000"/>
                <w:sz w:val="20"/>
                <w:szCs w:val="20"/>
              </w:rPr>
            </w:pPr>
            <w:r w:rsidRPr="00FA2E6D">
              <w:rPr>
                <w:rFonts w:asciiTheme="minorHAnsi" w:hAnsiTheme="minorHAnsi" w:cstheme="minorHAnsi"/>
                <w:bCs w:val="0"/>
                <w:i/>
                <w:iCs/>
                <w:color w:val="000000"/>
                <w:sz w:val="20"/>
                <w:szCs w:val="20"/>
              </w:rPr>
              <w:t>Kategorie nákladů</w:t>
            </w:r>
          </w:p>
        </w:tc>
        <w:tc>
          <w:tcPr>
            <w:tcW w:w="2126" w:type="dxa"/>
            <w:tcBorders>
              <w:bottom w:val="double" w:sz="4" w:space="0" w:color="auto"/>
            </w:tcBorders>
            <w:noWrap/>
            <w:tcMar>
              <w:left w:w="28" w:type="dxa"/>
              <w:right w:w="28" w:type="dxa"/>
            </w:tcMar>
            <w:vAlign w:val="center"/>
          </w:tcPr>
          <w:p w:rsidR="000B1EC8" w:rsidRPr="00FA2E6D" w:rsidRDefault="000865D6" w:rsidP="007320A7">
            <w:pPr>
              <w:widowControl w:v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r w:rsidRPr="00FA2E6D">
              <w:rPr>
                <w:rFonts w:asciiTheme="minorHAnsi" w:hAnsiTheme="minorHAnsi" w:cstheme="minorHAnsi"/>
                <w:bCs w:val="0"/>
                <w:i/>
                <w:color w:val="000000"/>
                <w:sz w:val="20"/>
                <w:szCs w:val="20"/>
              </w:rPr>
              <w:t>Hodnota</w:t>
            </w:r>
          </w:p>
        </w:tc>
        <w:tc>
          <w:tcPr>
            <w:tcW w:w="2551" w:type="dxa"/>
            <w:tcBorders>
              <w:bottom w:val="double" w:sz="4" w:space="0" w:color="auto"/>
            </w:tcBorders>
            <w:noWrap/>
            <w:tcMar>
              <w:left w:w="28" w:type="dxa"/>
              <w:right w:w="28" w:type="dxa"/>
            </w:tcMar>
            <w:vAlign w:val="center"/>
          </w:tcPr>
          <w:p w:rsidR="000B1EC8" w:rsidRPr="00FA2E6D" w:rsidRDefault="000865D6" w:rsidP="007320A7">
            <w:pPr>
              <w:widowControl w:val="0"/>
              <w:spacing w:beforeLines="40" w:before="96" w:afterLines="40" w:after="96"/>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000000"/>
                <w:sz w:val="20"/>
                <w:szCs w:val="20"/>
              </w:rPr>
            </w:pPr>
            <w:r w:rsidRPr="00FA2E6D">
              <w:rPr>
                <w:rFonts w:asciiTheme="minorHAnsi" w:hAnsiTheme="minorHAnsi" w:cstheme="minorHAnsi"/>
                <w:bCs w:val="0"/>
                <w:i/>
                <w:color w:val="000000"/>
                <w:sz w:val="20"/>
                <w:szCs w:val="20"/>
              </w:rPr>
              <w:t>Komentář</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double" w:sz="4" w:space="0" w:color="auto"/>
              <w:bottom w:val="nil"/>
            </w:tcBorders>
            <w:shd w:val="clear" w:color="auto" w:fill="FFCC99"/>
            <w:noWrap/>
            <w:tcMar>
              <w:left w:w="28" w:type="dxa"/>
              <w:right w:w="28" w:type="dxa"/>
            </w:tcMar>
            <w:vAlign w:val="center"/>
            <w:hideMark/>
          </w:tcPr>
          <w:p w:rsidR="000B1EC8" w:rsidRPr="00FA2E6D" w:rsidRDefault="000865D6" w:rsidP="007320A7">
            <w:pPr>
              <w:widowControl w:val="0"/>
              <w:spacing w:beforeLines="40" w:before="96" w:afterLines="40" w:after="96"/>
              <w:rPr>
                <w:rFonts w:asciiTheme="minorHAnsi" w:hAnsiTheme="minorHAnsi" w:cstheme="minorHAnsi"/>
                <w:iCs/>
                <w:smallCaps/>
                <w:color w:val="000000"/>
                <w:szCs w:val="24"/>
              </w:rPr>
            </w:pPr>
            <w:r w:rsidRPr="00FA2E6D">
              <w:rPr>
                <w:rFonts w:asciiTheme="minorHAnsi" w:hAnsiTheme="minorHAnsi" w:cstheme="minorHAnsi"/>
                <w:iCs/>
                <w:smallCaps/>
                <w:color w:val="000000"/>
                <w:szCs w:val="24"/>
              </w:rPr>
              <w:t xml:space="preserve">Náklady jednorázové </w:t>
            </w:r>
          </w:p>
        </w:tc>
        <w:tc>
          <w:tcPr>
            <w:tcW w:w="2126" w:type="dxa"/>
            <w:tcBorders>
              <w:top w:val="double" w:sz="4" w:space="0" w:color="auto"/>
              <w:bottom w:val="nil"/>
            </w:tcBorders>
            <w:shd w:val="clear" w:color="auto" w:fill="FFCC99"/>
            <w:noWrap/>
            <w:tcMar>
              <w:left w:w="28" w:type="dxa"/>
              <w:right w:w="28" w:type="dxa"/>
            </w:tcMar>
            <w:vAlign w:val="center"/>
          </w:tcPr>
          <w:p w:rsidR="000B1EC8" w:rsidRPr="00FA2E6D" w:rsidRDefault="000B1EC8" w:rsidP="007320A7">
            <w:pPr>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p>
        </w:tc>
        <w:tc>
          <w:tcPr>
            <w:tcW w:w="2551" w:type="dxa"/>
            <w:tcBorders>
              <w:top w:val="double" w:sz="4" w:space="0" w:color="auto"/>
              <w:bottom w:val="nil"/>
            </w:tcBorders>
            <w:shd w:val="clear" w:color="auto" w:fill="FFCC99"/>
            <w:noWrap/>
            <w:tcMar>
              <w:left w:w="28" w:type="dxa"/>
              <w:right w:w="28" w:type="dxa"/>
            </w:tcMar>
            <w:vAlign w:val="center"/>
          </w:tcPr>
          <w:p w:rsidR="000B1EC8" w:rsidRPr="00FA2E6D" w:rsidRDefault="000B1EC8" w:rsidP="007320A7">
            <w:pPr>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noWrap/>
            <w:tcMar>
              <w:left w:w="28" w:type="dxa"/>
              <w:right w:w="28" w:type="dxa"/>
            </w:tcMar>
            <w:vAlign w:val="center"/>
          </w:tcPr>
          <w:p w:rsidR="000B1EC8" w:rsidRPr="00FA2E6D" w:rsidRDefault="000865D6" w:rsidP="007320A7">
            <w:pPr>
              <w:widowControl w:val="0"/>
              <w:spacing w:beforeLines="40" w:before="96" w:afterLines="40" w:after="96"/>
              <w:rPr>
                <w:rFonts w:asciiTheme="minorHAnsi" w:hAnsiTheme="minorHAnsi" w:cstheme="minorHAnsi"/>
                <w:color w:val="000000"/>
                <w:sz w:val="20"/>
                <w:szCs w:val="20"/>
              </w:rPr>
            </w:pPr>
            <w:r w:rsidRPr="00FA2E6D">
              <w:rPr>
                <w:rFonts w:asciiTheme="minorHAnsi" w:hAnsiTheme="minorHAnsi" w:cstheme="minorHAnsi"/>
                <w:color w:val="000000"/>
                <w:sz w:val="20"/>
                <w:szCs w:val="20"/>
              </w:rPr>
              <w:t xml:space="preserve">Náklady spojené s vytvořením 1 pracovního místa </w:t>
            </w:r>
            <w:r w:rsidRPr="00FA2E6D">
              <w:rPr>
                <w:rFonts w:asciiTheme="minorHAnsi" w:hAnsiTheme="minorHAnsi" w:cstheme="minorHAnsi"/>
                <w:b w:val="0"/>
                <w:i/>
                <w:color w:val="000000"/>
                <w:sz w:val="20"/>
                <w:szCs w:val="20"/>
              </w:rPr>
              <w:t>(nákup ICT a kancelářského vybavení aj.)</w:t>
            </w:r>
          </w:p>
        </w:tc>
        <w:tc>
          <w:tcPr>
            <w:tcW w:w="2126" w:type="dxa"/>
            <w:tcBorders>
              <w:top w:val="nil"/>
              <w:bottom w:val="nil"/>
            </w:tcBorders>
            <w:noWrap/>
            <w:tcMar>
              <w:left w:w="28" w:type="dxa"/>
              <w:right w:w="28" w:type="dxa"/>
            </w:tcMar>
            <w:vAlign w:val="center"/>
          </w:tcPr>
          <w:p w:rsidR="000B1EC8" w:rsidRPr="00FA2E6D" w:rsidRDefault="000865D6" w:rsidP="007320A7">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FA2E6D">
              <w:rPr>
                <w:rFonts w:asciiTheme="minorHAnsi" w:hAnsiTheme="minorHAnsi" w:cstheme="minorHAnsi"/>
                <w:bCs/>
                <w:color w:val="000000"/>
                <w:sz w:val="20"/>
                <w:szCs w:val="20"/>
              </w:rPr>
              <w:t>3,</w:t>
            </w:r>
            <w:r w:rsidR="00FA2E6D" w:rsidRPr="00FA2E6D">
              <w:rPr>
                <w:rFonts w:asciiTheme="minorHAnsi" w:hAnsiTheme="minorHAnsi" w:cstheme="minorHAnsi"/>
                <w:bCs/>
                <w:color w:val="000000"/>
                <w:sz w:val="20"/>
                <w:szCs w:val="20"/>
              </w:rPr>
              <w:t>8</w:t>
            </w:r>
            <w:r w:rsidRPr="00FA2E6D">
              <w:rPr>
                <w:rFonts w:asciiTheme="minorHAnsi" w:hAnsiTheme="minorHAnsi" w:cstheme="minorHAnsi"/>
                <w:bCs/>
                <w:color w:val="000000"/>
                <w:sz w:val="20"/>
                <w:szCs w:val="20"/>
              </w:rPr>
              <w:t xml:space="preserve"> mil. Kč                        až </w:t>
            </w:r>
            <w:r w:rsidR="00FA2E6D" w:rsidRPr="00FA2E6D">
              <w:rPr>
                <w:rFonts w:asciiTheme="minorHAnsi" w:hAnsiTheme="minorHAnsi" w:cstheme="minorHAnsi"/>
                <w:bCs/>
                <w:color w:val="000000"/>
                <w:sz w:val="20"/>
                <w:szCs w:val="20"/>
              </w:rPr>
              <w:t>18,9</w:t>
            </w:r>
            <w:r w:rsidRPr="00FA2E6D">
              <w:rPr>
                <w:rFonts w:asciiTheme="minorHAnsi" w:hAnsiTheme="minorHAnsi" w:cstheme="minorHAnsi"/>
                <w:bCs/>
                <w:color w:val="000000"/>
                <w:sz w:val="20"/>
                <w:szCs w:val="20"/>
              </w:rPr>
              <w:t xml:space="preserve"> mil. Kč</w:t>
            </w:r>
          </w:p>
        </w:tc>
        <w:tc>
          <w:tcPr>
            <w:tcW w:w="2551" w:type="dxa"/>
            <w:tcBorders>
              <w:top w:val="nil"/>
              <w:bottom w:val="nil"/>
            </w:tcBorders>
            <w:noWrap/>
            <w:tcMar>
              <w:left w:w="28" w:type="dxa"/>
              <w:right w:w="28" w:type="dxa"/>
            </w:tcMar>
            <w:vAlign w:val="center"/>
          </w:tcPr>
          <w:p w:rsidR="000B1EC8" w:rsidRPr="00FA2E6D" w:rsidRDefault="000865D6" w:rsidP="007320A7">
            <w:pPr>
              <w:pStyle w:val="Default"/>
              <w:spacing w:beforeLines="40" w:before="96" w:afterLines="40" w:after="96"/>
              <w:ind w:right="-28"/>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A2E6D">
              <w:rPr>
                <w:rFonts w:asciiTheme="minorHAnsi" w:hAnsiTheme="minorHAnsi" w:cstheme="minorHAnsi"/>
                <w:sz w:val="20"/>
                <w:szCs w:val="20"/>
              </w:rPr>
              <w:t xml:space="preserve">100 tis. Kč na každé pracovní místo </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shd w:val="clear" w:color="auto" w:fill="F2F2F2" w:themeFill="background1" w:themeFillShade="F2"/>
            <w:noWrap/>
            <w:tcMar>
              <w:left w:w="28" w:type="dxa"/>
              <w:right w:w="28" w:type="dxa"/>
            </w:tcMar>
            <w:vAlign w:val="center"/>
          </w:tcPr>
          <w:p w:rsidR="000B1EC8" w:rsidRPr="00FA2E6D" w:rsidRDefault="000865D6" w:rsidP="007320A7">
            <w:pPr>
              <w:widowControl w:val="0"/>
              <w:spacing w:beforeLines="40" w:before="96" w:afterLines="40" w:after="96"/>
              <w:rPr>
                <w:rFonts w:asciiTheme="minorHAnsi" w:hAnsiTheme="minorHAnsi" w:cstheme="minorHAnsi"/>
                <w:color w:val="000000"/>
                <w:sz w:val="20"/>
                <w:szCs w:val="20"/>
              </w:rPr>
            </w:pPr>
            <w:r w:rsidRPr="00FA2E6D">
              <w:rPr>
                <w:rFonts w:asciiTheme="minorHAnsi" w:hAnsiTheme="minorHAnsi" w:cstheme="minorHAnsi"/>
                <w:color w:val="000000"/>
                <w:sz w:val="20"/>
                <w:szCs w:val="20"/>
              </w:rPr>
              <w:t>Jednorázové výdaje na zajištění vyšší specializace</w:t>
            </w:r>
            <w:r w:rsidRPr="00FA2E6D">
              <w:rPr>
                <w:rFonts w:asciiTheme="minorHAnsi" w:hAnsiTheme="minorHAnsi" w:cstheme="minorHAnsi"/>
                <w:b w:val="0"/>
                <w:color w:val="000000"/>
                <w:sz w:val="20"/>
                <w:szCs w:val="20"/>
              </w:rPr>
              <w:t xml:space="preserve"> </w:t>
            </w:r>
            <w:r w:rsidRPr="00FA2E6D">
              <w:rPr>
                <w:rFonts w:asciiTheme="minorHAnsi" w:hAnsiTheme="minorHAnsi" w:cstheme="minorHAnsi"/>
                <w:color w:val="000000"/>
                <w:sz w:val="20"/>
                <w:szCs w:val="20"/>
              </w:rPr>
              <w:t xml:space="preserve">a profesionalizace zaměstnanců </w:t>
            </w:r>
          </w:p>
        </w:tc>
        <w:tc>
          <w:tcPr>
            <w:tcW w:w="2126" w:type="dxa"/>
            <w:tcBorders>
              <w:top w:val="nil"/>
              <w:bottom w:val="nil"/>
            </w:tcBorders>
            <w:shd w:val="clear" w:color="auto" w:fill="F2F2F2" w:themeFill="background1" w:themeFillShade="F2"/>
            <w:noWrap/>
            <w:tcMar>
              <w:left w:w="28" w:type="dxa"/>
              <w:right w:w="28" w:type="dxa"/>
            </w:tcMar>
            <w:vAlign w:val="center"/>
          </w:tcPr>
          <w:p w:rsidR="000B1EC8" w:rsidRPr="00FA2E6D" w:rsidRDefault="000865D6" w:rsidP="007320A7">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FA2E6D">
              <w:rPr>
                <w:rFonts w:asciiTheme="minorHAnsi" w:hAnsiTheme="minorHAnsi" w:cstheme="minorHAnsi"/>
                <w:color w:val="000000"/>
                <w:sz w:val="20"/>
                <w:szCs w:val="20"/>
              </w:rPr>
              <w:t>0,</w:t>
            </w:r>
            <w:r w:rsidR="00FA2E6D" w:rsidRPr="00FA2E6D">
              <w:rPr>
                <w:rFonts w:asciiTheme="minorHAnsi" w:hAnsiTheme="minorHAnsi" w:cstheme="minorHAnsi"/>
                <w:color w:val="000000"/>
                <w:sz w:val="20"/>
                <w:szCs w:val="20"/>
              </w:rPr>
              <w:t>114</w:t>
            </w:r>
            <w:r w:rsidRPr="00FA2E6D">
              <w:rPr>
                <w:rFonts w:asciiTheme="minorHAnsi" w:hAnsiTheme="minorHAnsi" w:cstheme="minorHAnsi"/>
                <w:color w:val="000000"/>
                <w:sz w:val="20"/>
                <w:szCs w:val="20"/>
              </w:rPr>
              <w:t xml:space="preserve"> mil. Kč                   až 0,</w:t>
            </w:r>
            <w:r w:rsidR="00FA2E6D" w:rsidRPr="00FA2E6D">
              <w:rPr>
                <w:rFonts w:asciiTheme="minorHAnsi" w:hAnsiTheme="minorHAnsi" w:cstheme="minorHAnsi"/>
                <w:color w:val="000000"/>
                <w:sz w:val="20"/>
                <w:szCs w:val="20"/>
              </w:rPr>
              <w:t>567</w:t>
            </w:r>
            <w:r w:rsidRPr="00FA2E6D">
              <w:rPr>
                <w:rFonts w:asciiTheme="minorHAnsi" w:hAnsiTheme="minorHAnsi" w:cstheme="minorHAnsi"/>
                <w:color w:val="000000"/>
                <w:sz w:val="20"/>
                <w:szCs w:val="20"/>
              </w:rPr>
              <w:t xml:space="preserve"> mil. Kč</w:t>
            </w:r>
          </w:p>
        </w:tc>
        <w:tc>
          <w:tcPr>
            <w:tcW w:w="2551" w:type="dxa"/>
            <w:tcBorders>
              <w:top w:val="nil"/>
              <w:bottom w:val="nil"/>
            </w:tcBorders>
            <w:shd w:val="clear" w:color="auto" w:fill="F2F2F2" w:themeFill="background1" w:themeFillShade="F2"/>
            <w:noWrap/>
            <w:tcMar>
              <w:left w:w="28" w:type="dxa"/>
              <w:right w:w="28" w:type="dxa"/>
            </w:tcMar>
            <w:vAlign w:val="center"/>
          </w:tcPr>
          <w:p w:rsidR="000B1EC8" w:rsidRPr="00FA2E6D" w:rsidRDefault="000865D6" w:rsidP="007320A7">
            <w:pPr>
              <w:pStyle w:val="Default"/>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FA2E6D">
              <w:rPr>
                <w:rFonts w:asciiTheme="minorHAnsi" w:hAnsiTheme="minorHAnsi" w:cstheme="minorHAnsi"/>
                <w:sz w:val="20"/>
                <w:szCs w:val="20"/>
              </w:rPr>
              <w:t>3 tis. Kč na osobu</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shd w:val="clear" w:color="auto" w:fill="F2F2F2" w:themeFill="background1" w:themeFillShade="F2"/>
            <w:noWrap/>
            <w:tcMar>
              <w:left w:w="28" w:type="dxa"/>
              <w:right w:w="28" w:type="dxa"/>
            </w:tcMar>
            <w:vAlign w:val="center"/>
          </w:tcPr>
          <w:p w:rsidR="000B1EC8" w:rsidRPr="00FA2E6D" w:rsidRDefault="000865D6" w:rsidP="007320A7">
            <w:pPr>
              <w:widowControl w:val="0"/>
              <w:spacing w:beforeLines="40" w:before="96" w:afterLines="40" w:after="96"/>
              <w:rPr>
                <w:rFonts w:asciiTheme="minorHAnsi" w:hAnsiTheme="minorHAnsi" w:cstheme="minorHAnsi"/>
                <w:color w:val="000000"/>
                <w:sz w:val="20"/>
                <w:szCs w:val="20"/>
              </w:rPr>
            </w:pPr>
            <w:r w:rsidRPr="00FA2E6D">
              <w:rPr>
                <w:rFonts w:asciiTheme="minorHAnsi" w:hAnsiTheme="minorHAnsi" w:cstheme="minorHAnsi"/>
                <w:color w:val="000000"/>
                <w:sz w:val="20"/>
                <w:szCs w:val="20"/>
              </w:rPr>
              <w:t>Náklady na migraci</w:t>
            </w:r>
            <w:r w:rsidRPr="00FA2E6D">
              <w:rPr>
                <w:rFonts w:asciiTheme="minorHAnsi" w:hAnsiTheme="minorHAnsi" w:cstheme="minorHAnsi"/>
                <w:color w:val="000000"/>
                <w:sz w:val="20"/>
                <w:szCs w:val="20"/>
              </w:rPr>
              <w:t xml:space="preserve"> digitálních dat</w:t>
            </w:r>
          </w:p>
        </w:tc>
        <w:tc>
          <w:tcPr>
            <w:tcW w:w="2126" w:type="dxa"/>
            <w:tcBorders>
              <w:top w:val="nil"/>
              <w:bottom w:val="nil"/>
            </w:tcBorders>
            <w:shd w:val="clear" w:color="auto" w:fill="F2F2F2" w:themeFill="background1" w:themeFillShade="F2"/>
            <w:noWrap/>
            <w:tcMar>
              <w:left w:w="28" w:type="dxa"/>
              <w:right w:w="28" w:type="dxa"/>
            </w:tcMar>
            <w:vAlign w:val="center"/>
          </w:tcPr>
          <w:p w:rsidR="000B1EC8" w:rsidRPr="00FA2E6D" w:rsidRDefault="000865D6" w:rsidP="007320A7">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r w:rsidRPr="00FA2E6D">
              <w:rPr>
                <w:rFonts w:asciiTheme="minorHAnsi" w:hAnsiTheme="minorHAnsi" w:cstheme="minorHAnsi"/>
                <w:bCs/>
                <w:color w:val="000000"/>
                <w:sz w:val="20"/>
                <w:szCs w:val="20"/>
              </w:rPr>
              <w:t>Jednotky mil. Kč</w:t>
            </w:r>
          </w:p>
        </w:tc>
        <w:tc>
          <w:tcPr>
            <w:tcW w:w="2551" w:type="dxa"/>
            <w:tcBorders>
              <w:top w:val="nil"/>
              <w:bottom w:val="nil"/>
            </w:tcBorders>
            <w:shd w:val="clear" w:color="auto" w:fill="F2F2F2" w:themeFill="background1" w:themeFillShade="F2"/>
            <w:noWrap/>
            <w:tcMar>
              <w:left w:w="28" w:type="dxa"/>
              <w:right w:w="28" w:type="dxa"/>
            </w:tcMar>
            <w:vAlign w:val="center"/>
          </w:tcPr>
          <w:p w:rsidR="000B1EC8" w:rsidRPr="00FA2E6D" w:rsidRDefault="000B1EC8" w:rsidP="007320A7">
            <w:pPr>
              <w:widowControl w:val="0"/>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shd w:val="clear" w:color="auto" w:fill="FFFFFF" w:themeFill="background1"/>
            <w:noWrap/>
            <w:tcMar>
              <w:left w:w="28" w:type="dxa"/>
              <w:right w:w="28" w:type="dxa"/>
            </w:tcMar>
            <w:vAlign w:val="center"/>
          </w:tcPr>
          <w:p w:rsidR="000B1EC8" w:rsidRPr="00FA2E6D" w:rsidRDefault="000865D6" w:rsidP="007320A7">
            <w:pPr>
              <w:widowControl w:val="0"/>
              <w:spacing w:beforeLines="40" w:before="96" w:afterLines="40" w:after="96"/>
              <w:rPr>
                <w:rFonts w:asciiTheme="minorHAnsi" w:hAnsiTheme="minorHAnsi" w:cstheme="minorHAnsi"/>
                <w:color w:val="000000"/>
                <w:sz w:val="20"/>
                <w:szCs w:val="20"/>
              </w:rPr>
            </w:pPr>
            <w:r w:rsidRPr="00FA2E6D">
              <w:rPr>
                <w:rFonts w:asciiTheme="minorHAnsi" w:hAnsiTheme="minorHAnsi" w:cstheme="minorHAnsi"/>
                <w:color w:val="000000"/>
                <w:sz w:val="20"/>
                <w:szCs w:val="20"/>
              </w:rPr>
              <w:t>Náklady na spisovou rozluku živých spisů (stěhování archiválií bude možné realizovat postupně)</w:t>
            </w:r>
          </w:p>
        </w:tc>
        <w:tc>
          <w:tcPr>
            <w:tcW w:w="2126" w:type="dxa"/>
            <w:tcBorders>
              <w:top w:val="nil"/>
              <w:bottom w:val="nil"/>
            </w:tcBorders>
            <w:shd w:val="clear" w:color="auto" w:fill="FFFFFF" w:themeFill="background1"/>
            <w:noWrap/>
            <w:tcMar>
              <w:left w:w="28" w:type="dxa"/>
              <w:right w:w="28" w:type="dxa"/>
            </w:tcMar>
            <w:vAlign w:val="center"/>
          </w:tcPr>
          <w:p w:rsidR="000B1EC8" w:rsidRPr="00FA2E6D" w:rsidRDefault="000865D6" w:rsidP="007320A7">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color w:val="000000"/>
                <w:sz w:val="20"/>
                <w:szCs w:val="20"/>
              </w:rPr>
            </w:pPr>
            <w:r w:rsidRPr="00FA2E6D">
              <w:rPr>
                <w:rFonts w:asciiTheme="minorHAnsi" w:hAnsiTheme="minorHAnsi" w:cstheme="minorHAnsi"/>
                <w:bCs/>
                <w:color w:val="000000"/>
                <w:sz w:val="20"/>
                <w:szCs w:val="20"/>
              </w:rPr>
              <w:t>Jednotky mil. Kč</w:t>
            </w:r>
          </w:p>
        </w:tc>
        <w:tc>
          <w:tcPr>
            <w:tcW w:w="2551" w:type="dxa"/>
            <w:tcBorders>
              <w:top w:val="nil"/>
              <w:bottom w:val="nil"/>
            </w:tcBorders>
            <w:shd w:val="clear" w:color="auto" w:fill="FFFFFF" w:themeFill="background1"/>
            <w:noWrap/>
            <w:tcMar>
              <w:left w:w="28" w:type="dxa"/>
              <w:right w:w="28" w:type="dxa"/>
            </w:tcMar>
            <w:vAlign w:val="center"/>
          </w:tcPr>
          <w:p w:rsidR="000B1EC8" w:rsidRPr="00FA2E6D" w:rsidRDefault="000865D6" w:rsidP="007320A7">
            <w:pPr>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FA2E6D">
              <w:rPr>
                <w:rFonts w:asciiTheme="minorHAnsi" w:hAnsiTheme="minorHAnsi" w:cstheme="minorHAnsi"/>
                <w:color w:val="000000"/>
                <w:sz w:val="20"/>
                <w:szCs w:val="20"/>
              </w:rPr>
              <w:t>Pokud se rozpustí v čase, je náklad zanedbatelný.</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double" w:sz="4" w:space="0" w:color="auto"/>
              <w:bottom w:val="nil"/>
            </w:tcBorders>
            <w:shd w:val="clear" w:color="auto" w:fill="FFCC99"/>
            <w:noWrap/>
            <w:tcMar>
              <w:left w:w="28" w:type="dxa"/>
              <w:right w:w="28" w:type="dxa"/>
            </w:tcMar>
            <w:vAlign w:val="center"/>
            <w:hideMark/>
          </w:tcPr>
          <w:p w:rsidR="000B1EC8" w:rsidRPr="00857B64" w:rsidRDefault="000865D6" w:rsidP="007320A7">
            <w:pPr>
              <w:widowControl w:val="0"/>
              <w:spacing w:beforeLines="40" w:before="96" w:afterLines="40" w:after="96"/>
              <w:rPr>
                <w:rFonts w:asciiTheme="minorHAnsi" w:hAnsiTheme="minorHAnsi" w:cstheme="minorHAnsi"/>
                <w:i/>
                <w:iCs/>
                <w:color w:val="000000"/>
                <w:szCs w:val="24"/>
              </w:rPr>
            </w:pPr>
            <w:r w:rsidRPr="00857B64">
              <w:rPr>
                <w:rFonts w:asciiTheme="minorHAnsi" w:hAnsiTheme="minorHAnsi" w:cstheme="minorHAnsi"/>
                <w:iCs/>
                <w:smallCaps/>
                <w:color w:val="000000"/>
                <w:szCs w:val="24"/>
              </w:rPr>
              <w:t>Roční provozní náklady</w:t>
            </w:r>
          </w:p>
        </w:tc>
        <w:tc>
          <w:tcPr>
            <w:tcW w:w="2126" w:type="dxa"/>
            <w:tcBorders>
              <w:top w:val="double" w:sz="4" w:space="0" w:color="auto"/>
              <w:bottom w:val="nil"/>
            </w:tcBorders>
            <w:shd w:val="clear" w:color="auto" w:fill="FFCC99"/>
            <w:noWrap/>
            <w:tcMar>
              <w:left w:w="28" w:type="dxa"/>
              <w:right w:w="28" w:type="dxa"/>
            </w:tcMar>
            <w:vAlign w:val="center"/>
          </w:tcPr>
          <w:p w:rsidR="000B1EC8" w:rsidRPr="00857B64" w:rsidRDefault="000B1EC8" w:rsidP="007320A7">
            <w:pPr>
              <w:widowControl w:val="0"/>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p>
        </w:tc>
        <w:tc>
          <w:tcPr>
            <w:tcW w:w="2551" w:type="dxa"/>
            <w:tcBorders>
              <w:top w:val="double" w:sz="4" w:space="0" w:color="auto"/>
              <w:bottom w:val="nil"/>
            </w:tcBorders>
            <w:shd w:val="clear" w:color="auto" w:fill="FFCC99"/>
            <w:noWrap/>
            <w:tcMar>
              <w:left w:w="28" w:type="dxa"/>
              <w:right w:w="28" w:type="dxa"/>
            </w:tcMar>
            <w:vAlign w:val="center"/>
          </w:tcPr>
          <w:p w:rsidR="000B1EC8" w:rsidRPr="00857B64" w:rsidRDefault="000B1EC8" w:rsidP="007320A7">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color w:val="000000"/>
                <w:sz w:val="20"/>
                <w:szCs w:val="20"/>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tcMar>
              <w:left w:w="28" w:type="dxa"/>
              <w:right w:w="28" w:type="dxa"/>
            </w:tcMar>
            <w:vAlign w:val="center"/>
            <w:hideMark/>
          </w:tcPr>
          <w:p w:rsidR="000B1EC8" w:rsidRPr="00857B64" w:rsidRDefault="000865D6" w:rsidP="007320A7">
            <w:pPr>
              <w:widowControl w:val="0"/>
              <w:spacing w:beforeLines="40" w:before="96" w:afterLines="40" w:after="96"/>
              <w:rPr>
                <w:rFonts w:asciiTheme="minorHAnsi" w:hAnsiTheme="minorHAnsi" w:cstheme="minorHAnsi"/>
                <w:color w:val="000000"/>
                <w:sz w:val="20"/>
                <w:szCs w:val="20"/>
              </w:rPr>
            </w:pPr>
            <w:r w:rsidRPr="00857B64">
              <w:rPr>
                <w:rFonts w:asciiTheme="minorHAnsi" w:hAnsiTheme="minorHAnsi" w:cstheme="minorHAnsi"/>
                <w:color w:val="000000"/>
                <w:sz w:val="20"/>
                <w:szCs w:val="20"/>
              </w:rPr>
              <w:t xml:space="preserve">Mzdové a ostatní provozní </w:t>
            </w:r>
            <w:r w:rsidRPr="00857B64">
              <w:rPr>
                <w:rFonts w:asciiTheme="minorHAnsi" w:hAnsiTheme="minorHAnsi" w:cstheme="minorHAnsi"/>
                <w:color w:val="000000"/>
                <w:sz w:val="20"/>
                <w:szCs w:val="20"/>
              </w:rPr>
              <w:t>náklady</w:t>
            </w:r>
            <w:r w:rsidRPr="00857B64">
              <w:rPr>
                <w:rFonts w:asciiTheme="minorHAnsi" w:hAnsiTheme="minorHAnsi" w:cstheme="minorHAnsi"/>
                <w:b w:val="0"/>
                <w:color w:val="000000"/>
                <w:sz w:val="20"/>
                <w:szCs w:val="20"/>
              </w:rPr>
              <w:t xml:space="preserve"> </w:t>
            </w:r>
          </w:p>
        </w:tc>
        <w:tc>
          <w:tcPr>
            <w:tcW w:w="2126" w:type="dxa"/>
            <w:tcBorders>
              <w:top w:val="nil"/>
              <w:bottom w:val="nil"/>
            </w:tcBorders>
            <w:noWrap/>
            <w:tcMar>
              <w:left w:w="28" w:type="dxa"/>
              <w:right w:w="28" w:type="dxa"/>
            </w:tcMar>
            <w:vAlign w:val="center"/>
            <w:hideMark/>
          </w:tcPr>
          <w:p w:rsidR="000B1EC8" w:rsidRPr="00857B64" w:rsidRDefault="000865D6" w:rsidP="007320A7">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57B64">
              <w:rPr>
                <w:rFonts w:asciiTheme="minorHAnsi" w:hAnsiTheme="minorHAnsi" w:cstheme="minorHAnsi"/>
                <w:color w:val="000000"/>
                <w:sz w:val="20"/>
                <w:szCs w:val="20"/>
              </w:rPr>
              <w:t>3</w:t>
            </w:r>
            <w:r w:rsidR="00857B64" w:rsidRPr="00857B64">
              <w:rPr>
                <w:rFonts w:asciiTheme="minorHAnsi" w:hAnsiTheme="minorHAnsi" w:cstheme="minorHAnsi"/>
                <w:color w:val="000000"/>
                <w:sz w:val="20"/>
                <w:szCs w:val="20"/>
              </w:rPr>
              <w:t>9</w:t>
            </w:r>
            <w:r w:rsidRPr="00857B64">
              <w:rPr>
                <w:rFonts w:asciiTheme="minorHAnsi" w:hAnsiTheme="minorHAnsi" w:cstheme="minorHAnsi"/>
                <w:color w:val="000000"/>
                <w:sz w:val="20"/>
                <w:szCs w:val="20"/>
              </w:rPr>
              <w:t xml:space="preserve"> mil. Kč                          až 1</w:t>
            </w:r>
            <w:r w:rsidR="00857B64" w:rsidRPr="00857B64">
              <w:rPr>
                <w:rFonts w:asciiTheme="minorHAnsi" w:hAnsiTheme="minorHAnsi" w:cstheme="minorHAnsi"/>
                <w:color w:val="000000"/>
                <w:sz w:val="20"/>
                <w:szCs w:val="20"/>
              </w:rPr>
              <w:t>93</w:t>
            </w:r>
            <w:r w:rsidRPr="00857B64">
              <w:rPr>
                <w:rFonts w:asciiTheme="minorHAnsi" w:hAnsiTheme="minorHAnsi" w:cstheme="minorHAnsi"/>
                <w:color w:val="000000"/>
                <w:sz w:val="20"/>
                <w:szCs w:val="20"/>
              </w:rPr>
              <w:t xml:space="preserve"> mil. Kč</w:t>
            </w:r>
          </w:p>
          <w:p w:rsidR="000B1EC8" w:rsidRPr="00857B64" w:rsidRDefault="000865D6" w:rsidP="007320A7">
            <w:pPr>
              <w:widowControl w:val="0"/>
              <w:spacing w:beforeLines="40" w:before="96" w:afterLines="40" w:after="96"/>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57B64">
              <w:rPr>
                <w:rFonts w:asciiTheme="minorHAnsi" w:hAnsiTheme="minorHAnsi" w:cstheme="minorHAnsi"/>
                <w:i/>
                <w:iCs/>
                <w:color w:val="000000"/>
                <w:sz w:val="20"/>
                <w:szCs w:val="20"/>
              </w:rPr>
              <w:t xml:space="preserve">+ </w:t>
            </w:r>
            <w:r w:rsidR="00857B64" w:rsidRPr="00857B64">
              <w:rPr>
                <w:rFonts w:asciiTheme="minorHAnsi" w:hAnsiTheme="minorHAnsi" w:cstheme="minorHAnsi"/>
                <w:i/>
                <w:iCs/>
                <w:color w:val="000000"/>
                <w:sz w:val="20"/>
                <w:szCs w:val="20"/>
              </w:rPr>
              <w:t>3</w:t>
            </w:r>
            <w:r w:rsidRPr="00857B64">
              <w:rPr>
                <w:rFonts w:asciiTheme="minorHAnsi" w:hAnsiTheme="minorHAnsi" w:cstheme="minorHAnsi"/>
                <w:i/>
                <w:iCs/>
                <w:color w:val="000000"/>
                <w:sz w:val="20"/>
                <w:szCs w:val="20"/>
              </w:rPr>
              <w:t xml:space="preserve"> až 1</w:t>
            </w:r>
            <w:r w:rsidR="00857B64" w:rsidRPr="00857B64">
              <w:rPr>
                <w:rFonts w:asciiTheme="minorHAnsi" w:hAnsiTheme="minorHAnsi" w:cstheme="minorHAnsi"/>
                <w:i/>
                <w:iCs/>
                <w:color w:val="000000"/>
                <w:sz w:val="20"/>
                <w:szCs w:val="20"/>
              </w:rPr>
              <w:t>3</w:t>
            </w:r>
            <w:r w:rsidRPr="00857B64">
              <w:rPr>
                <w:rFonts w:asciiTheme="minorHAnsi" w:hAnsiTheme="minorHAnsi" w:cstheme="minorHAnsi"/>
                <w:i/>
                <w:iCs/>
                <w:color w:val="000000"/>
                <w:sz w:val="20"/>
                <w:szCs w:val="20"/>
              </w:rPr>
              <w:t xml:space="preserve"> úvazku na obslužný personál  (</w:t>
            </w:r>
            <w:r w:rsidR="00857B64" w:rsidRPr="00857B64">
              <w:rPr>
                <w:rFonts w:asciiTheme="minorHAnsi" w:hAnsiTheme="minorHAnsi" w:cstheme="minorHAnsi"/>
                <w:i/>
                <w:iCs/>
                <w:color w:val="000000"/>
                <w:sz w:val="20"/>
                <w:szCs w:val="20"/>
              </w:rPr>
              <w:t>3</w:t>
            </w:r>
            <w:r w:rsidRPr="00857B64">
              <w:rPr>
                <w:rFonts w:asciiTheme="minorHAnsi" w:hAnsiTheme="minorHAnsi" w:cstheme="minorHAnsi"/>
                <w:i/>
                <w:iCs/>
                <w:color w:val="000000"/>
                <w:sz w:val="20"/>
                <w:szCs w:val="20"/>
              </w:rPr>
              <w:t>,</w:t>
            </w:r>
            <w:r w:rsidR="00857B64" w:rsidRPr="00857B64">
              <w:rPr>
                <w:rFonts w:asciiTheme="minorHAnsi" w:hAnsiTheme="minorHAnsi" w:cstheme="minorHAnsi"/>
                <w:i/>
                <w:iCs/>
                <w:color w:val="000000"/>
                <w:sz w:val="20"/>
                <w:szCs w:val="20"/>
              </w:rPr>
              <w:t>1</w:t>
            </w:r>
            <w:r w:rsidRPr="00857B64">
              <w:rPr>
                <w:rFonts w:asciiTheme="minorHAnsi" w:hAnsiTheme="minorHAnsi" w:cstheme="minorHAnsi"/>
                <w:i/>
                <w:iCs/>
                <w:color w:val="000000"/>
                <w:sz w:val="20"/>
                <w:szCs w:val="20"/>
              </w:rPr>
              <w:t> až 1</w:t>
            </w:r>
            <w:r w:rsidR="00857B64" w:rsidRPr="00857B64">
              <w:rPr>
                <w:rFonts w:asciiTheme="minorHAnsi" w:hAnsiTheme="minorHAnsi" w:cstheme="minorHAnsi"/>
                <w:i/>
                <w:iCs/>
                <w:color w:val="000000"/>
                <w:sz w:val="20"/>
                <w:szCs w:val="20"/>
              </w:rPr>
              <w:t>3</w:t>
            </w:r>
            <w:r w:rsidRPr="00857B64">
              <w:rPr>
                <w:rFonts w:asciiTheme="minorHAnsi" w:hAnsiTheme="minorHAnsi" w:cstheme="minorHAnsi"/>
                <w:i/>
                <w:iCs/>
                <w:color w:val="000000"/>
                <w:sz w:val="20"/>
                <w:szCs w:val="20"/>
              </w:rPr>
              <w:t>,</w:t>
            </w:r>
            <w:r w:rsidR="00857B64" w:rsidRPr="00857B64">
              <w:rPr>
                <w:rFonts w:asciiTheme="minorHAnsi" w:hAnsiTheme="minorHAnsi" w:cstheme="minorHAnsi"/>
                <w:i/>
                <w:iCs/>
                <w:color w:val="000000"/>
                <w:sz w:val="20"/>
                <w:szCs w:val="20"/>
              </w:rPr>
              <w:t>3</w:t>
            </w:r>
            <w:r w:rsidRPr="00857B64">
              <w:rPr>
                <w:rFonts w:asciiTheme="minorHAnsi" w:hAnsiTheme="minorHAnsi" w:cstheme="minorHAnsi"/>
                <w:i/>
                <w:iCs/>
                <w:color w:val="000000"/>
                <w:sz w:val="20"/>
                <w:szCs w:val="20"/>
              </w:rPr>
              <w:t xml:space="preserve"> mil. Kč)</w:t>
            </w:r>
          </w:p>
        </w:tc>
        <w:tc>
          <w:tcPr>
            <w:tcW w:w="2551" w:type="dxa"/>
            <w:tcBorders>
              <w:top w:val="nil"/>
              <w:bottom w:val="nil"/>
            </w:tcBorders>
            <w:noWrap/>
            <w:tcMar>
              <w:left w:w="28" w:type="dxa"/>
              <w:right w:w="28" w:type="dxa"/>
            </w:tcMar>
            <w:vAlign w:val="center"/>
            <w:hideMark/>
          </w:tcPr>
          <w:p w:rsidR="000B1EC8" w:rsidRPr="00857B64" w:rsidRDefault="000865D6" w:rsidP="007320A7">
            <w:pPr>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57B64">
              <w:rPr>
                <w:rFonts w:asciiTheme="minorHAnsi" w:hAnsiTheme="minorHAnsi" w:cstheme="minorHAnsi"/>
                <w:sz w:val="20"/>
                <w:szCs w:val="20"/>
              </w:rPr>
              <w:t>643,50 Kč/hod.: měsíční plat 37 080 Kč; osobní ohodnocení 0,20; povinné odvody 0,34; režijní náklady 0,43; 8 odprac. hod. za den; 16,56</w:t>
            </w:r>
            <w:r w:rsidRPr="00857B64">
              <w:rPr>
                <w:rFonts w:asciiTheme="minorHAnsi" w:hAnsiTheme="minorHAnsi" w:cstheme="minorHAnsi"/>
                <w:sz w:val="20"/>
                <w:szCs w:val="20"/>
              </w:rPr>
              <w:t xml:space="preserve"> odprac. dnů za měs.; 12 odprac. měs. za rok </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shd w:val="clear" w:color="auto" w:fill="F2F2F2" w:themeFill="background1" w:themeFillShade="F2"/>
            <w:tcMar>
              <w:left w:w="28" w:type="dxa"/>
              <w:right w:w="28" w:type="dxa"/>
            </w:tcMar>
            <w:vAlign w:val="center"/>
          </w:tcPr>
          <w:p w:rsidR="000B1EC8" w:rsidRPr="00857B64" w:rsidRDefault="000865D6" w:rsidP="007320A7">
            <w:pPr>
              <w:widowControl w:val="0"/>
              <w:spacing w:beforeLines="40" w:before="96" w:afterLines="40" w:after="96"/>
              <w:rPr>
                <w:rFonts w:asciiTheme="minorHAnsi" w:hAnsiTheme="minorHAnsi" w:cstheme="minorHAnsi"/>
                <w:color w:val="000000"/>
                <w:sz w:val="20"/>
                <w:szCs w:val="20"/>
              </w:rPr>
            </w:pPr>
            <w:r w:rsidRPr="00857B64">
              <w:rPr>
                <w:rFonts w:asciiTheme="minorHAnsi" w:hAnsiTheme="minorHAnsi" w:cstheme="minorHAnsi"/>
                <w:color w:val="000000"/>
                <w:sz w:val="20"/>
                <w:szCs w:val="20"/>
              </w:rPr>
              <w:t>Výdaje na zajištění vyšší specializace a profesionalizace zaměstnanců SÚ</w:t>
            </w:r>
          </w:p>
          <w:p w:rsidR="000B1EC8" w:rsidRPr="00857B64" w:rsidRDefault="000865D6" w:rsidP="007320A7">
            <w:pPr>
              <w:widowControl w:val="0"/>
              <w:spacing w:beforeLines="40" w:before="96" w:afterLines="40" w:after="96"/>
              <w:rPr>
                <w:rFonts w:asciiTheme="minorHAnsi" w:hAnsiTheme="minorHAnsi" w:cstheme="minorHAnsi"/>
                <w:color w:val="000000"/>
                <w:sz w:val="20"/>
                <w:szCs w:val="20"/>
              </w:rPr>
            </w:pPr>
            <w:r w:rsidRPr="00857B64">
              <w:rPr>
                <w:rFonts w:asciiTheme="minorHAnsi" w:hAnsiTheme="minorHAnsi" w:cstheme="minorHAnsi"/>
                <w:b w:val="0"/>
                <w:i/>
                <w:color w:val="000000"/>
                <w:sz w:val="20"/>
                <w:szCs w:val="20"/>
              </w:rPr>
              <w:t>Tyto prostředky budou vykompenzovány úsporami z efektivněji a odborněji vykonávané práce</w:t>
            </w:r>
          </w:p>
        </w:tc>
        <w:tc>
          <w:tcPr>
            <w:tcW w:w="2126" w:type="dxa"/>
            <w:tcBorders>
              <w:top w:val="nil"/>
              <w:bottom w:val="nil"/>
            </w:tcBorders>
            <w:shd w:val="clear" w:color="auto" w:fill="F2F2F2" w:themeFill="background1" w:themeFillShade="F2"/>
            <w:noWrap/>
            <w:tcMar>
              <w:left w:w="28" w:type="dxa"/>
              <w:right w:w="28" w:type="dxa"/>
            </w:tcMar>
            <w:vAlign w:val="center"/>
          </w:tcPr>
          <w:p w:rsidR="000B1EC8" w:rsidRPr="00857B64" w:rsidRDefault="000865D6" w:rsidP="007320A7">
            <w:pPr>
              <w:widowControl w:val="0"/>
              <w:spacing w:beforeLines="40" w:before="96" w:afterLines="40" w:after="96"/>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57B64">
              <w:rPr>
                <w:rFonts w:asciiTheme="minorHAnsi" w:hAnsiTheme="minorHAnsi" w:cstheme="minorHAnsi"/>
                <w:color w:val="000000"/>
                <w:sz w:val="20"/>
                <w:szCs w:val="20"/>
              </w:rPr>
              <w:t xml:space="preserve">0,114 mil. Kč                   až 0,567 mil. </w:t>
            </w:r>
            <w:r w:rsidRPr="00857B64">
              <w:rPr>
                <w:rFonts w:asciiTheme="minorHAnsi" w:hAnsiTheme="minorHAnsi" w:cstheme="minorHAnsi"/>
                <w:color w:val="000000"/>
                <w:sz w:val="20"/>
                <w:szCs w:val="20"/>
              </w:rPr>
              <w:t>Kč</w:t>
            </w:r>
          </w:p>
        </w:tc>
        <w:tc>
          <w:tcPr>
            <w:tcW w:w="2551" w:type="dxa"/>
            <w:tcBorders>
              <w:top w:val="nil"/>
              <w:bottom w:val="nil"/>
            </w:tcBorders>
            <w:shd w:val="clear" w:color="auto" w:fill="F2F2F2" w:themeFill="background1" w:themeFillShade="F2"/>
            <w:noWrap/>
            <w:tcMar>
              <w:left w:w="28" w:type="dxa"/>
              <w:right w:w="28" w:type="dxa"/>
            </w:tcMar>
            <w:vAlign w:val="center"/>
          </w:tcPr>
          <w:p w:rsidR="000B1EC8" w:rsidRPr="00857B64" w:rsidRDefault="000865D6" w:rsidP="007320A7">
            <w:pPr>
              <w:widowControl w:val="0"/>
              <w:spacing w:beforeLines="40" w:before="96" w:afterLines="40" w:after="96"/>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0"/>
                <w:szCs w:val="20"/>
              </w:rPr>
            </w:pPr>
            <w:r w:rsidRPr="00857B64">
              <w:rPr>
                <w:rFonts w:asciiTheme="minorHAnsi" w:hAnsiTheme="minorHAnsi" w:cstheme="minorHAnsi"/>
                <w:sz w:val="20"/>
                <w:szCs w:val="20"/>
              </w:rPr>
              <w:t>3 tis. Kč na osobu</w:t>
            </w:r>
          </w:p>
        </w:tc>
      </w:tr>
      <w:tr w:rsidR="00FC72A1" w:rsidTr="00FC72A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395" w:type="dxa"/>
            <w:tcBorders>
              <w:top w:val="nil"/>
              <w:bottom w:val="nil"/>
            </w:tcBorders>
            <w:shd w:val="clear" w:color="auto" w:fill="FFFFFF" w:themeFill="background1"/>
            <w:tcMar>
              <w:left w:w="28" w:type="dxa"/>
              <w:right w:w="28" w:type="dxa"/>
            </w:tcMar>
            <w:vAlign w:val="center"/>
          </w:tcPr>
          <w:p w:rsidR="000B1EC8" w:rsidRPr="00857B64" w:rsidRDefault="000865D6" w:rsidP="007320A7">
            <w:pPr>
              <w:widowControl w:val="0"/>
              <w:spacing w:beforeLines="40" w:before="96" w:afterLines="40" w:after="96"/>
              <w:rPr>
                <w:rFonts w:asciiTheme="minorHAnsi" w:hAnsiTheme="minorHAnsi" w:cstheme="minorHAnsi"/>
                <w:color w:val="000000"/>
                <w:sz w:val="20"/>
                <w:szCs w:val="20"/>
              </w:rPr>
            </w:pPr>
            <w:r w:rsidRPr="00857B64">
              <w:rPr>
                <w:rFonts w:asciiTheme="minorHAnsi" w:hAnsiTheme="minorHAnsi" w:cstheme="minorHAnsi"/>
                <w:color w:val="000000"/>
                <w:sz w:val="20"/>
                <w:szCs w:val="20"/>
              </w:rPr>
              <w:t xml:space="preserve">Náklady na ICT </w:t>
            </w:r>
          </w:p>
        </w:tc>
        <w:tc>
          <w:tcPr>
            <w:tcW w:w="2126" w:type="dxa"/>
            <w:tcBorders>
              <w:top w:val="nil"/>
              <w:bottom w:val="nil"/>
            </w:tcBorders>
            <w:shd w:val="clear" w:color="auto" w:fill="FFFFFF" w:themeFill="background1"/>
            <w:noWrap/>
            <w:tcMar>
              <w:left w:w="28" w:type="dxa"/>
              <w:right w:w="28" w:type="dxa"/>
            </w:tcMar>
            <w:vAlign w:val="center"/>
          </w:tcPr>
          <w:p w:rsidR="000B1EC8" w:rsidRPr="00857B64" w:rsidRDefault="000865D6" w:rsidP="007320A7">
            <w:pPr>
              <w:widowControl w:val="0"/>
              <w:spacing w:beforeLines="40" w:before="96" w:afterLines="40" w:after="96"/>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sz w:val="20"/>
                <w:szCs w:val="20"/>
              </w:rPr>
            </w:pPr>
            <w:r w:rsidRPr="00857B64">
              <w:rPr>
                <w:rFonts w:asciiTheme="minorHAnsi" w:hAnsiTheme="minorHAnsi" w:cstheme="minorHAnsi"/>
                <w:color w:val="000000"/>
                <w:sz w:val="20"/>
                <w:szCs w:val="20"/>
              </w:rPr>
              <w:t xml:space="preserve">cca 20 % investičních nákladů </w:t>
            </w:r>
          </w:p>
        </w:tc>
        <w:tc>
          <w:tcPr>
            <w:tcW w:w="2551" w:type="dxa"/>
            <w:tcBorders>
              <w:top w:val="nil"/>
              <w:bottom w:val="nil"/>
            </w:tcBorders>
            <w:shd w:val="clear" w:color="auto" w:fill="FFFFFF" w:themeFill="background1"/>
            <w:noWrap/>
            <w:tcMar>
              <w:left w:w="28" w:type="dxa"/>
              <w:right w:w="28" w:type="dxa"/>
            </w:tcMar>
            <w:vAlign w:val="center"/>
          </w:tcPr>
          <w:p w:rsidR="000B1EC8" w:rsidRPr="00857B64" w:rsidRDefault="000865D6" w:rsidP="007320A7">
            <w:pPr>
              <w:widowControl w:val="0"/>
              <w:spacing w:beforeLines="40" w:before="96" w:afterLines="40" w:after="96"/>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20"/>
                <w:szCs w:val="20"/>
              </w:rPr>
            </w:pPr>
            <w:r w:rsidRPr="00857B64">
              <w:rPr>
                <w:rFonts w:asciiTheme="minorHAnsi" w:hAnsiTheme="minorHAnsi" w:cstheme="minorHAnsi"/>
                <w:sz w:val="20"/>
                <w:szCs w:val="20"/>
              </w:rPr>
              <w:t>Z částky provozních nákladů je třeba odečíst částku, kterou úřady platí poskytovatelům SW nyní.</w:t>
            </w:r>
          </w:p>
        </w:tc>
      </w:tr>
      <w:tr w:rsidR="00FC72A1" w:rsidTr="00FC72A1">
        <w:trPr>
          <w:trHeight w:val="20"/>
        </w:trPr>
        <w:tc>
          <w:tcPr>
            <w:cnfStyle w:val="001000000000" w:firstRow="0" w:lastRow="0" w:firstColumn="1" w:lastColumn="0" w:oddVBand="0" w:evenVBand="0" w:oddHBand="0" w:evenHBand="0" w:firstRowFirstColumn="0" w:firstRowLastColumn="0" w:lastRowFirstColumn="0" w:lastRowLastColumn="0"/>
            <w:tcW w:w="9072" w:type="dxa"/>
            <w:gridSpan w:val="3"/>
            <w:tcBorders>
              <w:top w:val="double" w:sz="4" w:space="0" w:color="auto"/>
              <w:bottom w:val="double" w:sz="4" w:space="0" w:color="auto"/>
            </w:tcBorders>
            <w:tcMar>
              <w:left w:w="28" w:type="dxa"/>
              <w:right w:w="28" w:type="dxa"/>
            </w:tcMar>
            <w:vAlign w:val="center"/>
          </w:tcPr>
          <w:p w:rsidR="000B1EC8" w:rsidRPr="0099008A" w:rsidRDefault="000865D6" w:rsidP="007320A7">
            <w:pPr>
              <w:widowControl w:val="0"/>
              <w:spacing w:beforeLines="40" w:before="96" w:afterLines="40" w:after="96"/>
              <w:jc w:val="center"/>
              <w:rPr>
                <w:rFonts w:asciiTheme="minorHAnsi" w:hAnsiTheme="minorHAnsi" w:cstheme="minorHAnsi"/>
                <w:smallCaps/>
                <w:color w:val="000000"/>
                <w:szCs w:val="24"/>
              </w:rPr>
            </w:pPr>
            <w:r w:rsidRPr="0099008A">
              <w:rPr>
                <w:rFonts w:asciiTheme="minorHAnsi" w:hAnsiTheme="minorHAnsi" w:cstheme="minorHAnsi"/>
                <w:b w:val="0"/>
                <w:smallCaps/>
                <w:color w:val="000000"/>
                <w:szCs w:val="24"/>
              </w:rPr>
              <w:t xml:space="preserve">Jednorázové náklady </w:t>
            </w:r>
            <w:r w:rsidR="0099008A" w:rsidRPr="0099008A">
              <w:rPr>
                <w:rFonts w:asciiTheme="minorHAnsi" w:hAnsiTheme="minorHAnsi" w:cstheme="minorHAnsi"/>
                <w:b w:val="0"/>
                <w:smallCaps/>
                <w:color w:val="000000"/>
                <w:szCs w:val="24"/>
              </w:rPr>
              <w:t>7</w:t>
            </w:r>
            <w:r w:rsidRPr="0099008A">
              <w:rPr>
                <w:rFonts w:asciiTheme="minorHAnsi" w:hAnsiTheme="minorHAnsi" w:cstheme="minorHAnsi"/>
                <w:b w:val="0"/>
                <w:smallCaps/>
                <w:color w:val="000000"/>
                <w:szCs w:val="24"/>
              </w:rPr>
              <w:t xml:space="preserve"> mil. Kč až </w:t>
            </w:r>
            <w:r w:rsidR="0099008A" w:rsidRPr="0099008A">
              <w:rPr>
                <w:rFonts w:asciiTheme="minorHAnsi" w:hAnsiTheme="minorHAnsi" w:cstheme="minorHAnsi"/>
                <w:b w:val="0"/>
                <w:smallCaps/>
                <w:color w:val="000000"/>
                <w:szCs w:val="24"/>
              </w:rPr>
              <w:t>22</w:t>
            </w:r>
            <w:r w:rsidRPr="0099008A">
              <w:rPr>
                <w:rFonts w:asciiTheme="minorHAnsi" w:hAnsiTheme="minorHAnsi" w:cstheme="minorHAnsi"/>
                <w:b w:val="0"/>
                <w:smallCaps/>
                <w:color w:val="000000"/>
                <w:szCs w:val="24"/>
              </w:rPr>
              <w:t xml:space="preserve"> mil. Kč</w:t>
            </w:r>
          </w:p>
          <w:p w:rsidR="000B1EC8" w:rsidRPr="0099008A" w:rsidRDefault="000865D6" w:rsidP="007320A7">
            <w:pPr>
              <w:widowControl w:val="0"/>
              <w:spacing w:beforeLines="40" w:before="96" w:afterLines="40" w:after="96"/>
              <w:jc w:val="center"/>
              <w:rPr>
                <w:rFonts w:asciiTheme="minorHAnsi" w:hAnsiTheme="minorHAnsi" w:cstheme="minorHAnsi"/>
                <w:smallCaps/>
                <w:color w:val="000000"/>
                <w:szCs w:val="24"/>
              </w:rPr>
            </w:pPr>
            <w:r w:rsidRPr="0099008A">
              <w:rPr>
                <w:rFonts w:asciiTheme="minorHAnsi" w:hAnsiTheme="minorHAnsi" w:cstheme="minorHAnsi"/>
                <w:b w:val="0"/>
                <w:smallCaps/>
                <w:color w:val="000000"/>
                <w:szCs w:val="24"/>
              </w:rPr>
              <w:t xml:space="preserve">Roční provozní náklady </w:t>
            </w:r>
            <w:r w:rsidR="0099008A" w:rsidRPr="0099008A">
              <w:rPr>
                <w:rFonts w:asciiTheme="minorHAnsi" w:hAnsiTheme="minorHAnsi" w:cstheme="minorHAnsi"/>
                <w:b w:val="0"/>
                <w:smallCaps/>
                <w:color w:val="000000"/>
                <w:szCs w:val="24"/>
              </w:rPr>
              <w:t>42</w:t>
            </w:r>
            <w:r w:rsidRPr="0099008A">
              <w:rPr>
                <w:rFonts w:asciiTheme="minorHAnsi" w:hAnsiTheme="minorHAnsi" w:cstheme="minorHAnsi"/>
                <w:b w:val="0"/>
                <w:smallCaps/>
                <w:color w:val="000000"/>
                <w:szCs w:val="24"/>
              </w:rPr>
              <w:t xml:space="preserve"> mil. Kč až </w:t>
            </w:r>
            <w:r w:rsidR="0099008A" w:rsidRPr="0099008A">
              <w:rPr>
                <w:rFonts w:asciiTheme="minorHAnsi" w:hAnsiTheme="minorHAnsi" w:cstheme="minorHAnsi"/>
                <w:b w:val="0"/>
                <w:smallCaps/>
                <w:color w:val="000000"/>
                <w:szCs w:val="24"/>
              </w:rPr>
              <w:t>207</w:t>
            </w:r>
            <w:r w:rsidRPr="0099008A">
              <w:rPr>
                <w:rFonts w:asciiTheme="minorHAnsi" w:hAnsiTheme="minorHAnsi" w:cstheme="minorHAnsi"/>
                <w:b w:val="0"/>
                <w:smallCaps/>
                <w:color w:val="000000"/>
                <w:szCs w:val="24"/>
              </w:rPr>
              <w:t xml:space="preserve"> mil. Kč za rok</w:t>
            </w:r>
          </w:p>
          <w:p w:rsidR="000B1EC8" w:rsidRPr="003F78FE" w:rsidRDefault="000865D6" w:rsidP="007320A7">
            <w:pPr>
              <w:widowControl w:val="0"/>
              <w:spacing w:beforeLines="40" w:before="96" w:afterLines="40" w:after="96"/>
              <w:jc w:val="center"/>
              <w:rPr>
                <w:rFonts w:asciiTheme="minorHAnsi" w:hAnsiTheme="minorHAnsi" w:cstheme="minorHAnsi"/>
                <w:i/>
                <w:iCs/>
                <w:smallCaps/>
                <w:color w:val="000000"/>
                <w:sz w:val="20"/>
                <w:szCs w:val="20"/>
                <w:highlight w:val="yellow"/>
              </w:rPr>
            </w:pPr>
            <w:r w:rsidRPr="0099008A">
              <w:rPr>
                <w:rFonts w:asciiTheme="minorHAnsi" w:hAnsiTheme="minorHAnsi" w:cstheme="minorHAnsi"/>
                <w:b w:val="0"/>
                <w:i/>
                <w:iCs/>
                <w:sz w:val="20"/>
                <w:szCs w:val="20"/>
              </w:rPr>
              <w:t xml:space="preserve">Od těchto nákladů není konzervativně odečtena částka, která je na výkon přenesené působnosti v současnosti vyplácena ORP a krajům. </w:t>
            </w:r>
          </w:p>
        </w:tc>
      </w:tr>
    </w:tbl>
    <w:p w:rsidR="000B1EC8" w:rsidRPr="0099008A" w:rsidRDefault="000865D6" w:rsidP="000B1EC8">
      <w:pPr>
        <w:pStyle w:val="Normln-tun"/>
        <w:rPr>
          <w:i/>
        </w:rPr>
      </w:pPr>
      <w:r w:rsidRPr="0099008A">
        <w:lastRenderedPageBreak/>
        <w:t xml:space="preserve">V návaznosti na výše provedenou kalkulaci je třeba zmínit, že v dalších fázích legislativního procesu bude </w:t>
      </w:r>
      <w:r w:rsidRPr="0099008A">
        <w:t>třeba správně nastavit kvalifikační požadavky na úředníka zajišťujícího agendu vyvlastňovacího řízení, kterou by z hlediska složitosti tohoto řízení (např. v oblasti střetu vyvlastňovacího řízení a exekučního řízení) měly zajišťovat i osoby s právnickým vz</w:t>
      </w:r>
      <w:r w:rsidRPr="0099008A">
        <w:t>děláním.</w:t>
      </w:r>
    </w:p>
    <w:p w:rsidR="00B34E14" w:rsidRDefault="00B34E14" w:rsidP="003F78FE">
      <w:pPr>
        <w:pStyle w:val="Normln-tun"/>
        <w:rPr>
          <w:highlight w:val="yellow"/>
        </w:rPr>
      </w:pPr>
    </w:p>
    <w:p w:rsidR="00B34E14" w:rsidRPr="00B34E14" w:rsidRDefault="000865D6" w:rsidP="00B34E14">
      <w:pPr>
        <w:pStyle w:val="Nadpis2a"/>
      </w:pPr>
      <w:bookmarkStart w:id="138" w:name="_Toc256000019"/>
      <w:r>
        <w:t>Vyvlastňovací řízení - p</w:t>
      </w:r>
      <w:r w:rsidRPr="00B34E14">
        <w:t>roces</w:t>
      </w:r>
      <w:bookmarkEnd w:id="138"/>
    </w:p>
    <w:p w:rsidR="003F78FE" w:rsidRPr="007320A7" w:rsidRDefault="000865D6" w:rsidP="003F78FE">
      <w:pPr>
        <w:pStyle w:val="Normln-tun"/>
      </w:pPr>
      <w:r w:rsidRPr="007320A7">
        <w:t>Účastníky vyvlastňovacího řízení jsou především vyvlastnitel a vyvlastňovaný, zástavní a podzástavní věřitel, pokud se jejich právo vztahuje k vyvlastňovanému pozemku nebo stavbě. Pro případ, že je nutné vyvlastnit p</w:t>
      </w:r>
      <w:r w:rsidRPr="007320A7">
        <w:t>ozemek nebo stavbu, o kterých se vede dosud neskončené dědické řízení, stává se účastníkem vyvlastňovacího řízení i správce dědictví. Pokud zde není správce dědictví, jsou účastníky řízení dědici, případně stát, pokud mu má pozemek nebo stavba připadnou ja</w:t>
      </w:r>
      <w:r w:rsidRPr="007320A7">
        <w:t>ko odúmrť.</w:t>
      </w:r>
    </w:p>
    <w:p w:rsidR="003F78FE" w:rsidRPr="007320A7" w:rsidRDefault="000865D6" w:rsidP="003F78FE">
      <w:pPr>
        <w:pStyle w:val="Normln-tun"/>
      </w:pPr>
      <w:r w:rsidRPr="007320A7">
        <w:t>Pokud je účastník vyvlastňovacího řízení neznámého pobytu, nebo se mu nedaří doručit písemnosti, vyvlastňovací úřad mu ustanoví vhodnou osobu jako opatrovníka. Nemůže se jednat o osobu, jejíž zájem na výsledku řízení je takové povahy, že by mohl</w:t>
      </w:r>
      <w:r w:rsidRPr="007320A7">
        <w:t>o dojít ke konfliktu zájmů a že by nebyly řádně hájeny zájmy opatrovance. Pokud opatrovník neplní řádně svou funkci, vyvlastňovací úřad rozhodne o zrušení usnesení o ustanovení opatrovníka a zároveň určí opatrovníka nového.</w:t>
      </w:r>
    </w:p>
    <w:p w:rsidR="003F78FE" w:rsidRPr="00A649D9" w:rsidRDefault="000865D6" w:rsidP="003F78FE">
      <w:pPr>
        <w:pStyle w:val="Normln-tun"/>
      </w:pPr>
      <w:r w:rsidRPr="00A649D9">
        <w:t>Vyvlastňovací řízení lze zahájit</w:t>
      </w:r>
      <w:r w:rsidRPr="00A649D9">
        <w:t xml:space="preserve"> výhradně na základě žádosti vyvlastnitele. </w:t>
      </w:r>
      <w:r w:rsidR="007320A7" w:rsidRPr="00A649D9">
        <w:t>V</w:t>
      </w:r>
      <w:r w:rsidRPr="00A649D9">
        <w:t xml:space="preserve"> žádosti musí vyvlastnitel v žádosti o vyvlastnění označit pozemek nebo stavbu, o jejichž vyvlastnění se jedná, jakož i práva třetích osob na těchto nemovitostech váznoucích. Vyvlastnitel musí ve své žádosti dál</w:t>
      </w:r>
      <w:r w:rsidRPr="00A649D9">
        <w:t>e označit skutečnosti dosvědčující, že byly splněny zákonné podmínky pro to, aby mohlo být přistoupeno k vyvlastnění.  Musí tedy především doložit, že vyvlastňovanému byl předložen návrh smlouvy a že se nepodařilo dosáhnout dohody k převodu potřebných práv</w:t>
      </w:r>
      <w:r w:rsidRPr="00A649D9">
        <w:t xml:space="preserve"> dohodou. Zvláštní péči je třeba věnovat doložení skutečnosti, že vyvlastnění je nutné s ohledem na veřejný zájem. Je nutné uvést všechny okolnosti, aby mohl vyvlastňovací úřad existenci veřejného zájmu objektivně posoudit. V rozhodnutí o vyvlastnění pak m</w:t>
      </w:r>
      <w:r w:rsidRPr="00A649D9">
        <w:t>usí být existence veřejného zájmu náležitě odůvodněna, aby mohla být odvolacím orgánem a případně soudem objektivně přezkoumána. Vyvlastnitel musí v žádosti uvést, v jakém rozsahu je třeba předmětný pozemek nebo stavbu vyvlastnit a kdy dojde k realizaci úč</w:t>
      </w:r>
      <w:r w:rsidRPr="00A649D9">
        <w:t>elu vyvlastnění.</w:t>
      </w:r>
    </w:p>
    <w:p w:rsidR="003F78FE" w:rsidRPr="00A649D9" w:rsidRDefault="000865D6" w:rsidP="003F78FE">
      <w:pPr>
        <w:pStyle w:val="Normln-tun"/>
      </w:pPr>
      <w:r w:rsidRPr="00A649D9">
        <w:t>Zákon dále vymezuje přílohy, které je třeba k žádosti o vyvlastnění přiložit. V první řadě je třeba doložit katastrální mapu, která zobrazuje pozemky a stavby navržené k vyvlastnění. Pokud se jedná o vyvlastnění části pozemku, je nutné vyp</w:t>
      </w:r>
      <w:r w:rsidRPr="00A649D9">
        <w:t>racovat i geometrický plán, který vymezuje část pozemku požadovanou k vyvlastnění.</w:t>
      </w:r>
    </w:p>
    <w:p w:rsidR="003F78FE" w:rsidRPr="00A649D9" w:rsidRDefault="000865D6" w:rsidP="003F78FE">
      <w:pPr>
        <w:pStyle w:val="Normln-tun"/>
      </w:pPr>
      <w:r w:rsidRPr="00A649D9">
        <w:t>Pokud je to třeba k provedení účelu vyvlastnění, přikládá vyvlastnitel k žádosti i územní rozhodnutí nebo společné povolení dle stavebního zákona. Tyto doklady je však nutné</w:t>
      </w:r>
      <w:r w:rsidRPr="00A649D9">
        <w:t xml:space="preserve"> k žádosti přikládat pouze v případě, že příslušný stavební úřad není zároveň vyvlastňovacím úřadem.</w:t>
      </w:r>
    </w:p>
    <w:p w:rsidR="003F78FE" w:rsidRPr="00A649D9" w:rsidRDefault="000865D6" w:rsidP="003F78FE">
      <w:pPr>
        <w:pStyle w:val="Normln-tun"/>
      </w:pPr>
      <w:r w:rsidRPr="00A649D9">
        <w:t xml:space="preserve">V případě, že žádost neobsahuje všechny požadované náležitosti, nebo k ní nejsou přiloženy všechny povinné přílohy, vyzve vyvlastňovací úřad vyvlastnitele </w:t>
      </w:r>
      <w:r w:rsidRPr="00A649D9">
        <w:t>k odstranění vad a stanoví mu k tomu přiměřenou lhůtu.</w:t>
      </w:r>
    </w:p>
    <w:p w:rsidR="003F78FE" w:rsidRPr="00A649D9" w:rsidRDefault="000865D6" w:rsidP="003F78FE">
      <w:pPr>
        <w:pStyle w:val="Normln-tun"/>
      </w:pPr>
      <w:r w:rsidRPr="00A649D9">
        <w:t xml:space="preserve">Doručením žádosti vyvlastnitele k vyvlastnění pozemku nebo stavby k místně a věcně příslušnému úřadu je zahájeno vyvlastňovací řízení. Vyvlastňovací úřad vydá oznámení o </w:t>
      </w:r>
      <w:r w:rsidRPr="00A649D9">
        <w:lastRenderedPageBreak/>
        <w:t>zahájení vyvlastňovacího řízení</w:t>
      </w:r>
      <w:r w:rsidRPr="00A649D9">
        <w:t>. V tomto dokumentu uvede zejména účastníky a účel řízení a označí pozemky nebo stavby, jejichž vyvlastnění se vyžaduje.</w:t>
      </w:r>
    </w:p>
    <w:p w:rsidR="003F78FE" w:rsidRPr="00A649D9" w:rsidRDefault="000865D6" w:rsidP="003F78FE">
      <w:pPr>
        <w:pStyle w:val="Normln-tun"/>
      </w:pPr>
      <w:r w:rsidRPr="00A649D9">
        <w:t>Oznámení o zahájení řízení doručí vyvlastňovací úřad účastníkům vyvlastňovacího řízení. Kromě účastníků vyvlastňovacího řízení má vyvla</w:t>
      </w:r>
      <w:r w:rsidRPr="00A649D9">
        <w:t xml:space="preserve">stňovací úřad povinnost zaslat oznámení o zahájení vyvlastňovacího řízení i katastrálnímu úřadu, v jehož obvodu se vyvlastňovaný pozemek nebo stavby nachází. Pokud se jedná o pozemek nebo stavbu zapsanou do katastru nemovitostí, zapíše katastrální úřad do </w:t>
      </w:r>
      <w:r w:rsidRPr="00A649D9">
        <w:t>katastru poznámku o tom, že probíhá vyvlastňovací řízení. Jako poznámka se označuje zápis do katastru nemovitostí, který zapisuje významné informace o nemovitostech nebo jejich vlastnících. Poznámka se zapisuje s vazbou k nemovitosti, která je předmětem vy</w:t>
      </w:r>
      <w:r w:rsidRPr="00A649D9">
        <w:t>vlastnění, a s vazbou pro vyvlastnitele. Co se týče střetu zápisu poznámky o zahájení vyvlastňovacího řízení s návrhem na vklad zaslaný katastrálnímu úřadu, katastrální úřad neprovede vklad, pokud bylo oznámení o zahájení vyvlastňovacího řízení doručeno ne</w:t>
      </w:r>
      <w:r w:rsidRPr="00A649D9">
        <w:t>jpozději ve stejný den jako návrh na vklad.</w:t>
      </w:r>
    </w:p>
    <w:p w:rsidR="003F78FE" w:rsidRPr="004E47B8" w:rsidRDefault="000865D6" w:rsidP="003F78FE">
      <w:pPr>
        <w:pStyle w:val="Normln-tun"/>
      </w:pPr>
      <w:r w:rsidRPr="004E47B8">
        <w:t>Poté, co je vyvlastňovanému doručeno oznámení o zahájení vyvlastňovacího řízení, nesmí dále nakládat s pozemkem nebo stavbou, a to v rozsahu, ve kterém se navrhuje vyvlastnění. Nesmí tak předmětný pozemek nebo st</w:t>
      </w:r>
      <w:r w:rsidRPr="004E47B8">
        <w:t>avbu převést, pronajmout nebo zatížit. Právní jednání, kterým vyvlastňovaný poruší tuto povinnost, je neplatné. Vzhledem k tomu, že vyvlastnění je nutné k provedení zákonem vymezeného účelu, neuplatní se smluvní ani zákonná předkupní práva váznoucí na poze</w:t>
      </w:r>
      <w:r w:rsidRPr="004E47B8">
        <w:t>mku nebo stavbě. Je to logické, neboť k provedení účelu vyvlastnění je potřeba, aby práva k pozemku nebo stavbě přešla právě na vyvlastnitele. O všech výše uvedených následcích musí být vyvlastňovaný v oznámení o zahájení vyvlastňovacího řízení vyvlastňova</w:t>
      </w:r>
      <w:r w:rsidRPr="004E47B8">
        <w:t>cím úřadem poučen.</w:t>
      </w:r>
    </w:p>
    <w:p w:rsidR="003F78FE" w:rsidRPr="004E47B8" w:rsidRDefault="000865D6" w:rsidP="003F78FE">
      <w:pPr>
        <w:pStyle w:val="Normln-tun"/>
      </w:pPr>
      <w:r w:rsidRPr="004E47B8">
        <w:t xml:space="preserve">Správní řízení je dle správního řádu zásadně písemné, pokud zvláštní zákon nestanoví jinak, nebo pokud je ústní projednání věci nezbytné ke splnění účelu řízení a uplatnění práv účastníků. </w:t>
      </w:r>
      <w:r w:rsidR="004E47B8" w:rsidRPr="004E47B8">
        <w:t>Zde v</w:t>
      </w:r>
      <w:r w:rsidRPr="004E47B8">
        <w:t xml:space="preserve">zhledem k významu ústavně zaručených práv, </w:t>
      </w:r>
      <w:r w:rsidRPr="004E47B8">
        <w:t>do kterých je vyvlastněním zasahováno, nařizuje zákon o vyvlastnění konání ústního jednání k projednání vyvlastnění.</w:t>
      </w:r>
    </w:p>
    <w:p w:rsidR="003F78FE" w:rsidRPr="004E47B8" w:rsidRDefault="000865D6" w:rsidP="003F78FE">
      <w:pPr>
        <w:pStyle w:val="Normln-tun"/>
      </w:pPr>
      <w:r w:rsidRPr="004E47B8">
        <w:t xml:space="preserve">Ústní jednání k projednání vyvlastnění musí vyvlastňovací úřad nařídit tak, aby byli účastníci řízení předvoláni nejméně 30 dnů před datem </w:t>
      </w:r>
      <w:r w:rsidRPr="004E47B8">
        <w:t>konání. Tato lhůta k obeslání platí i pro další osoby, jejichž přítomnost je u ústního jednání třeba (např. znalce, který vyhotovoval znalecký posudek). Délka lhůty je nezbytná pro přípravu na jednání, neboť se uplatňuje koncentrační zásada. Práva účasti n</w:t>
      </w:r>
      <w:r w:rsidRPr="004E47B8">
        <w:t>a ústním jednání se může účastník vyvlastňovacího řízení předem vzdát. Ústní jednání je neveřejné, nicméně vyvlastňovací úřad může z důvodu zajištění větší transparentnosti připustit účast veřejnosti. Pokud konání veřejného ústního jednání navrhne jeden z </w:t>
      </w:r>
      <w:r w:rsidRPr="004E47B8">
        <w:t>účastníků vyvlastňovacího řízení, vyvlastňovací řízení mu vyhoví, pokud tím nemůže být způsobena újma dalším účastníkům řízení.</w:t>
      </w:r>
    </w:p>
    <w:p w:rsidR="003F78FE" w:rsidRPr="008B1D94" w:rsidRDefault="000865D6" w:rsidP="003F78FE">
      <w:pPr>
        <w:pStyle w:val="Normln-tun"/>
      </w:pPr>
      <w:r>
        <w:t>Jak již bylo zmíněno, v</w:t>
      </w:r>
      <w:r w:rsidRPr="008B1D94">
        <w:t>e vyvlastňovacím řízení se z důvodu zrychlení procesu vyvlastnění a zajištění brzkého naplnění účelu vyvl</w:t>
      </w:r>
      <w:r w:rsidRPr="008B1D94">
        <w:t xml:space="preserve">astnění uplatňuje zásada koncentrace řízení. </w:t>
      </w:r>
      <w:r w:rsidR="004E47B8" w:rsidRPr="008B1D94">
        <w:t>Ta obecně</w:t>
      </w:r>
      <w:r w:rsidRPr="008B1D94">
        <w:t xml:space="preserve"> vychází především z praktických požadavků, aby ve správním řízení nemohl účastník konstantně požadovat provedení dalších důkazů a tím protahovat správní řízení</w:t>
      </w:r>
      <w:r w:rsidR="00B12F54" w:rsidRPr="008B1D94">
        <w:t xml:space="preserve"> a obstruovat </w:t>
      </w:r>
      <w:r w:rsidRPr="008B1D94">
        <w:t xml:space="preserve">uskutečnění určité činnosti </w:t>
      </w:r>
      <w:r w:rsidRPr="008B1D94">
        <w:t xml:space="preserve">nebo záměru. Ve vyvlastňovacím řízení </w:t>
      </w:r>
      <w:r w:rsidR="00B12F54" w:rsidRPr="008B1D94">
        <w:t xml:space="preserve">mohou </w:t>
      </w:r>
      <w:r w:rsidRPr="008B1D94">
        <w:t>účastníci řízení uplatnit své námitky proti vyvlastnění a navrhnout důkazy k jejich prokázání nejpozději při ústním jednání. Jakmile je ústní jednání skončeno, uplatní se zásada koncentrace a k později uplatněným námitkám nebo navržení důkazů se nepřihlíží</w:t>
      </w:r>
      <w:r w:rsidRPr="008B1D94">
        <w:t xml:space="preserve">. Zmeškání lhůty nelze v tomto případě prominout. O uplatnění zásady </w:t>
      </w:r>
      <w:r w:rsidRPr="008B1D94">
        <w:lastRenderedPageBreak/>
        <w:t>koncentrace jsou účastníci vyvlastňovacího řízení poučeni v oznámení o zahájení vyvlastňovacího řízení. Zásada koncentrace platí i pro řízení odvolací, tudíž se přezkum rozhodnutí nevztah</w:t>
      </w:r>
      <w:r w:rsidRPr="008B1D94">
        <w:t>uje na případné námitky neuplatněné v prvním stupni při ústním jednání. V odvolání proti rozhodnutí o vyvlastnění tedy nelze vznášet nové námitky proti vyvlastnění a navrhovat provedení nových důkazů.</w:t>
      </w:r>
    </w:p>
    <w:p w:rsidR="003F78FE" w:rsidRPr="00620117" w:rsidRDefault="000865D6" w:rsidP="003F78FE">
      <w:pPr>
        <w:pStyle w:val="Normln-tun"/>
        <w:rPr>
          <w:rFonts w:cstheme="minorHAnsi"/>
        </w:rPr>
      </w:pPr>
      <w:r w:rsidRPr="00620117">
        <w:rPr>
          <w:rFonts w:cstheme="minorHAnsi"/>
        </w:rPr>
        <w:t>Dále se zákon o vyvlastnění zabývá problematikou přeruš</w:t>
      </w:r>
      <w:r w:rsidRPr="00620117">
        <w:rPr>
          <w:rFonts w:cstheme="minorHAnsi"/>
        </w:rPr>
        <w:t>ení a zastavení vyvlastňovacího řízení, kdy vymezuje určité odchylky od obecné úpravy ve správním řádu. Konkrétně stanovuje, že k přerušení vyvlastňovacího řízení dojde v případě, že o stejném pozemku nebo stavbě, nebo o věcném břemenu již probíhá jiné vyv</w:t>
      </w:r>
      <w:r w:rsidRPr="00620117">
        <w:rPr>
          <w:rFonts w:cstheme="minorHAnsi"/>
        </w:rPr>
        <w:t xml:space="preserve">lastňovací řízení. Přerušení řízení trvá až do doby, kdy je dříve zahájené řízení pravomocně skončeno. V souladu se správním řádem pak může dojít k přerušení správního řízení, pokud žádost vyvlastnitele nesplňuje všechny náležitosti a je třeba ji doplnit, </w:t>
      </w:r>
      <w:r w:rsidRPr="00620117">
        <w:rPr>
          <w:rFonts w:cstheme="minorHAnsi"/>
        </w:rPr>
        <w:t xml:space="preserve">resp. odstranit nedostatky. Dalším důvodem pro přerušení řízení může být probíhající řízení o předběžné otázce, nebo nutnost ustanovit opatrovníka účastníkovi, který není procesně způsobilý. K přerušení vyvlastňovacího řízení může správní orgán přistoupit </w:t>
      </w:r>
      <w:r w:rsidRPr="00620117">
        <w:rPr>
          <w:rFonts w:cstheme="minorHAnsi"/>
        </w:rPr>
        <w:t>i v případě že o to vyvlastnitel požádá. V praxi může tato situace nastat, pokud to vypadá, že by mohlo dojít k dohodě s vyvlastňovaným o získání práv k pozemku nebo stavbě dobrovolně.</w:t>
      </w:r>
    </w:p>
    <w:p w:rsidR="003F78FE" w:rsidRPr="00620117" w:rsidRDefault="000865D6" w:rsidP="003F78FE">
      <w:pPr>
        <w:pStyle w:val="Normln-tun"/>
        <w:rPr>
          <w:rFonts w:cstheme="minorHAnsi"/>
        </w:rPr>
      </w:pPr>
      <w:r w:rsidRPr="00620117">
        <w:rPr>
          <w:rFonts w:cstheme="minorHAnsi"/>
        </w:rPr>
        <w:t>V usnesení, kterým se řízení přerušuje, správní orgán určí dobu, po kte</w:t>
      </w:r>
      <w:r w:rsidRPr="00620117">
        <w:rPr>
          <w:rFonts w:cstheme="minorHAnsi"/>
        </w:rPr>
        <w:t xml:space="preserve">rou bude řízení přerušeno. Po dobu přerušení řízení vyvlastňovací úřad a účastníci řízení činí jen úkony, které jsou nezbytné k tomu, aby </w:t>
      </w:r>
      <w:r w:rsidR="00620117">
        <w:rPr>
          <w:rFonts w:cstheme="minorHAnsi"/>
        </w:rPr>
        <w:t>se</w:t>
      </w:r>
      <w:r w:rsidRPr="00620117">
        <w:rPr>
          <w:rFonts w:cstheme="minorHAnsi"/>
        </w:rPr>
        <w:t xml:space="preserve"> v řízení </w:t>
      </w:r>
      <w:r w:rsidR="00620117">
        <w:rPr>
          <w:rFonts w:cstheme="minorHAnsi"/>
        </w:rPr>
        <w:t xml:space="preserve">mohlo </w:t>
      </w:r>
      <w:r w:rsidRPr="00620117">
        <w:rPr>
          <w:rFonts w:cstheme="minorHAnsi"/>
        </w:rPr>
        <w:t>dál pokračov</w:t>
      </w:r>
      <w:r w:rsidR="00620117">
        <w:rPr>
          <w:rFonts w:cstheme="minorHAnsi"/>
        </w:rPr>
        <w:t>at</w:t>
      </w:r>
      <w:r w:rsidRPr="00620117">
        <w:rPr>
          <w:rFonts w:cstheme="minorHAnsi"/>
        </w:rPr>
        <w:t xml:space="preserve">. Po uplynutí doby, na kterou bylo řízení přerušeno, </w:t>
      </w:r>
      <w:r w:rsidR="00620117">
        <w:rPr>
          <w:rFonts w:cstheme="minorHAnsi"/>
        </w:rPr>
        <w:t>se pak</w:t>
      </w:r>
      <w:r w:rsidRPr="00620117">
        <w:rPr>
          <w:rFonts w:cstheme="minorHAnsi"/>
        </w:rPr>
        <w:t xml:space="preserve"> v řízení dále pokrač</w:t>
      </w:r>
      <w:r w:rsidR="00620117">
        <w:rPr>
          <w:rFonts w:cstheme="minorHAnsi"/>
        </w:rPr>
        <w:t>uje</w:t>
      </w:r>
      <w:r w:rsidRPr="00620117">
        <w:rPr>
          <w:rFonts w:cstheme="minorHAnsi"/>
        </w:rPr>
        <w:t>, p</w:t>
      </w:r>
      <w:r w:rsidRPr="00620117">
        <w:rPr>
          <w:rFonts w:cstheme="minorHAnsi"/>
        </w:rPr>
        <w:t>okud není důvod pro zastavení řízení. Vyvlastňovací řízení dále pokračuje v případě, že odpadne překážka, kvůli které bylo řízení přerušeno. O pokračování v řízení vyvlastňovací úřad vyrozumí účastníky řízení.</w:t>
      </w:r>
    </w:p>
    <w:p w:rsidR="00944AE1" w:rsidRDefault="000865D6" w:rsidP="003F78FE">
      <w:pPr>
        <w:pStyle w:val="Normln-tun"/>
        <w:rPr>
          <w:rFonts w:cstheme="minorHAnsi"/>
        </w:rPr>
      </w:pPr>
      <w:r w:rsidRPr="00620117">
        <w:rPr>
          <w:rFonts w:cstheme="minorHAnsi"/>
        </w:rPr>
        <w:t>Obecné důvody pro zastavení správního řízení o</w:t>
      </w:r>
      <w:r w:rsidRPr="00620117">
        <w:rPr>
          <w:rFonts w:cstheme="minorHAnsi"/>
        </w:rPr>
        <w:t>pět vymezuje správní řád. Řízení se zastavuje především v případě, že dojde ke zpětvzetí návrhu vyvlastnitelem. Aby bylo sníženo riziko podávání šikanózních návrhů na vyvlastnění, je v případě zpětvzetí žádosti o vyvlastnění vyvlastnitel povinen nahradit v</w:t>
      </w:r>
      <w:r w:rsidRPr="00620117">
        <w:rPr>
          <w:rFonts w:cstheme="minorHAnsi"/>
        </w:rPr>
        <w:t xml:space="preserve">yvlastňovanému škodu a jinou újmu, která mu vznikla v souvislosti s podáním žádosti. Tato povinnost neplatí v případě, že by ke škodě nebo jiné újmě došlo i jinak. Další důvod pro zastavení představuje situace, kdy vyvlastnitel neodstranil ve lhůtě určené </w:t>
      </w:r>
      <w:r w:rsidRPr="00620117">
        <w:rPr>
          <w:rFonts w:cstheme="minorHAnsi"/>
        </w:rPr>
        <w:t xml:space="preserve">v usnesení správního orgánu vady žádosti. K zastavení vyvlastňovacího řízení by došlo i v případě, že </w:t>
      </w:r>
      <w:r w:rsidR="00620117" w:rsidRPr="00620117">
        <w:rPr>
          <w:rFonts w:cstheme="minorHAnsi"/>
        </w:rPr>
        <w:t xml:space="preserve">by </w:t>
      </w:r>
      <w:r w:rsidRPr="00620117">
        <w:rPr>
          <w:rFonts w:cstheme="minorHAnsi"/>
        </w:rPr>
        <w:t xml:space="preserve">vyvlastnitel zemřel nebo zanikl, pokud </w:t>
      </w:r>
      <w:r w:rsidR="00620117" w:rsidRPr="00620117">
        <w:rPr>
          <w:rFonts w:cstheme="minorHAnsi"/>
        </w:rPr>
        <w:t xml:space="preserve">by </w:t>
      </w:r>
      <w:r w:rsidRPr="00620117">
        <w:rPr>
          <w:rFonts w:cstheme="minorHAnsi"/>
        </w:rPr>
        <w:t>v řízení dále nepokrač</w:t>
      </w:r>
      <w:r w:rsidR="00620117" w:rsidRPr="00620117">
        <w:rPr>
          <w:rFonts w:cstheme="minorHAnsi"/>
        </w:rPr>
        <w:t>ovali</w:t>
      </w:r>
      <w:r w:rsidRPr="00620117">
        <w:rPr>
          <w:rFonts w:cstheme="minorHAnsi"/>
        </w:rPr>
        <w:t xml:space="preserve"> právní nástupci. Stejně tak by vyvlastňovací úřad řízení zastavil, pokud by zanik</w:t>
      </w:r>
      <w:r w:rsidRPr="00620117">
        <w:rPr>
          <w:rFonts w:cstheme="minorHAnsi"/>
        </w:rPr>
        <w:t>l pozemek, stavba nebo právo z věcného břemene, k jejichž vyvlastnění řízení směřuje. Obecné důvody zastavení řízení stanovené správním řádem jsou však pro řízení o vyvlastnění nedostatečné, proto zákon o vyvlastnění upravuje další možnosti zastavení řízen</w:t>
      </w:r>
      <w:r w:rsidRPr="00620117">
        <w:rPr>
          <w:rFonts w:cstheme="minorHAnsi"/>
        </w:rPr>
        <w:t>í. Jako překážka pro vyvlastnění se výslovně stanoví případy, kdy bylo již o vyvlastnění stejného pozemku, stavby nebo věcného břemene rozhodnuto v jiném případě. Tato překážka se však uplatní pouze, pokud je dříve provedené vyvlastnění takového charakteru</w:t>
      </w:r>
      <w:r w:rsidRPr="00620117">
        <w:rPr>
          <w:rFonts w:cstheme="minorHAnsi"/>
        </w:rPr>
        <w:t xml:space="preserve">, že vylučuje provedení navrhovaného vyvlastnění. Dalším zvláštním důvodem pro zastavení vyvlastňovacího </w:t>
      </w:r>
      <w:r w:rsidRPr="00944AE1">
        <w:rPr>
          <w:rFonts w:cstheme="minorHAnsi"/>
        </w:rPr>
        <w:t>řízení je uzavření dohody mezi vyvlastnitelem a vyvlastňovaným o získání práv k pozemku nebo stavbě. Byť před zahájením vyvlastňovacího řízení musí vyv</w:t>
      </w:r>
      <w:r w:rsidRPr="00944AE1">
        <w:rPr>
          <w:rFonts w:cstheme="minorHAnsi"/>
        </w:rPr>
        <w:t>lastnitel nejprve usilovat o dosažení dohody o získání potřebných práv s vyvlastňovaným, není vyloučeno, že k dohodě dojde až v průběhu samotného vyvlastňovacího řízení. Pokud vyvlastňovací úřad rozhodne o zastavení vyvlastňovacího řízení z důvodu dosažení</w:t>
      </w:r>
      <w:r w:rsidRPr="00944AE1">
        <w:rPr>
          <w:rFonts w:cstheme="minorHAnsi"/>
        </w:rPr>
        <w:t xml:space="preserve"> dohody mezi vyvlastnitelem a vyvlastňovaným, není proti tomuto rozhodnutí přípustné odvolání. </w:t>
      </w:r>
    </w:p>
    <w:p w:rsidR="003F78FE" w:rsidRPr="003F78FE" w:rsidRDefault="000865D6" w:rsidP="003F78FE">
      <w:pPr>
        <w:pStyle w:val="Normln-tun"/>
        <w:rPr>
          <w:rFonts w:cstheme="minorHAnsi"/>
          <w:highlight w:val="yellow"/>
        </w:rPr>
      </w:pPr>
      <w:r w:rsidRPr="00944AE1">
        <w:rPr>
          <w:rFonts w:cstheme="minorHAnsi"/>
        </w:rPr>
        <w:lastRenderedPageBreak/>
        <w:t>Pokud byla o probíhajícím vyvlastňovacím řízení zapsána poznámka do katastru nemovitostí, zašle vyvlastňovací úřad po zastavení řízení vyvlastňovacího řízení ka</w:t>
      </w:r>
      <w:r w:rsidRPr="00944AE1">
        <w:rPr>
          <w:rFonts w:cstheme="minorHAnsi"/>
        </w:rPr>
        <w:t>tastrálnímu úřadu vyrozumění o zastavení řízení, aby došlo k výmazu poznámky.</w:t>
      </w:r>
    </w:p>
    <w:p w:rsidR="003F78FE" w:rsidRPr="00944AE1" w:rsidRDefault="000865D6" w:rsidP="003F78FE">
      <w:pPr>
        <w:pStyle w:val="Normln-tun"/>
        <w:rPr>
          <w:rFonts w:cstheme="minorHAnsi"/>
        </w:rPr>
      </w:pPr>
      <w:r w:rsidRPr="00944AE1">
        <w:rPr>
          <w:rFonts w:cstheme="minorHAnsi"/>
        </w:rPr>
        <w:t>Pokud vyvlastňovací úřad po projednání případu shledá, že nejsou splněny zákonné podmínky pro vyvlastnění, rozhodne o zamítnutí návrhu. V případě zamítavého rozhodnutí je vyvlast</w:t>
      </w:r>
      <w:r w:rsidRPr="00944AE1">
        <w:rPr>
          <w:rFonts w:cstheme="minorHAnsi"/>
        </w:rPr>
        <w:t>nitel povinen nahradit vyvlastňovanému škodu a jinou újmu, která mu v souvislosti s podáním návrhu na vyvlastnění vznikla. Tato povinnost neplatí v případě, že by ke škodě nebo jiné újmě došlo i jinak. V</w:t>
      </w:r>
      <w:r w:rsidR="00944AE1" w:rsidRPr="00944AE1">
        <w:rPr>
          <w:rFonts w:cstheme="minorHAnsi"/>
        </w:rPr>
        <w:t> </w:t>
      </w:r>
      <w:r w:rsidRPr="00944AE1">
        <w:rPr>
          <w:rFonts w:cstheme="minorHAnsi"/>
        </w:rPr>
        <w:t>případě</w:t>
      </w:r>
      <w:r w:rsidR="00944AE1" w:rsidRPr="00944AE1">
        <w:rPr>
          <w:rFonts w:cstheme="minorHAnsi"/>
        </w:rPr>
        <w:t>,</w:t>
      </w:r>
      <w:r w:rsidRPr="00944AE1">
        <w:rPr>
          <w:rFonts w:cstheme="minorHAnsi"/>
        </w:rPr>
        <w:t xml:space="preserve"> že byla v souvislosti s vyvlastňovacím říze</w:t>
      </w:r>
      <w:r w:rsidRPr="00944AE1">
        <w:rPr>
          <w:rFonts w:cstheme="minorHAnsi"/>
        </w:rPr>
        <w:t>ním zapsána do katastru nemovitostí poznámka o probíhajícím vyvlastňovacím řízení, je třeba o zamítnutí vyvlastňovacího řízení vyrozumět katastrální úřad. Vyrozumění katastrálnímu úřadu zašle vyvlastňovací úřad.</w:t>
      </w:r>
    </w:p>
    <w:p w:rsidR="00944AE1" w:rsidRDefault="000865D6" w:rsidP="003F78FE">
      <w:pPr>
        <w:pStyle w:val="Normln-tun"/>
        <w:rPr>
          <w:rFonts w:cstheme="minorHAnsi"/>
        </w:rPr>
      </w:pPr>
      <w:r w:rsidRPr="00944AE1">
        <w:rPr>
          <w:rFonts w:cstheme="minorHAnsi"/>
        </w:rPr>
        <w:t>V případě, že jsou dány zákonné podmínky pro</w:t>
      </w:r>
      <w:r w:rsidRPr="00944AE1">
        <w:rPr>
          <w:rFonts w:cstheme="minorHAnsi"/>
        </w:rPr>
        <w:t xml:space="preserve"> vyvlastnění, vydá vyvlastňovací úřad rozhodnutí o vyvlastnění. Rozhodnutí o vyvlastnění je specifické především tím, že vždy obsahuje dva samostatné výroky, a to výrok o vyvlastnění a výrok o náhradě za vyvlastnění. Rozdělení výroků je nutné především z d</w:t>
      </w:r>
      <w:r w:rsidRPr="00944AE1">
        <w:rPr>
          <w:rFonts w:cstheme="minorHAnsi"/>
        </w:rPr>
        <w:t xml:space="preserve">ůvodu odlišného přezkumného režimu. Povinnými částmi rozhodnutí o vyvlastnění je samozřejmě i odůvodnění rozhodnutí, jakož i poučení o opravném prostředku. </w:t>
      </w:r>
    </w:p>
    <w:p w:rsidR="003F78FE" w:rsidRPr="00944AE1" w:rsidRDefault="000865D6" w:rsidP="003F78FE">
      <w:pPr>
        <w:pStyle w:val="Normln-tun"/>
        <w:rPr>
          <w:rFonts w:cstheme="minorHAnsi"/>
        </w:rPr>
      </w:pPr>
      <w:r w:rsidRPr="00944AE1">
        <w:rPr>
          <w:rFonts w:cstheme="minorHAnsi"/>
        </w:rPr>
        <w:t>Základní obsahovou náležitostí rozhodnutí o vyvlastnění je samotný výrok o vyvlastnění. Vyvlastnění</w:t>
      </w:r>
      <w:r w:rsidRPr="00944AE1">
        <w:rPr>
          <w:rFonts w:cstheme="minorHAnsi"/>
        </w:rPr>
        <w:t xml:space="preserve"> může spočívat ve zrušení nebo omezení práva odpovídajícího věcnému břemeni k pozemku nebo stavbě. Dále může mít vyvlastnění formu omezení vlastnického práva zřízením věcného břemene ve prospěch vyvlastnitele na pozemku nebo stavbě, jejímž vlastníkem je vy</w:t>
      </w:r>
      <w:r w:rsidRPr="00944AE1">
        <w:rPr>
          <w:rFonts w:cstheme="minorHAnsi"/>
        </w:rPr>
        <w:t>vlastňovaný. Konečně nejzávažnějším zásahem do vlastnického práva je úplné odnětí vlastnického práva vyvlastňovaného k pozemku nebo stavbě. Dochází tak k nucenému přechodu vlastnického práva na vyvlastnitele. Další součástí výroku o vyvlastnění je i určení</w:t>
      </w:r>
      <w:r w:rsidRPr="00944AE1">
        <w:rPr>
          <w:rFonts w:cstheme="minorHAnsi"/>
        </w:rPr>
        <w:t>, která práva spojená s pozemkem nebo stavbou zanikají. Zanikají přitom jen ta práva, jejichž další trvání by bylo neslučitelné s účelem, za nímž bylo vyvlastnění provedeno. Poslední povinnou součástí výroku o vyvlastnění je určení lhůty, ve které musí doj</w:t>
      </w:r>
      <w:r w:rsidRPr="00944AE1">
        <w:rPr>
          <w:rFonts w:cstheme="minorHAnsi"/>
        </w:rPr>
        <w:t>ít k realizaci účelu vyvlastnění. Tato lhůta nesmí přitom přesáhnout 2 roky od právní moci rozhodnutí.</w:t>
      </w:r>
    </w:p>
    <w:p w:rsidR="003F78FE" w:rsidRPr="00944AE1" w:rsidRDefault="000865D6" w:rsidP="003F78FE">
      <w:pPr>
        <w:pStyle w:val="Normln-tun"/>
        <w:rPr>
          <w:rFonts w:cstheme="minorHAnsi"/>
        </w:rPr>
      </w:pPr>
      <w:r w:rsidRPr="00944AE1">
        <w:rPr>
          <w:rFonts w:cstheme="minorHAnsi"/>
        </w:rPr>
        <w:t>Obligatorní součástí rozhodnutí o vyvlastnění je výrok o náhradě za vyvlastnění. Vyvlastňovací úřad určí výši náhrady, která bude poskytnuta vyvlastňovan</w:t>
      </w:r>
      <w:r w:rsidRPr="00944AE1">
        <w:rPr>
          <w:rFonts w:cstheme="minorHAnsi"/>
        </w:rPr>
        <w:t>ému či oprávněnému z věcného břemene, a to v souladu se zákonnými pravidly. V rozhodnutí vyvlastňovací úřad určí vyvlastniteli lhůtu k vyplacení náhrady. Horní hranice této lhůty je 60 dnů od právní moci rozhodnutí o vyvlastnění. Pokud došlo k dohodě o tom</w:t>
      </w:r>
      <w:r w:rsidRPr="00944AE1">
        <w:rPr>
          <w:rFonts w:cstheme="minorHAnsi"/>
        </w:rPr>
        <w:t>, že místo peněžité náhrady bude vyvlastňovanému poskytnut náhradní pozemek nebo stavba, musí být v rozhodnutí specifikován pozemek nebo stavba, která přechází na vyvlastňovaného. Pokud je třeba dorovnat rozdíl v ceně mezi vyvlastňovaným pozemkem nebo stav</w:t>
      </w:r>
      <w:r w:rsidRPr="00944AE1">
        <w:rPr>
          <w:rFonts w:cstheme="minorHAnsi"/>
        </w:rPr>
        <w:t xml:space="preserve">bou a náhradním pozemkem nebo stavbou, určí vyvlastňovací úřad, jakou částku má vyvlastnitel poskytnout vyvlastňovanému. Stanovení lhůty k uhrazení částky je opět ponecháno na vůli vyvlastňovacímu úřadu, přičemž je při jejím určení limitován horní hranicí </w:t>
      </w:r>
      <w:r w:rsidRPr="00944AE1">
        <w:rPr>
          <w:rFonts w:cstheme="minorHAnsi"/>
        </w:rPr>
        <w:t>60 dnů od právní moci rozhodnutí o vyvlastnění.</w:t>
      </w:r>
    </w:p>
    <w:p w:rsidR="003F78FE" w:rsidRPr="00B23C89" w:rsidRDefault="000865D6" w:rsidP="003F78FE">
      <w:pPr>
        <w:pStyle w:val="Normln-tun"/>
        <w:rPr>
          <w:rFonts w:cstheme="minorHAnsi"/>
        </w:rPr>
      </w:pPr>
      <w:r w:rsidRPr="00B23C89">
        <w:rPr>
          <w:rFonts w:cstheme="minorHAnsi"/>
        </w:rPr>
        <w:t>Z určené náhrady je nutné vyplatit i zástavního věřitele, podzástavního věřitele či oprávněného ze zajišťovacího převodu práva, pokud se vyvlastnění dotkne i jejich práv. Za tímto účelem je nutné uzavřít doho</w:t>
      </w:r>
      <w:r w:rsidRPr="00B23C89">
        <w:rPr>
          <w:rFonts w:cstheme="minorHAnsi"/>
        </w:rPr>
        <w:t>du mezi vyvlastňovaným a ostatními oprávněnými osobami. Tuto dohodu pak vyvlastňovací úřad pojme do svého rozhodnutí a určí, jakou částku má vyvlastňovaný dalším oprávněným osobám nahradit a v jaké lhůtě. Pokud se však dohody nepodaří dosáhnout, složí vyvl</w:t>
      </w:r>
      <w:r w:rsidRPr="00B23C89">
        <w:rPr>
          <w:rFonts w:cstheme="minorHAnsi"/>
        </w:rPr>
        <w:t xml:space="preserve">astnitel částku odpovídající náhradě do </w:t>
      </w:r>
      <w:r w:rsidRPr="00B23C89">
        <w:rPr>
          <w:rFonts w:cstheme="minorHAnsi"/>
        </w:rPr>
        <w:lastRenderedPageBreak/>
        <w:t>úschovy soudu. Nároky jednotlivých osob se poté řeší v rámci řízení o úschově u příslušného soudu.</w:t>
      </w:r>
    </w:p>
    <w:p w:rsidR="003F78FE" w:rsidRPr="00B23C89" w:rsidRDefault="000865D6" w:rsidP="003F78FE">
      <w:pPr>
        <w:pStyle w:val="Normln-tun"/>
        <w:rPr>
          <w:rFonts w:cstheme="minorHAnsi"/>
        </w:rPr>
      </w:pPr>
      <w:r w:rsidRPr="00B23C89">
        <w:rPr>
          <w:rFonts w:cstheme="minorHAnsi"/>
        </w:rPr>
        <w:t>Poslední součástí výroku je náhrada nákladů za vypracování znaleckého posudku, pokud jeho vyhotovení zadal a zaplatil</w:t>
      </w:r>
      <w:r w:rsidRPr="00B23C89">
        <w:rPr>
          <w:rFonts w:cstheme="minorHAnsi"/>
        </w:rPr>
        <w:t xml:space="preserve"> vyvlastňovaný, přičemž lhůta k náhradě těchto nákladů nesmí být určena delší než 60 dnů.</w:t>
      </w:r>
    </w:p>
    <w:p w:rsidR="003F78FE" w:rsidRPr="00B23C89" w:rsidRDefault="000865D6" w:rsidP="003F78FE">
      <w:pPr>
        <w:pStyle w:val="Normln-tun"/>
        <w:rPr>
          <w:rFonts w:cstheme="minorHAnsi"/>
        </w:rPr>
      </w:pPr>
      <w:r w:rsidRPr="00B23C89">
        <w:rPr>
          <w:rFonts w:cstheme="minorHAnsi"/>
        </w:rPr>
        <w:t>Řádným opravným prostředkem proti rozhodnutí o vyvlastnění je odvolání. V případě, že odvolání směřuje pouze proti výroku o náhradě za vyvlastnění, nemá toto odvolání</w:t>
      </w:r>
      <w:r w:rsidRPr="00B23C89">
        <w:rPr>
          <w:rFonts w:cstheme="minorHAnsi"/>
        </w:rPr>
        <w:t xml:space="preserve"> odkladný účinek vůči ostatním částem rozhodnutí o vyvlastnění. K rozhodování o odvolání je povolán místně příslušný krajský úřad. Rozhodnutí je přezkoumáváno pouze z důvodů uvedených v podaném odvolání. V celém svém rozsahu může být rozhodnutí přezkoumává</w:t>
      </w:r>
      <w:r w:rsidRPr="00B23C89">
        <w:rPr>
          <w:rFonts w:cstheme="minorHAnsi"/>
        </w:rPr>
        <w:t xml:space="preserve">no, pouze pokud to vyžaduje veřejný zájem. V případě, že krajský úřad shledá, že napadené rozhodnutí je nesprávné, nebo je v rozporu se zákonem, napadené rozhodnuté o vyvlastnění nebo jeho část </w:t>
      </w:r>
      <w:r w:rsidR="00B23C89">
        <w:rPr>
          <w:rFonts w:cstheme="minorHAnsi"/>
        </w:rPr>
        <w:t>i</w:t>
      </w:r>
      <w:r w:rsidRPr="00B23C89">
        <w:rPr>
          <w:rFonts w:cstheme="minorHAnsi"/>
        </w:rPr>
        <w:t xml:space="preserve">/ zruší a řízení zastaví, nebo </w:t>
      </w:r>
      <w:r w:rsidR="00B23C89">
        <w:rPr>
          <w:rFonts w:cstheme="minorHAnsi"/>
        </w:rPr>
        <w:t>ii</w:t>
      </w:r>
      <w:r w:rsidRPr="00B23C89">
        <w:rPr>
          <w:rFonts w:cstheme="minorHAnsi"/>
        </w:rPr>
        <w:t>/</w:t>
      </w:r>
      <w:r w:rsidR="00B23C89">
        <w:rPr>
          <w:rFonts w:cstheme="minorHAnsi"/>
        </w:rPr>
        <w:t> </w:t>
      </w:r>
      <w:r w:rsidRPr="00B23C89">
        <w:rPr>
          <w:rFonts w:cstheme="minorHAnsi"/>
        </w:rPr>
        <w:t>zruší a věc vrátí k novému</w:t>
      </w:r>
      <w:r w:rsidRPr="00B23C89">
        <w:rPr>
          <w:rFonts w:cstheme="minorHAnsi"/>
        </w:rPr>
        <w:t xml:space="preserve"> projednání vyvlastňovacímu úřadu, nebo </w:t>
      </w:r>
      <w:r w:rsidR="00B23C89">
        <w:rPr>
          <w:rFonts w:cstheme="minorHAnsi"/>
        </w:rPr>
        <w:t>iii</w:t>
      </w:r>
      <w:r w:rsidRPr="00B23C89">
        <w:rPr>
          <w:rFonts w:cstheme="minorHAnsi"/>
        </w:rPr>
        <w:t>/ změní. V případě, že krajský úřad považuje napadené rozhodnutí za správné, potvrdí jej a odvolání zamítne. Krajský úřad nemůže v rámci odvolacího řízení změnit výrok o náhradě v neprospěch vyvlastňovaného ani da</w:t>
      </w:r>
      <w:r w:rsidRPr="00B23C89">
        <w:rPr>
          <w:rFonts w:cstheme="minorHAnsi"/>
        </w:rPr>
        <w:t xml:space="preserve">lších oprávněných osob. V případě, že dospěje k závěru, že by měla být náhrada nižší, bude na místě rozhodnutí zrušit a věc vrátit k dalšímu řízení vyvlastňovacímu úřadu. Naopak vyšší náhradu stanovit může, v takovém případě musí dojít k dorovnání rozdílů </w:t>
      </w:r>
      <w:r w:rsidRPr="00B23C89">
        <w:rPr>
          <w:rFonts w:cstheme="minorHAnsi"/>
        </w:rPr>
        <w:t>do tří dnů od právní moci rozhodnutí.</w:t>
      </w:r>
    </w:p>
    <w:p w:rsidR="003F78FE" w:rsidRPr="00B23C89" w:rsidRDefault="000865D6" w:rsidP="003F78FE">
      <w:pPr>
        <w:pStyle w:val="Normln-tun"/>
        <w:rPr>
          <w:rFonts w:cstheme="minorHAnsi"/>
        </w:rPr>
      </w:pPr>
      <w:r w:rsidRPr="00B23C89">
        <w:rPr>
          <w:rFonts w:cstheme="minorHAnsi"/>
        </w:rPr>
        <w:t>Po vyčerpání řádných opravných prostředků je ještě možné rozhodnutí o vyvlastnění soudně přezkoumat. Přezkoumání soudem podléhá jak výrok o vyvlastnění samotném, tak výrok o výši náhrady za vyvlastnění.</w:t>
      </w:r>
    </w:p>
    <w:p w:rsidR="003F78FE" w:rsidRPr="00B23C89" w:rsidRDefault="000865D6" w:rsidP="003F78FE">
      <w:pPr>
        <w:pStyle w:val="Normln-tun"/>
        <w:rPr>
          <w:rFonts w:cstheme="minorHAnsi"/>
        </w:rPr>
      </w:pPr>
      <w:r w:rsidRPr="00B23C89">
        <w:rPr>
          <w:rFonts w:cstheme="minorHAnsi"/>
        </w:rPr>
        <w:t>Aby nedocházelo</w:t>
      </w:r>
      <w:r w:rsidRPr="00B23C89">
        <w:rPr>
          <w:rFonts w:cstheme="minorHAnsi"/>
        </w:rPr>
        <w:t xml:space="preserve"> k zásahům do vlastnického práva nad míru nezbytně nutnou, je stanovena povinnost začít uskutečňovat záměr, pro který bylo vyvlastnění provedeno, co nejdříve. Vyvlastnitel začne tento záměr uskutečňovat ve lhůtě, kterou mu stanoví vyvlastňovací úřad v rozh</w:t>
      </w:r>
      <w:r w:rsidRPr="00B23C89">
        <w:rPr>
          <w:rFonts w:cstheme="minorHAnsi"/>
        </w:rPr>
        <w:t>odnutí o vyvlastnění. Vyvlastňovací úřad zvolí délku této lhůty přiměřeně dlouhou vzhledem k účelu, pro který bylo vyvlastnění provedeno, a s ohledem na skutkové okolnosti konkrétního případu. Přesto může nastat situace, kdy vyvlastnitel nemůže začít uskut</w:t>
      </w:r>
      <w:r w:rsidRPr="00B23C89">
        <w:rPr>
          <w:rFonts w:cstheme="minorHAnsi"/>
        </w:rPr>
        <w:t xml:space="preserve">ečňovat účel vyvlastnění ve stanovené lhůtě. Je-li zjevné, že vyvlastnitel nestihne začít s plněním záměru, pro který bylo vyvlastnění provedeno, může vyvlastňovací úřad požádat o prodlužení určené lhůty. Žádost musí být podána ještě před uplynutím určené </w:t>
      </w:r>
      <w:r w:rsidRPr="00B23C89">
        <w:rPr>
          <w:rFonts w:cstheme="minorHAnsi"/>
        </w:rPr>
        <w:t>lhůty. Vyvlastňovací úřad pak rozhodne, zda lhůtu prodlouží. Prodloužit lze lhůtu maximálně o další 2 roky. Učiní tak pouze v případě hodném zvláštního zřetele. Vyvlastňovací úřad by měl vždy pečlivě posoudit vzhledem ke všem okolnostem případu, zda je tat</w:t>
      </w:r>
      <w:r w:rsidRPr="00B23C89">
        <w:rPr>
          <w:rFonts w:cstheme="minorHAnsi"/>
        </w:rPr>
        <w:t xml:space="preserve">o podmínka naplněna. Prodloužit lhůtu lze pouze jednou. V případě, že vyvlastniteli uplyne lhůta marně, může vyvlastňovaný požádat vyvlastňovací úřad o zrušení vyvlastnění. </w:t>
      </w:r>
    </w:p>
    <w:p w:rsidR="003F78FE" w:rsidRPr="00B23C89" w:rsidRDefault="000865D6" w:rsidP="003F78FE">
      <w:pPr>
        <w:pStyle w:val="Text-Normaln"/>
        <w:widowControl w:val="0"/>
        <w:rPr>
          <w:rFonts w:cs="Arial"/>
          <w:szCs w:val="24"/>
        </w:rPr>
      </w:pPr>
      <w:r w:rsidRPr="00B23C89">
        <w:rPr>
          <w:b/>
        </w:rPr>
        <w:t>Cíl:</w:t>
      </w:r>
      <w:r w:rsidRPr="00B23C89">
        <w:t xml:space="preserve"> </w:t>
      </w:r>
      <w:r w:rsidRPr="00B23C89">
        <w:rPr>
          <w:rFonts w:cs="Arial"/>
          <w:szCs w:val="24"/>
        </w:rPr>
        <w:t xml:space="preserve">Zefektivnění procesu získávání potřebných vlastnických práv investory </w:t>
      </w:r>
    </w:p>
    <w:p w:rsidR="003F78FE" w:rsidRPr="000D783E" w:rsidRDefault="000865D6" w:rsidP="003F78FE">
      <w:pPr>
        <w:pStyle w:val="Text-Normaln"/>
        <w:widowControl w:val="0"/>
        <w:rPr>
          <w:b/>
        </w:rPr>
      </w:pPr>
      <w:r w:rsidRPr="000D783E">
        <w:rPr>
          <w:b/>
        </w:rPr>
        <w:t xml:space="preserve">Návrh </w:t>
      </w:r>
      <w:r w:rsidRPr="000D783E">
        <w:rPr>
          <w:b/>
        </w:rPr>
        <w:t>variant řešení:</w:t>
      </w:r>
    </w:p>
    <w:p w:rsidR="003F78FE" w:rsidRPr="000D783E" w:rsidRDefault="000865D6" w:rsidP="003F78FE">
      <w:pPr>
        <w:pStyle w:val="Text-Normaln"/>
        <w:widowControl w:val="0"/>
        <w:rPr>
          <w:i/>
        </w:rPr>
      </w:pPr>
      <w:r w:rsidRPr="000D783E">
        <w:rPr>
          <w:b/>
          <w:i/>
        </w:rPr>
        <w:t>Varianta 0:</w:t>
      </w:r>
      <w:r w:rsidRPr="000D783E">
        <w:rPr>
          <w:i/>
        </w:rPr>
        <w:t xml:space="preserve"> Zachování současného stavu</w:t>
      </w:r>
    </w:p>
    <w:p w:rsidR="003F78FE" w:rsidRPr="000D783E" w:rsidRDefault="000865D6" w:rsidP="003F78FE">
      <w:pPr>
        <w:pStyle w:val="Text-Normaln"/>
        <w:widowControl w:val="0"/>
        <w:rPr>
          <w:i/>
        </w:rPr>
      </w:pPr>
      <w:r w:rsidRPr="000D783E">
        <w:rPr>
          <w:b/>
          <w:i/>
        </w:rPr>
        <w:t xml:space="preserve">Varianta </w:t>
      </w:r>
      <w:r w:rsidR="00322BF7" w:rsidRPr="000D783E">
        <w:rPr>
          <w:b/>
          <w:i/>
        </w:rPr>
        <w:t>1</w:t>
      </w:r>
      <w:r w:rsidRPr="000D783E">
        <w:rPr>
          <w:b/>
          <w:i/>
        </w:rPr>
        <w:t>:</w:t>
      </w:r>
      <w:r w:rsidRPr="000D783E">
        <w:rPr>
          <w:i/>
        </w:rPr>
        <w:t xml:space="preserve"> Mezitímní rozhodnutí  </w:t>
      </w:r>
    </w:p>
    <w:p w:rsidR="000D5D75" w:rsidRPr="000D783E" w:rsidRDefault="000865D6" w:rsidP="000D5D75">
      <w:pPr>
        <w:pStyle w:val="Text-Normaln"/>
        <w:widowControl w:val="0"/>
        <w:rPr>
          <w:i/>
        </w:rPr>
      </w:pPr>
      <w:r w:rsidRPr="000D783E">
        <w:rPr>
          <w:b/>
          <w:i/>
        </w:rPr>
        <w:t xml:space="preserve">Varianta </w:t>
      </w:r>
      <w:r w:rsidR="00322BF7" w:rsidRPr="000D783E">
        <w:rPr>
          <w:b/>
          <w:i/>
        </w:rPr>
        <w:t>2</w:t>
      </w:r>
      <w:r w:rsidRPr="000D783E">
        <w:rPr>
          <w:b/>
          <w:i/>
        </w:rPr>
        <w:t>:</w:t>
      </w:r>
      <w:r w:rsidRPr="000D783E">
        <w:rPr>
          <w:i/>
        </w:rPr>
        <w:t xml:space="preserve"> Jedn</w:t>
      </w:r>
      <w:r w:rsidR="00685086" w:rsidRPr="000D783E">
        <w:rPr>
          <w:i/>
        </w:rPr>
        <w:t>o</w:t>
      </w:r>
      <w:r w:rsidRPr="000D783E">
        <w:rPr>
          <w:i/>
        </w:rPr>
        <w:t>instan</w:t>
      </w:r>
      <w:r w:rsidR="00685086" w:rsidRPr="000D783E">
        <w:rPr>
          <w:i/>
        </w:rPr>
        <w:t>čnost řízení</w:t>
      </w:r>
    </w:p>
    <w:p w:rsidR="002639C3" w:rsidRPr="000D783E" w:rsidRDefault="000865D6" w:rsidP="002639C3">
      <w:pPr>
        <w:pStyle w:val="Text-Normaln"/>
        <w:widowControl w:val="0"/>
        <w:rPr>
          <w:i/>
        </w:rPr>
      </w:pPr>
      <w:r w:rsidRPr="000D783E">
        <w:rPr>
          <w:b/>
          <w:i/>
        </w:rPr>
        <w:t xml:space="preserve">Varianta </w:t>
      </w:r>
      <w:r w:rsidR="00322BF7" w:rsidRPr="000D783E">
        <w:rPr>
          <w:b/>
          <w:i/>
        </w:rPr>
        <w:t>3</w:t>
      </w:r>
      <w:r w:rsidRPr="000D783E">
        <w:rPr>
          <w:b/>
          <w:i/>
        </w:rPr>
        <w:t>:</w:t>
      </w:r>
      <w:r w:rsidRPr="000D783E">
        <w:rPr>
          <w:i/>
        </w:rPr>
        <w:t xml:space="preserve"> Úprava lhůt</w:t>
      </w:r>
    </w:p>
    <w:p w:rsidR="002639C3" w:rsidRPr="000D783E" w:rsidRDefault="000865D6" w:rsidP="002639C3">
      <w:pPr>
        <w:pStyle w:val="Text-Normaln"/>
        <w:widowControl w:val="0"/>
        <w:rPr>
          <w:i/>
        </w:rPr>
      </w:pPr>
      <w:r w:rsidRPr="000D783E">
        <w:rPr>
          <w:b/>
          <w:i/>
        </w:rPr>
        <w:t xml:space="preserve">Varianta </w:t>
      </w:r>
      <w:r w:rsidR="00322BF7" w:rsidRPr="000D783E">
        <w:rPr>
          <w:b/>
          <w:i/>
        </w:rPr>
        <w:t>4</w:t>
      </w:r>
      <w:r w:rsidRPr="000D783E">
        <w:rPr>
          <w:b/>
          <w:i/>
        </w:rPr>
        <w:t>:</w:t>
      </w:r>
      <w:r w:rsidRPr="000D783E">
        <w:rPr>
          <w:i/>
        </w:rPr>
        <w:t xml:space="preserve"> Úprava odkladných účinků</w:t>
      </w:r>
    </w:p>
    <w:p w:rsidR="003F78FE" w:rsidRPr="000D783E" w:rsidRDefault="000865D6" w:rsidP="003F78FE">
      <w:pPr>
        <w:pStyle w:val="Text-Normaln"/>
        <w:widowControl w:val="0"/>
        <w:rPr>
          <w:i/>
        </w:rPr>
      </w:pPr>
      <w:r w:rsidRPr="000D783E">
        <w:rPr>
          <w:b/>
          <w:i/>
        </w:rPr>
        <w:lastRenderedPageBreak/>
        <w:t xml:space="preserve">Varianta </w:t>
      </w:r>
      <w:r w:rsidR="000D5D75" w:rsidRPr="000D783E">
        <w:rPr>
          <w:b/>
          <w:i/>
        </w:rPr>
        <w:t>5</w:t>
      </w:r>
      <w:r w:rsidRPr="000D783E">
        <w:rPr>
          <w:b/>
          <w:i/>
        </w:rPr>
        <w:t>:</w:t>
      </w:r>
      <w:r w:rsidRPr="000D783E">
        <w:rPr>
          <w:i/>
        </w:rPr>
        <w:t xml:space="preserve"> Souběh vyvlastňovacího a povolovacího řízení</w:t>
      </w:r>
    </w:p>
    <w:p w:rsidR="003F78FE" w:rsidRPr="000D783E" w:rsidRDefault="000865D6" w:rsidP="003F78FE">
      <w:pPr>
        <w:pStyle w:val="Text-Normaln"/>
        <w:widowControl w:val="0"/>
        <w:rPr>
          <w:b/>
          <w:szCs w:val="24"/>
        </w:rPr>
      </w:pPr>
      <w:r w:rsidRPr="000D783E">
        <w:rPr>
          <w:b/>
          <w:szCs w:val="24"/>
        </w:rPr>
        <w:t>Identifikace</w:t>
      </w:r>
      <w:r w:rsidRPr="000D783E">
        <w:rPr>
          <w:b/>
          <w:szCs w:val="24"/>
        </w:rPr>
        <w:t xml:space="preserve"> a kvantifikace nákladů a přínosů</w:t>
      </w:r>
    </w:p>
    <w:p w:rsidR="003F78FE" w:rsidRPr="000D783E" w:rsidRDefault="000865D6" w:rsidP="003F78FE">
      <w:pPr>
        <w:pStyle w:val="Titulek"/>
      </w:pPr>
      <w:r w:rsidRPr="000D783E">
        <w:t xml:space="preserve">Tabulka </w:t>
      </w:r>
      <w:r w:rsidRPr="000D783E">
        <w:rPr>
          <w:noProof/>
        </w:rPr>
        <w:fldChar w:fldCharType="begin"/>
      </w:r>
      <w:r w:rsidRPr="000D783E">
        <w:rPr>
          <w:noProof/>
        </w:rPr>
        <w:instrText xml:space="preserve"> SEQ Tabulka \* ARABIC </w:instrText>
      </w:r>
      <w:r w:rsidRPr="000D783E">
        <w:rPr>
          <w:noProof/>
        </w:rPr>
        <w:fldChar w:fldCharType="separate"/>
      </w:r>
      <w:r w:rsidRPr="000D783E">
        <w:rPr>
          <w:noProof/>
        </w:rPr>
        <w:t>23</w:t>
      </w:r>
      <w:r w:rsidRPr="000D783E">
        <w:rPr>
          <w:noProof/>
        </w:rPr>
        <w:fldChar w:fldCharType="end"/>
      </w:r>
      <w:r w:rsidRPr="000D783E">
        <w:t xml:space="preserve">: Identifikace nákladů a přínosů: </w:t>
      </w:r>
    </w:p>
    <w:tbl>
      <w:tblPr>
        <w:tblStyle w:val="Tabulkaseznamu21"/>
        <w:tblW w:w="9072" w:type="dxa"/>
        <w:tblInd w:w="108" w:type="dxa"/>
        <w:tblLook w:val="04A0" w:firstRow="1" w:lastRow="0" w:firstColumn="1" w:lastColumn="0" w:noHBand="0" w:noVBand="1"/>
      </w:tblPr>
      <w:tblGrid>
        <w:gridCol w:w="2268"/>
        <w:gridCol w:w="6804"/>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3F78FE" w:rsidRPr="000D783E" w:rsidRDefault="000865D6" w:rsidP="007320A7">
            <w:pPr>
              <w:widowControl w:val="0"/>
              <w:tabs>
                <w:tab w:val="left" w:pos="142"/>
              </w:tabs>
              <w:spacing w:before="60" w:after="60"/>
              <w:rPr>
                <w:rFonts w:asciiTheme="minorHAnsi" w:hAnsiTheme="minorHAnsi" w:cstheme="minorHAnsi"/>
                <w:spacing w:val="-4"/>
                <w:sz w:val="20"/>
                <w:szCs w:val="20"/>
              </w:rPr>
            </w:pPr>
            <w:r w:rsidRPr="000D783E">
              <w:rPr>
                <w:rFonts w:asciiTheme="minorHAnsi" w:hAnsiTheme="minorHAnsi" w:cstheme="minorHAnsi"/>
                <w:spacing w:val="-4"/>
                <w:sz w:val="20"/>
                <w:szCs w:val="20"/>
              </w:rPr>
              <w:t>Dotčená strana</w:t>
            </w:r>
          </w:p>
        </w:tc>
        <w:tc>
          <w:tcPr>
            <w:tcW w:w="6804" w:type="dxa"/>
            <w:vAlign w:val="center"/>
          </w:tcPr>
          <w:p w:rsidR="003F78FE" w:rsidRPr="000D783E" w:rsidRDefault="000865D6" w:rsidP="007320A7">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0D783E">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3F78FE" w:rsidRPr="000D783E" w:rsidRDefault="000865D6" w:rsidP="007320A7">
            <w:pPr>
              <w:widowControl w:val="0"/>
              <w:tabs>
                <w:tab w:val="left" w:pos="142"/>
              </w:tabs>
              <w:spacing w:before="60" w:after="60"/>
              <w:jc w:val="left"/>
              <w:rPr>
                <w:rFonts w:asciiTheme="minorHAnsi" w:hAnsiTheme="minorHAnsi" w:cstheme="minorHAnsi"/>
                <w:spacing w:val="-4"/>
                <w:sz w:val="20"/>
                <w:szCs w:val="20"/>
              </w:rPr>
            </w:pPr>
            <w:r w:rsidRPr="000D783E">
              <w:rPr>
                <w:rFonts w:asciiTheme="minorHAnsi" w:hAnsiTheme="minorHAnsi" w:cstheme="minorHAnsi"/>
                <w:spacing w:val="-4"/>
                <w:sz w:val="20"/>
                <w:szCs w:val="20"/>
              </w:rPr>
              <w:t>Vyvlastnitelé</w:t>
            </w:r>
          </w:p>
        </w:tc>
        <w:tc>
          <w:tcPr>
            <w:tcW w:w="6804" w:type="dxa"/>
            <w:vAlign w:val="center"/>
          </w:tcPr>
          <w:p w:rsidR="003F78FE" w:rsidRPr="000D783E" w:rsidRDefault="000865D6" w:rsidP="007320A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322BF7" w:rsidRPr="000D783E">
              <w:rPr>
                <w:rFonts w:asciiTheme="minorHAnsi" w:hAnsiTheme="minorHAnsi" w:cstheme="minorHAnsi"/>
                <w:i/>
                <w:sz w:val="20"/>
                <w:szCs w:val="20"/>
              </w:rPr>
              <w:t>1</w:t>
            </w:r>
            <w:r w:rsidRPr="000D783E">
              <w:rPr>
                <w:rFonts w:asciiTheme="minorHAnsi" w:hAnsiTheme="minorHAnsi" w:cstheme="minorHAnsi"/>
                <w:i/>
                <w:sz w:val="20"/>
                <w:szCs w:val="20"/>
              </w:rPr>
              <w:t xml:space="preserve"> – Rychlejší realizace veřejně prospěšných staveb</w:t>
            </w:r>
          </w:p>
          <w:p w:rsidR="00124957" w:rsidRPr="000D783E" w:rsidRDefault="000865D6" w:rsidP="007320A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322BF7" w:rsidRPr="000D783E">
              <w:rPr>
                <w:rFonts w:asciiTheme="minorHAnsi" w:hAnsiTheme="minorHAnsi" w:cstheme="minorHAnsi"/>
                <w:i/>
                <w:sz w:val="20"/>
                <w:szCs w:val="20"/>
              </w:rPr>
              <w:t>2</w:t>
            </w:r>
            <w:r w:rsidRPr="000D783E">
              <w:rPr>
                <w:rFonts w:asciiTheme="minorHAnsi" w:hAnsiTheme="minorHAnsi" w:cstheme="minorHAnsi"/>
                <w:i/>
                <w:sz w:val="20"/>
                <w:szCs w:val="20"/>
              </w:rPr>
              <w:t xml:space="preserve"> –</w:t>
            </w:r>
            <w:r w:rsidR="000D783E" w:rsidRPr="000D783E">
              <w:rPr>
                <w:rFonts w:asciiTheme="minorHAnsi" w:hAnsiTheme="minorHAnsi" w:cstheme="minorHAnsi"/>
                <w:i/>
                <w:sz w:val="20"/>
                <w:szCs w:val="20"/>
              </w:rPr>
              <w:t xml:space="preserve"> </w:t>
            </w:r>
            <w:r w:rsidR="000D783E">
              <w:rPr>
                <w:rFonts w:asciiTheme="minorHAnsi" w:hAnsiTheme="minorHAnsi" w:cstheme="minorHAnsi"/>
                <w:i/>
                <w:sz w:val="20"/>
                <w:szCs w:val="20"/>
              </w:rPr>
              <w:t>Pravděpodobně r</w:t>
            </w:r>
            <w:r w:rsidR="000D783E" w:rsidRPr="000D783E">
              <w:rPr>
                <w:rFonts w:asciiTheme="minorHAnsi" w:hAnsiTheme="minorHAnsi" w:cstheme="minorHAnsi"/>
                <w:i/>
                <w:sz w:val="20"/>
                <w:szCs w:val="20"/>
              </w:rPr>
              <w:t>ychlejší realizace veřejně prospěšných staveb</w:t>
            </w:r>
          </w:p>
          <w:p w:rsidR="00322BF7" w:rsidRPr="000D783E" w:rsidRDefault="000865D6" w:rsidP="00322BF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3 – Zkrácení fáze získávání potřebných vlastnických titulů </w:t>
            </w:r>
          </w:p>
          <w:p w:rsidR="00322BF7" w:rsidRPr="000D783E" w:rsidRDefault="000865D6" w:rsidP="00322BF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Varianta 4 – Rychlejší realizace veřejně prospěšných staveb; rizika spojená s případným pochybením vyvlastňovacího úřadu</w:t>
            </w:r>
          </w:p>
          <w:p w:rsidR="003F78FE" w:rsidRPr="000D783E" w:rsidRDefault="000865D6" w:rsidP="007320A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pacing w:val="-4"/>
                <w:sz w:val="20"/>
                <w:szCs w:val="20"/>
              </w:rPr>
            </w:pPr>
            <w:r w:rsidRPr="000D783E">
              <w:rPr>
                <w:rFonts w:asciiTheme="minorHAnsi" w:hAnsiTheme="minorHAnsi" w:cstheme="minorHAnsi"/>
                <w:i/>
                <w:sz w:val="20"/>
                <w:szCs w:val="20"/>
              </w:rPr>
              <w:t xml:space="preserve">Varianta </w:t>
            </w:r>
            <w:r w:rsidR="000D5D75" w:rsidRPr="000D783E">
              <w:rPr>
                <w:rFonts w:asciiTheme="minorHAnsi" w:hAnsiTheme="minorHAnsi" w:cstheme="minorHAnsi"/>
                <w:i/>
                <w:sz w:val="20"/>
                <w:szCs w:val="20"/>
              </w:rPr>
              <w:t>5</w:t>
            </w:r>
            <w:r w:rsidRPr="000D783E">
              <w:rPr>
                <w:rFonts w:asciiTheme="minorHAnsi" w:hAnsiTheme="minorHAnsi" w:cstheme="minorHAnsi"/>
                <w:i/>
                <w:sz w:val="20"/>
                <w:szCs w:val="20"/>
              </w:rPr>
              <w:t xml:space="preserve"> – Rychlejší realizace veřejně prospěšných staveb</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3F78FE" w:rsidRPr="000D783E" w:rsidRDefault="000865D6" w:rsidP="007320A7">
            <w:pPr>
              <w:widowControl w:val="0"/>
              <w:tabs>
                <w:tab w:val="left" w:pos="142"/>
              </w:tabs>
              <w:spacing w:before="60" w:after="60"/>
              <w:jc w:val="left"/>
              <w:rPr>
                <w:rFonts w:asciiTheme="minorHAnsi" w:hAnsiTheme="minorHAnsi" w:cstheme="minorHAnsi"/>
                <w:spacing w:val="-4"/>
                <w:sz w:val="20"/>
                <w:szCs w:val="20"/>
              </w:rPr>
            </w:pPr>
            <w:r w:rsidRPr="000D783E">
              <w:rPr>
                <w:rFonts w:asciiTheme="minorHAnsi" w:hAnsiTheme="minorHAnsi" w:cstheme="minorHAnsi"/>
                <w:spacing w:val="-4"/>
                <w:sz w:val="20"/>
                <w:szCs w:val="20"/>
              </w:rPr>
              <w:t>Vyvlastňovaní</w:t>
            </w:r>
          </w:p>
        </w:tc>
        <w:tc>
          <w:tcPr>
            <w:tcW w:w="6804" w:type="dxa"/>
            <w:vAlign w:val="center"/>
          </w:tcPr>
          <w:p w:rsidR="003F78FE" w:rsidRPr="000D783E" w:rsidRDefault="000865D6" w:rsidP="007320A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322BF7" w:rsidRPr="000D783E">
              <w:rPr>
                <w:rFonts w:asciiTheme="minorHAnsi" w:hAnsiTheme="minorHAnsi" w:cstheme="minorHAnsi"/>
                <w:i/>
                <w:sz w:val="20"/>
                <w:szCs w:val="20"/>
              </w:rPr>
              <w:t>1</w:t>
            </w:r>
            <w:r w:rsidRPr="000D783E">
              <w:rPr>
                <w:rFonts w:asciiTheme="minorHAnsi" w:hAnsiTheme="minorHAnsi" w:cstheme="minorHAnsi"/>
                <w:i/>
                <w:sz w:val="20"/>
                <w:szCs w:val="20"/>
              </w:rPr>
              <w:t xml:space="preserve"> – </w:t>
            </w:r>
            <w:r w:rsidR="003C58F1" w:rsidRPr="000D783E">
              <w:rPr>
                <w:rFonts w:asciiTheme="minorHAnsi" w:hAnsiTheme="minorHAnsi" w:cstheme="minorHAnsi"/>
                <w:i/>
                <w:sz w:val="20"/>
                <w:szCs w:val="20"/>
              </w:rPr>
              <w:t>Rizika spojená s případným pochybením vyvlastňovacího úřadu</w:t>
            </w:r>
          </w:p>
          <w:p w:rsidR="00124957" w:rsidRPr="000D783E" w:rsidRDefault="000865D6" w:rsidP="0012495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0D783E" w:rsidRPr="000D783E">
              <w:rPr>
                <w:rFonts w:asciiTheme="minorHAnsi" w:hAnsiTheme="minorHAnsi" w:cstheme="minorHAnsi"/>
                <w:i/>
                <w:sz w:val="20"/>
                <w:szCs w:val="20"/>
              </w:rPr>
              <w:t>2</w:t>
            </w:r>
            <w:r w:rsidR="000D783E">
              <w:rPr>
                <w:rFonts w:asciiTheme="minorHAnsi" w:hAnsiTheme="minorHAnsi" w:cstheme="minorHAnsi"/>
                <w:i/>
                <w:sz w:val="20"/>
                <w:szCs w:val="20"/>
              </w:rPr>
              <w:t xml:space="preserve"> </w:t>
            </w:r>
            <w:r w:rsidR="000D783E" w:rsidRPr="000D783E">
              <w:rPr>
                <w:rFonts w:asciiTheme="minorHAnsi" w:hAnsiTheme="minorHAnsi" w:cstheme="minorHAnsi"/>
                <w:i/>
                <w:sz w:val="20"/>
                <w:szCs w:val="20"/>
              </w:rPr>
              <w:t>–</w:t>
            </w:r>
            <w:r w:rsidR="000D783E">
              <w:rPr>
                <w:rFonts w:asciiTheme="minorHAnsi" w:hAnsiTheme="minorHAnsi" w:cstheme="minorHAnsi"/>
                <w:i/>
                <w:sz w:val="20"/>
                <w:szCs w:val="20"/>
              </w:rPr>
              <w:t xml:space="preserve"> </w:t>
            </w:r>
            <w:r w:rsidR="000D783E" w:rsidRPr="000D783E">
              <w:rPr>
                <w:rFonts w:asciiTheme="minorHAnsi" w:hAnsiTheme="minorHAnsi" w:cstheme="minorHAnsi"/>
                <w:i/>
                <w:sz w:val="20"/>
                <w:szCs w:val="20"/>
              </w:rPr>
              <w:t>O</w:t>
            </w:r>
            <w:r w:rsidR="000D783E">
              <w:rPr>
                <w:rFonts w:asciiTheme="minorHAnsi" w:hAnsiTheme="minorHAnsi" w:cstheme="minorHAnsi"/>
                <w:i/>
                <w:sz w:val="20"/>
                <w:szCs w:val="20"/>
              </w:rPr>
              <w:t xml:space="preserve"> jeden stupeň možné obrany vůči správnímu rozhodnutí méně</w:t>
            </w:r>
          </w:p>
          <w:p w:rsidR="00322BF7" w:rsidRPr="000D783E" w:rsidRDefault="000865D6" w:rsidP="00322BF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3 – Zkrácení fáze získávání potřebných vlastnických titulů </w:t>
            </w:r>
          </w:p>
          <w:p w:rsidR="00124957" w:rsidRPr="000D783E" w:rsidRDefault="000865D6" w:rsidP="000D783E">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0D783E">
              <w:rPr>
                <w:rFonts w:asciiTheme="minorHAnsi" w:hAnsiTheme="minorHAnsi" w:cstheme="minorHAnsi"/>
                <w:i/>
                <w:sz w:val="20"/>
                <w:szCs w:val="20"/>
              </w:rPr>
              <w:t>Varianta 4 – Rizika spojená s případným pochybením vyvlastňovacího úřadu</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3F78FE" w:rsidRPr="000D783E" w:rsidRDefault="000865D6" w:rsidP="007320A7">
            <w:pPr>
              <w:widowControl w:val="0"/>
              <w:tabs>
                <w:tab w:val="left" w:pos="142"/>
              </w:tabs>
              <w:spacing w:before="60" w:after="60"/>
              <w:jc w:val="left"/>
              <w:rPr>
                <w:rFonts w:asciiTheme="minorHAnsi" w:hAnsiTheme="minorHAnsi" w:cstheme="minorHAnsi"/>
                <w:spacing w:val="-4"/>
                <w:sz w:val="20"/>
                <w:szCs w:val="20"/>
              </w:rPr>
            </w:pPr>
            <w:r w:rsidRPr="000D783E">
              <w:rPr>
                <w:rFonts w:asciiTheme="minorHAnsi" w:hAnsiTheme="minorHAnsi" w:cstheme="minorHAnsi"/>
                <w:spacing w:val="-4"/>
                <w:sz w:val="20"/>
                <w:szCs w:val="20"/>
              </w:rPr>
              <w:t>Vyvlastňovací úřady</w:t>
            </w:r>
          </w:p>
        </w:tc>
        <w:tc>
          <w:tcPr>
            <w:tcW w:w="6804" w:type="dxa"/>
            <w:vAlign w:val="center"/>
          </w:tcPr>
          <w:p w:rsidR="00124957" w:rsidRPr="000D783E" w:rsidRDefault="000865D6" w:rsidP="0012495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322BF7" w:rsidRPr="000D783E">
              <w:rPr>
                <w:rFonts w:asciiTheme="minorHAnsi" w:hAnsiTheme="minorHAnsi" w:cstheme="minorHAnsi"/>
                <w:i/>
                <w:sz w:val="20"/>
                <w:szCs w:val="20"/>
              </w:rPr>
              <w:t>2</w:t>
            </w:r>
            <w:r w:rsidRPr="000D783E">
              <w:rPr>
                <w:rFonts w:asciiTheme="minorHAnsi" w:hAnsiTheme="minorHAnsi" w:cstheme="minorHAnsi"/>
                <w:i/>
                <w:sz w:val="20"/>
                <w:szCs w:val="20"/>
              </w:rPr>
              <w:t xml:space="preserve"> –</w:t>
            </w:r>
            <w:r w:rsidR="003C58F1" w:rsidRPr="000D783E">
              <w:rPr>
                <w:rFonts w:asciiTheme="minorHAnsi" w:hAnsiTheme="minorHAnsi" w:cstheme="minorHAnsi"/>
                <w:i/>
                <w:sz w:val="20"/>
                <w:szCs w:val="20"/>
              </w:rPr>
              <w:t xml:space="preserve"> </w:t>
            </w:r>
            <w:r w:rsidR="003C58F1">
              <w:rPr>
                <w:rFonts w:asciiTheme="minorHAnsi" w:hAnsiTheme="minorHAnsi" w:cstheme="minorHAnsi"/>
                <w:i/>
                <w:sz w:val="20"/>
                <w:szCs w:val="20"/>
              </w:rPr>
              <w:t>Niž</w:t>
            </w:r>
            <w:r w:rsidR="003C58F1" w:rsidRPr="000D783E">
              <w:rPr>
                <w:rFonts w:asciiTheme="minorHAnsi" w:hAnsiTheme="minorHAnsi" w:cstheme="minorHAnsi"/>
                <w:i/>
                <w:sz w:val="20"/>
                <w:szCs w:val="20"/>
              </w:rPr>
              <w:t>ší administrativní zátěž</w:t>
            </w:r>
            <w:r w:rsidR="003C58F1">
              <w:rPr>
                <w:rFonts w:asciiTheme="minorHAnsi" w:hAnsiTheme="minorHAnsi" w:cstheme="minorHAnsi"/>
                <w:i/>
                <w:sz w:val="20"/>
                <w:szCs w:val="20"/>
              </w:rPr>
              <w:t xml:space="preserve"> (přesun administrativní zátěže na příslušné soudy)</w:t>
            </w:r>
          </w:p>
          <w:p w:rsidR="00322BF7" w:rsidRPr="000D783E" w:rsidRDefault="000865D6" w:rsidP="00322BF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Varianta 3 – Potřeba navýšit personální kapacity</w:t>
            </w:r>
          </w:p>
          <w:p w:rsidR="00124957" w:rsidRPr="000D783E" w:rsidRDefault="000865D6" w:rsidP="00124957">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Varianta 4 – Rizika spojená s případným pochybením vyvlastňovacího úřadu</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3F78FE" w:rsidRPr="000D783E" w:rsidRDefault="000865D6" w:rsidP="007320A7">
            <w:pPr>
              <w:widowControl w:val="0"/>
              <w:tabs>
                <w:tab w:val="left" w:pos="142"/>
              </w:tabs>
              <w:spacing w:before="60" w:after="60"/>
              <w:jc w:val="left"/>
              <w:rPr>
                <w:rFonts w:asciiTheme="minorHAnsi" w:hAnsiTheme="minorHAnsi" w:cstheme="minorHAnsi"/>
                <w:spacing w:val="-4"/>
                <w:sz w:val="20"/>
                <w:szCs w:val="20"/>
              </w:rPr>
            </w:pPr>
            <w:r w:rsidRPr="000D783E">
              <w:rPr>
                <w:rFonts w:asciiTheme="minorHAnsi" w:hAnsiTheme="minorHAnsi" w:cstheme="minorHAnsi"/>
                <w:spacing w:val="-4"/>
                <w:sz w:val="20"/>
                <w:szCs w:val="20"/>
              </w:rPr>
              <w:t>Ostatní</w:t>
            </w:r>
          </w:p>
        </w:tc>
        <w:tc>
          <w:tcPr>
            <w:tcW w:w="6804" w:type="dxa"/>
            <w:vAlign w:val="center"/>
          </w:tcPr>
          <w:p w:rsidR="00124957" w:rsidRPr="000D783E" w:rsidRDefault="000865D6" w:rsidP="007320A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322BF7" w:rsidRPr="000D783E">
              <w:rPr>
                <w:rFonts w:asciiTheme="minorHAnsi" w:hAnsiTheme="minorHAnsi" w:cstheme="minorHAnsi"/>
                <w:i/>
                <w:sz w:val="20"/>
                <w:szCs w:val="20"/>
              </w:rPr>
              <w:t>1</w:t>
            </w:r>
            <w:r w:rsidRPr="000D783E">
              <w:rPr>
                <w:rFonts w:asciiTheme="minorHAnsi" w:hAnsiTheme="minorHAnsi" w:cstheme="minorHAnsi"/>
                <w:i/>
                <w:sz w:val="20"/>
                <w:szCs w:val="20"/>
              </w:rPr>
              <w:t xml:space="preserve"> – Rychlejší realizace veřejně prospěšných staveb</w:t>
            </w:r>
          </w:p>
          <w:p w:rsidR="003F78FE" w:rsidRPr="000D783E" w:rsidRDefault="000865D6" w:rsidP="007320A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322BF7" w:rsidRPr="000D783E">
              <w:rPr>
                <w:rFonts w:asciiTheme="minorHAnsi" w:hAnsiTheme="minorHAnsi" w:cstheme="minorHAnsi"/>
                <w:i/>
                <w:sz w:val="20"/>
                <w:szCs w:val="20"/>
              </w:rPr>
              <w:t>2</w:t>
            </w:r>
            <w:r w:rsidRPr="000D783E">
              <w:rPr>
                <w:rFonts w:asciiTheme="minorHAnsi" w:hAnsiTheme="minorHAnsi" w:cstheme="minorHAnsi"/>
                <w:i/>
                <w:sz w:val="20"/>
                <w:szCs w:val="20"/>
              </w:rPr>
              <w:t xml:space="preserve"> – </w:t>
            </w:r>
            <w:r w:rsidR="003C58F1">
              <w:rPr>
                <w:rFonts w:asciiTheme="minorHAnsi" w:hAnsiTheme="minorHAnsi" w:cstheme="minorHAnsi"/>
                <w:i/>
                <w:sz w:val="20"/>
                <w:szCs w:val="20"/>
              </w:rPr>
              <w:t>Pravděpodobně r</w:t>
            </w:r>
            <w:r w:rsidR="003C58F1" w:rsidRPr="000D783E">
              <w:rPr>
                <w:rFonts w:asciiTheme="minorHAnsi" w:hAnsiTheme="minorHAnsi" w:cstheme="minorHAnsi"/>
                <w:i/>
                <w:sz w:val="20"/>
                <w:szCs w:val="20"/>
              </w:rPr>
              <w:t>ychlejší realizace veřejně prospěšných staveb</w:t>
            </w:r>
          </w:p>
          <w:p w:rsidR="00322BF7" w:rsidRPr="000D783E" w:rsidRDefault="000865D6" w:rsidP="00322BF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Varianta 3 – Rychlejší realizace veřejně prospěšných staveb</w:t>
            </w:r>
          </w:p>
          <w:p w:rsidR="00322BF7" w:rsidRPr="000D783E" w:rsidRDefault="000865D6" w:rsidP="00322BF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Varianta 4 – Rychlejší realizace veřejně prospěšných staveb</w:t>
            </w:r>
          </w:p>
          <w:p w:rsidR="003F78FE" w:rsidRPr="000D783E" w:rsidRDefault="000865D6" w:rsidP="007320A7">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0D783E">
              <w:rPr>
                <w:rFonts w:asciiTheme="minorHAnsi" w:hAnsiTheme="minorHAnsi" w:cstheme="minorHAnsi"/>
                <w:i/>
                <w:sz w:val="20"/>
                <w:szCs w:val="20"/>
              </w:rPr>
              <w:t xml:space="preserve">Varianta </w:t>
            </w:r>
            <w:r w:rsidR="000D5D75" w:rsidRPr="000D783E">
              <w:rPr>
                <w:rFonts w:asciiTheme="minorHAnsi" w:hAnsiTheme="minorHAnsi" w:cstheme="minorHAnsi"/>
                <w:i/>
                <w:sz w:val="20"/>
                <w:szCs w:val="20"/>
              </w:rPr>
              <w:t>5</w:t>
            </w:r>
            <w:r w:rsidRPr="000D783E">
              <w:rPr>
                <w:rFonts w:asciiTheme="minorHAnsi" w:hAnsiTheme="minorHAnsi" w:cstheme="minorHAnsi"/>
                <w:i/>
                <w:sz w:val="20"/>
                <w:szCs w:val="20"/>
              </w:rPr>
              <w:t xml:space="preserve"> – Rychlejší realizace veřejně prospěšných staveb</w:t>
            </w:r>
          </w:p>
        </w:tc>
      </w:tr>
    </w:tbl>
    <w:p w:rsidR="003F78FE" w:rsidRPr="003C58F1" w:rsidRDefault="000865D6" w:rsidP="003F78FE">
      <w:pPr>
        <w:pStyle w:val="Text-Normaln"/>
        <w:widowControl w:val="0"/>
        <w:spacing w:before="360"/>
        <w:rPr>
          <w:b/>
        </w:rPr>
      </w:pPr>
      <w:r w:rsidRPr="003C58F1">
        <w:rPr>
          <w:b/>
        </w:rPr>
        <w:t>Volba varianty a její implementace</w:t>
      </w:r>
    </w:p>
    <w:p w:rsidR="003F78FE" w:rsidRPr="003C58F1" w:rsidRDefault="000865D6" w:rsidP="003C58F1">
      <w:pPr>
        <w:pStyle w:val="Normln-tun"/>
        <w:rPr>
          <w:b/>
          <w:bCs/>
        </w:rPr>
      </w:pPr>
      <w:r w:rsidRPr="003C58F1">
        <w:rPr>
          <w:b/>
          <w:bCs/>
        </w:rPr>
        <w:t xml:space="preserve">Varianta </w:t>
      </w:r>
      <w:r w:rsidR="00322BF7" w:rsidRPr="003C58F1">
        <w:rPr>
          <w:b/>
          <w:bCs/>
        </w:rPr>
        <w:t>1</w:t>
      </w:r>
      <w:r w:rsidRPr="003C58F1">
        <w:rPr>
          <w:b/>
          <w:bCs/>
        </w:rPr>
        <w:t xml:space="preserve"> - Mezitímní rozhodnutí</w:t>
      </w:r>
    </w:p>
    <w:p w:rsidR="00B951D2" w:rsidRDefault="000865D6" w:rsidP="00B951D2">
      <w:pPr>
        <w:pStyle w:val="Normln-tun"/>
      </w:pPr>
      <w:r>
        <w:t>Mezitímním rozhodnutím správní orgán rozhodne o základu věci. Může ho vydat, pokud to umožňuje povaha věci a jestliže je to účelné, zejména ve sporném řízení. Pak již správní řád pouze dodává, že o zbytku věci rozhodne správní orgán</w:t>
      </w:r>
      <w:r>
        <w:t xml:space="preserve"> až po právní moci mezitímního rozhodnutí.</w:t>
      </w:r>
    </w:p>
    <w:p w:rsidR="00506D78" w:rsidRPr="00421D71" w:rsidRDefault="000865D6" w:rsidP="003F78FE">
      <w:pPr>
        <w:pStyle w:val="Normln-tun"/>
      </w:pPr>
      <w:r w:rsidRPr="00421D71">
        <w:t xml:space="preserve">Institutu mezitímního rozhodnutí </w:t>
      </w:r>
      <w:r w:rsidR="00EC7FB0">
        <w:t xml:space="preserve">konkrétně v případě vyvlastnění </w:t>
      </w:r>
      <w:r w:rsidRPr="00421D71">
        <w:t>lze využít</w:t>
      </w:r>
      <w:r w:rsidR="002D6CC2" w:rsidRPr="00421D71">
        <w:t xml:space="preserve"> p</w:t>
      </w:r>
      <w:r w:rsidR="003F78FE" w:rsidRPr="00421D71">
        <w:t>ro specifické stavby dopravní infrastruktury uvedené v příloze k zákonu č. 416/2009 Sb.</w:t>
      </w:r>
      <w:r w:rsidR="002D6CC2" w:rsidRPr="00421D71">
        <w:t xml:space="preserve">, pokud v průběhu vyvlastňovacího řízení vyvlastňovací úřad dospěje k závěru, že jsou dány podmínky pro vyvlastnění. </w:t>
      </w:r>
      <w:r w:rsidR="003F78FE" w:rsidRPr="00421D71">
        <w:t xml:space="preserve">V řízení se pak pokračuje kvůli určení výše náhrady. Mezitímní rozhodnutí obsahuje výrok o vyvlastnění (může se fakticky jednat o zrušení nebo omezení práva odpovídajícího věcnému břemeni, zřízení věcného břemene, nebo o odnětí vlastnického práva). Vyvlastňovací úřad dále vymezí případná práva spojená s pozemkem, která vyvlastněním nezaniknou, a určí vyvlastniteli lhůtu k zahájení uskutečňování účelu vyvlastnění. </w:t>
      </w:r>
    </w:p>
    <w:p w:rsidR="003F78FE" w:rsidRDefault="000865D6" w:rsidP="003F78FE">
      <w:pPr>
        <w:pStyle w:val="Normln-tun"/>
      </w:pPr>
      <w:r w:rsidRPr="00421D71">
        <w:t>Proti mezitímnímu rozhodnu</w:t>
      </w:r>
      <w:r w:rsidRPr="00421D71">
        <w:t>tí není možné podat odvolání. Je však možné podat správní žalobu, o které by měl soud rozhodnout ve lhůtě 60 dnů. Lhůta 60 dnů pak platí i pro kasační stížnost a případné další opravné prostředky proti žalobě. Žalobě soud přizná odkladný účinek pouze na ná</w:t>
      </w:r>
      <w:r w:rsidRPr="00421D71">
        <w:t xml:space="preserve">vrh žalobce, který je nutné podat společně se žalobou. Totéž platí i pro opravné prostředky proti rozhodnutí soudu o žalobě. Pokud je podána žaloba proti mezitímnímu rozhodnutí, vyvlastňovací úřad nevydá rozhodnutí o náhradě za </w:t>
      </w:r>
      <w:r w:rsidRPr="00421D71">
        <w:lastRenderedPageBreak/>
        <w:t xml:space="preserve">vyvlastnění až do doby, kdy </w:t>
      </w:r>
      <w:r w:rsidRPr="00421D71">
        <w:t>je pravomocně rozhodnuto o podané žalobě, případně o opravném prostředku</w:t>
      </w:r>
      <w:r>
        <w:rPr>
          <w:rStyle w:val="Znakapoznpodarou"/>
          <w:bCs/>
          <w:iCs/>
        </w:rPr>
        <w:footnoteReference w:id="25"/>
      </w:r>
      <w:r w:rsidRPr="00421D71">
        <w:t>.</w:t>
      </w:r>
    </w:p>
    <w:p w:rsidR="0065051A" w:rsidRPr="00554CEA" w:rsidRDefault="000865D6" w:rsidP="0065051A">
      <w:pPr>
        <w:pStyle w:val="Normln-tun"/>
      </w:pPr>
      <w:r>
        <w:t>Nebylo-li mezitímní rozhodnutí soudem zrušeno, vyvlastnitel zaplatí vyvlastňovanému zálohu na náhradu za vyvlastnění ve výši stanovené znaleckým posudkem, který připojil k návrhu sm</w:t>
      </w:r>
      <w:r>
        <w:t xml:space="preserve">louvy o získání práv k pozemku nebo ke stavbě, do 60 dnů od právní moci a) mezitímního rozhodnutí, b) rozhodnutí soudu o žalobě proti mezitímnímu rozhodnutí, byla-li podána, nebo c) rozhodnutí soudu o </w:t>
      </w:r>
      <w:r w:rsidRPr="00554CEA">
        <w:t>opravném prostředku proti rozhodnutí soudu o žalobě, by</w:t>
      </w:r>
      <w:r w:rsidRPr="00554CEA">
        <w:t>l-li podán.</w:t>
      </w:r>
    </w:p>
    <w:p w:rsidR="001246FC" w:rsidRPr="00554CEA" w:rsidRDefault="000865D6" w:rsidP="001246FC">
      <w:pPr>
        <w:pStyle w:val="Normln-tun"/>
      </w:pPr>
      <w:r w:rsidRPr="00554CEA">
        <w:t>Proti m</w:t>
      </w:r>
      <w:r w:rsidR="007611D4" w:rsidRPr="00554CEA">
        <w:t>ezitímní</w:t>
      </w:r>
      <w:r w:rsidRPr="00554CEA">
        <w:t>mu</w:t>
      </w:r>
      <w:r w:rsidR="007611D4" w:rsidRPr="00554CEA">
        <w:t xml:space="preserve"> rozhodnutí </w:t>
      </w:r>
      <w:r w:rsidRPr="00554CEA">
        <w:t>již b</w:t>
      </w:r>
      <w:r w:rsidR="00E81AB5" w:rsidRPr="00554CEA">
        <w:t xml:space="preserve">yla </w:t>
      </w:r>
      <w:r w:rsidR="007611D4" w:rsidRPr="00554CEA">
        <w:t>podána senátory ústavní stížnost (</w:t>
      </w:r>
      <w:r w:rsidRPr="00554CEA">
        <w:t>viz nález Pl. ÚS 39/18 ze dne 22. 3. 2022</w:t>
      </w:r>
      <w:r w:rsidR="007611D4" w:rsidRPr="00554CEA">
        <w:t>)</w:t>
      </w:r>
      <w:r w:rsidRPr="00554CEA">
        <w:t>.</w:t>
      </w:r>
      <w:r w:rsidR="007611D4" w:rsidRPr="00554CEA">
        <w:t xml:space="preserve"> </w:t>
      </w:r>
      <w:r w:rsidRPr="00554CEA">
        <w:t>Skupin</w:t>
      </w:r>
      <w:r w:rsidR="00EF602B" w:rsidRPr="00554CEA">
        <w:t>a</w:t>
      </w:r>
      <w:r w:rsidRPr="00554CEA">
        <w:t xml:space="preserve"> 18 senátorek a senátorů se v jejím návrhu domáhala zrušení části ustanovení § 1 odst. 1, § 2f a § 4a a přílohy </w:t>
      </w:r>
      <w:r w:rsidRPr="00554CEA">
        <w:t>liniového zákona v platném znění, jelikož se domnívala, že bylo zasaženo do ústavně zaručeného práva podle Článku 11 (ochrana vlastnického práva)</w:t>
      </w:r>
      <w:r w:rsidR="00EF602B" w:rsidRPr="00554CEA">
        <w:t>,</w:t>
      </w:r>
      <w:r w:rsidRPr="00554CEA">
        <w:t xml:space="preserve"> práva podle Článku 36 (právo na spravedlivý proces)</w:t>
      </w:r>
      <w:r w:rsidR="00EF602B" w:rsidRPr="00554CEA">
        <w:t xml:space="preserve">, příp. práva podle </w:t>
      </w:r>
      <w:r w:rsidRPr="00554CEA">
        <w:t>Článku 12 (nedotknutelnost obydlí) LZP</w:t>
      </w:r>
      <w:r w:rsidRPr="00554CEA">
        <w:t xml:space="preserve">S a podle Článku 26 odst. 1 (ochrana podnikání) </w:t>
      </w:r>
      <w:r w:rsidR="00EF602B" w:rsidRPr="00554CEA">
        <w:t xml:space="preserve">Listiny základních práv a svobod </w:t>
      </w:r>
      <w:r w:rsidRPr="00554CEA">
        <w:t>LZPS.</w:t>
      </w:r>
      <w:r w:rsidR="00EF602B" w:rsidRPr="00554CEA">
        <w:t xml:space="preserve"> </w:t>
      </w:r>
      <w:r w:rsidRPr="00554CEA">
        <w:t xml:space="preserve">Ústavní soud </w:t>
      </w:r>
      <w:r w:rsidR="00EF602B" w:rsidRPr="00554CEA">
        <w:t xml:space="preserve">však </w:t>
      </w:r>
      <w:r w:rsidRPr="00554CEA">
        <w:t>neshledal návrh důvodným.</w:t>
      </w:r>
    </w:p>
    <w:p w:rsidR="001246FC" w:rsidRPr="00554CEA" w:rsidRDefault="000865D6" w:rsidP="001246FC">
      <w:pPr>
        <w:pStyle w:val="Normln-tun"/>
      </w:pPr>
      <w:r w:rsidRPr="00554CEA">
        <w:t xml:space="preserve">V souvislosti s napadeným ustanovením § 4a </w:t>
      </w:r>
      <w:r w:rsidR="00EF602B" w:rsidRPr="00554CEA">
        <w:t>l</w:t>
      </w:r>
      <w:r w:rsidRPr="00554CEA">
        <w:t xml:space="preserve">iniového zákona se Ústavní soud věnoval vypořádání námitky týkající se </w:t>
      </w:r>
      <w:r w:rsidRPr="00554CEA">
        <w:t>protiústavního oddělení výroku o odnětí či omezení vlastnického práva a výroku o náhradě škody. Podle Ústavního soudu není mezitímní rozhodnutí porušením ústavní zásady vyvlastnění za přiměřenou náhradu s ohledem na mechanismus zálohové platby</w:t>
      </w:r>
      <w:r w:rsidR="00276E23" w:rsidRPr="00554CEA">
        <w:t>,</w:t>
      </w:r>
      <w:r w:rsidRPr="00554CEA">
        <w:t xml:space="preserve"> </w:t>
      </w:r>
      <w:r w:rsidR="00276E23" w:rsidRPr="00554CEA">
        <w:t xml:space="preserve">tj. </w:t>
      </w:r>
      <w:r w:rsidRPr="00554CEA">
        <w:t>vždy by</w:t>
      </w:r>
      <w:r w:rsidRPr="00554CEA">
        <w:t xml:space="preserve"> se měla vyvlastňovanému dostat náhrada v ekonomicky obhajitelné a přiměřené lhůtě</w:t>
      </w:r>
      <w:r w:rsidR="00276E23" w:rsidRPr="00554CEA">
        <w:t xml:space="preserve"> (</w:t>
      </w:r>
      <w:r w:rsidRPr="00554CEA">
        <w:t>je stanovena lhůta 60 dnů k zaplacení zálohy). Oddělení výroků považuje Ústavní soud za legislativní opatření, které je v diskreci zákonodárce, pokud je naplněna zásada leg</w:t>
      </w:r>
      <w:r w:rsidRPr="00554CEA">
        <w:t>ality vyvlastnění a vyvlastňovanému jsou poskytnuty odpovídající procesní záruky.</w:t>
      </w:r>
    </w:p>
    <w:p w:rsidR="001246FC" w:rsidRPr="00554CEA" w:rsidRDefault="000865D6" w:rsidP="001246FC">
      <w:pPr>
        <w:pStyle w:val="Normln-tun"/>
      </w:pPr>
      <w:r w:rsidRPr="00554CEA">
        <w:t xml:space="preserve">Dále se Ústavní soud zabýval námitkou </w:t>
      </w:r>
      <w:r w:rsidRPr="00554CEA">
        <w:rPr>
          <w:rStyle w:val="Zdraznn"/>
          <w:i w:val="0"/>
          <w:iCs w:val="0"/>
        </w:rPr>
        <w:t>porušení principu dělby moci v důsledku nedostatečných materiálních podmínek a personálního zabezpečení rozhodovací činnosti správních s</w:t>
      </w:r>
      <w:r w:rsidRPr="00554CEA">
        <w:rPr>
          <w:rStyle w:val="Zdraznn"/>
          <w:i w:val="0"/>
          <w:iCs w:val="0"/>
        </w:rPr>
        <w:t>oudů ve spojitosti se zavedením zkrácených lhůt pro rozhodování o správních žalobách a kasačních stížnostech podle § 4a odst. 3 liniového zákona</w:t>
      </w:r>
      <w:r w:rsidRPr="00554CEA">
        <w:t>. Stanovení lhůt Ústavní soud nepovažuje za nepřiměřené ani za aspekt, který by přímo oslabil postavení vyvlastň</w:t>
      </w:r>
      <w:r w:rsidRPr="00554CEA">
        <w:t>ovaných tak, že by jim znemožnil hájení svých práv v podobě soudního přezkumu zásahu do jejich vlastnického práva.  </w:t>
      </w:r>
    </w:p>
    <w:p w:rsidR="001246FC" w:rsidRPr="00554CEA" w:rsidRDefault="000865D6" w:rsidP="001246FC">
      <w:pPr>
        <w:pStyle w:val="Normln-tun"/>
      </w:pPr>
      <w:r w:rsidRPr="00554CEA">
        <w:t xml:space="preserve">K námitce týkající se nedovoleného upuštění od dvojinstančnosti vyvlastňovacího řízení podle § 4a odst. 2 </w:t>
      </w:r>
      <w:r w:rsidR="00276E23" w:rsidRPr="00554CEA">
        <w:t>l</w:t>
      </w:r>
      <w:r w:rsidRPr="00554CEA">
        <w:t>iniového zákona Ústavní soud uve</w:t>
      </w:r>
      <w:r w:rsidRPr="00554CEA">
        <w:t>dl, že právo na odvolání na ústavní úrovni je zakotveno jen v oblasti trestního práva</w:t>
      </w:r>
      <w:r w:rsidR="00276E23" w:rsidRPr="00554CEA">
        <w:t>. P</w:t>
      </w:r>
      <w:r w:rsidRPr="00554CEA">
        <w:t xml:space="preserve">okud </w:t>
      </w:r>
      <w:r w:rsidR="00276E23" w:rsidRPr="00554CEA">
        <w:t>l</w:t>
      </w:r>
      <w:r w:rsidRPr="00554CEA">
        <w:t>iniový zákon stanoví řízení o mezitímním rozhodnutí pouze jednostupňové, není toto pravidlo samo o sobě protiústavní. Vyvlastňovaný má nadále možnost se obrátit n</w:t>
      </w:r>
      <w:r w:rsidRPr="00554CEA">
        <w:t>a správní soud</w:t>
      </w:r>
      <w:r>
        <w:rPr>
          <w:rStyle w:val="Znakapoznpodarou"/>
        </w:rPr>
        <w:footnoteReference w:id="26"/>
      </w:r>
      <w:r w:rsidRPr="00554CEA">
        <w:t>.</w:t>
      </w:r>
    </w:p>
    <w:p w:rsidR="00501B93" w:rsidRPr="00B73FE7" w:rsidRDefault="000865D6" w:rsidP="00501B93">
      <w:pPr>
        <w:pStyle w:val="Normln-tun"/>
      </w:pPr>
      <w:r>
        <w:t>V</w:t>
      </w:r>
      <w:r w:rsidRPr="00B73FE7">
        <w:t>zhledem k</w:t>
      </w:r>
      <w:r w:rsidR="000D3EFF">
        <w:t xml:space="preserve"> výše uvedenému, </w:t>
      </w:r>
      <w:r w:rsidRPr="00B73FE7">
        <w:t>respektu práva vlastnit majetek jako jednoho ze základních lidských práv a po zohlednění skutečnosti, že se tento institut nevztahuje ani ke všem stavbám vymezeným v zákoně č. 416/2009 Sb., nýbrž jen k opravdu dů</w:t>
      </w:r>
      <w:r w:rsidRPr="00B73FE7">
        <w:t xml:space="preserve">ležitým stavbám stanoveným v příloze k tomuto zákonu, Variantu </w:t>
      </w:r>
      <w:r w:rsidR="00322BF7">
        <w:t>1</w:t>
      </w:r>
      <w:r w:rsidRPr="00B73FE7">
        <w:t xml:space="preserve"> volíme jen pro vybraný okruh staveb/řízení, splňujících předem stanovené podmínky (např. bude se jednat o stavby vymezené v ZÚR). </w:t>
      </w:r>
      <w:r w:rsidR="000D3EFF">
        <w:t xml:space="preserve">Dále vzhledem k prozatím malé zkušenosti vyvlastňovacích úřadů </w:t>
      </w:r>
      <w:r w:rsidR="000D3EFF">
        <w:lastRenderedPageBreak/>
        <w:t>s vydáváním mezitímních rozhodnutí</w:t>
      </w:r>
      <w:r>
        <w:rPr>
          <w:rStyle w:val="Znakapoznpodarou"/>
        </w:rPr>
        <w:footnoteReference w:id="27"/>
      </w:r>
      <w:r w:rsidR="000D3EFF">
        <w:t xml:space="preserve"> doporučujeme přezkum této oblasti a posouzení efektivity v horizontu 3-5 let.</w:t>
      </w:r>
    </w:p>
    <w:p w:rsidR="00F26992" w:rsidRPr="007E0886" w:rsidRDefault="000865D6" w:rsidP="007E0886">
      <w:pPr>
        <w:pStyle w:val="Normln-tun"/>
        <w:rPr>
          <w:b/>
          <w:highlight w:val="yellow"/>
        </w:rPr>
      </w:pPr>
      <w:r w:rsidRPr="007E0886">
        <w:rPr>
          <w:b/>
        </w:rPr>
        <w:t xml:space="preserve">K Variantě </w:t>
      </w:r>
      <w:r w:rsidR="00322BF7" w:rsidRPr="007E0886">
        <w:rPr>
          <w:b/>
        </w:rPr>
        <w:t>2</w:t>
      </w:r>
      <w:r w:rsidRPr="007E0886">
        <w:rPr>
          <w:b/>
        </w:rPr>
        <w:t xml:space="preserve"> – Jednoinstančnost řízení</w:t>
      </w:r>
    </w:p>
    <w:p w:rsidR="00814C69" w:rsidRPr="00A40E07" w:rsidRDefault="000865D6" w:rsidP="00AE3C18">
      <w:pPr>
        <w:pStyle w:val="Normln-tun"/>
        <w:rPr>
          <w:highlight w:val="yellow"/>
        </w:rPr>
      </w:pPr>
      <w:r>
        <w:t xml:space="preserve">Institut mezitímního rozhodnutí </w:t>
      </w:r>
      <w:r w:rsidR="0065051A">
        <w:t xml:space="preserve">je v liniovém zákoně spojen </w:t>
      </w:r>
      <w:r w:rsidR="00AE3C18">
        <w:t>s úpravou dalších pravidel</w:t>
      </w:r>
      <w:r w:rsidR="0065051A">
        <w:t>.</w:t>
      </w:r>
      <w:r w:rsidR="00AE3C18">
        <w:t xml:space="preserve"> Tím hlavním je skutečnost, že </w:t>
      </w:r>
      <w:r w:rsidRPr="00A40E07">
        <w:t>proti mezitímnímu rozhodnutí není přípustné</w:t>
      </w:r>
      <w:r w:rsidR="00AE3C18" w:rsidRPr="00AE3C18">
        <w:t xml:space="preserve"> </w:t>
      </w:r>
      <w:r w:rsidR="00AE3C18" w:rsidRPr="00A40E07">
        <w:t>odvolání</w:t>
      </w:r>
      <w:r w:rsidR="00AE3C18">
        <w:t xml:space="preserve">. </w:t>
      </w:r>
      <w:r>
        <w:t>Primárním prostředkem obrany proti mezitímnímu rozhodnutí je tedy přímo žaloba proti rozhodnutí správního orgánu podle soudního řádu správního, příp. pak kasační stížnost.</w:t>
      </w:r>
      <w:r>
        <w:t xml:space="preserve"> </w:t>
      </w:r>
      <w:r w:rsidR="00295E57">
        <w:t>Liniový z</w:t>
      </w:r>
      <w:r>
        <w:t xml:space="preserve">ákon </w:t>
      </w:r>
      <w:r w:rsidR="00295E57">
        <w:t>zároveň</w:t>
      </w:r>
      <w:r>
        <w:t xml:space="preserve"> stanoví, že jak o žalobě, tak i o kasační stížnosti musí soud rozhodnout ve lhůtě 60 dnů, čímž zkracuje </w:t>
      </w:r>
      <w:r w:rsidR="00295E57">
        <w:t>již</w:t>
      </w:r>
      <w:r>
        <w:t xml:space="preserve"> </w:t>
      </w:r>
      <w:r w:rsidR="004011A8">
        <w:t>omeze</w:t>
      </w:r>
      <w:r>
        <w:t>nou lhůtu 90 dnů pro rozhodnutí, kterou zavádí obecně pro všechny žaloby proti rozhodnutím vydaným v režimu tohoto zákon</w:t>
      </w:r>
      <w:r>
        <w:t xml:space="preserve">a (a taktéž i pro rozhodování o následné kasační stížnosti). Současně také stanoví, že na polovinu se zkracují lhůty pro podání žalob, tedy se pro vyvlastňovaného zkracuje na polovinu dvouměsíční lhůta. Další specifikum </w:t>
      </w:r>
      <w:r w:rsidR="00E709EB">
        <w:t>je</w:t>
      </w:r>
      <w:r>
        <w:t xml:space="preserve"> úprava odkladného účinku žaloby. </w:t>
      </w:r>
      <w:r>
        <w:t xml:space="preserve">Podle </w:t>
      </w:r>
      <w:r w:rsidR="00E709EB">
        <w:t>zákona o</w:t>
      </w:r>
      <w:r>
        <w:t xml:space="preserve"> vyvlastnění má totiž žaloba podaná proti </w:t>
      </w:r>
      <w:r w:rsidR="00E709EB">
        <w:t xml:space="preserve">výroku o </w:t>
      </w:r>
      <w:r>
        <w:t xml:space="preserve">vyvlastnění odkladný účinek. </w:t>
      </w:r>
      <w:r w:rsidR="00E709EB">
        <w:t>Liniový</w:t>
      </w:r>
      <w:r>
        <w:t xml:space="preserve"> zákon </w:t>
      </w:r>
      <w:r w:rsidR="00E709EB">
        <w:t>oproti tomu</w:t>
      </w:r>
      <w:r>
        <w:t xml:space="preserve"> stanov</w:t>
      </w:r>
      <w:r w:rsidR="00E709EB">
        <w:t>uje</w:t>
      </w:r>
      <w:r>
        <w:t xml:space="preserve">, že </w:t>
      </w:r>
      <w:r w:rsidR="00E709EB">
        <w:t xml:space="preserve">je třeba společně se žalobou podat </w:t>
      </w:r>
      <w:r>
        <w:t>návrh na přiznání odkladného účinku žaloby proti mezitímnímu rozhodnutí</w:t>
      </w:r>
      <w:r w:rsidR="00E709EB">
        <w:t>.</w:t>
      </w:r>
      <w:r>
        <w:t xml:space="preserve"> K později poda</w:t>
      </w:r>
      <w:r>
        <w:t>nému návrhu na přiznání odkladného účinku soud nepřihlíží.</w:t>
      </w:r>
    </w:p>
    <w:p w:rsidR="00814C69" w:rsidRPr="00554CEA" w:rsidRDefault="000865D6" w:rsidP="00814C69">
      <w:pPr>
        <w:pStyle w:val="Normln-tun"/>
      </w:pPr>
      <w:r w:rsidRPr="00554CEA">
        <w:t>Výše uvedenými kroky tak lze také zkrátit proces vyvlastnění</w:t>
      </w:r>
      <w:r w:rsidR="00765DC3">
        <w:t>, a to obecně, tj. ne pouze u strategických staveb</w:t>
      </w:r>
      <w:r w:rsidR="00B01244">
        <w:t xml:space="preserve"> vymezených liniovým zákonem</w:t>
      </w:r>
      <w:r w:rsidR="00765DC3">
        <w:t>.</w:t>
      </w:r>
      <w:r w:rsidRPr="00554CEA">
        <w:t xml:space="preserve"> </w:t>
      </w:r>
    </w:p>
    <w:p w:rsidR="00554CEA" w:rsidRPr="007A0B46" w:rsidRDefault="000865D6" w:rsidP="007A0B46">
      <w:pPr>
        <w:pStyle w:val="Normln-tun"/>
        <w:rPr>
          <w:i/>
          <w:iCs/>
        </w:rPr>
      </w:pPr>
      <w:r w:rsidRPr="00C44A0C">
        <w:t xml:space="preserve">Pro vyhodnocení opět využíváme odpovědi vyvlastňovacích </w:t>
      </w:r>
      <w:r w:rsidRPr="00C44A0C">
        <w:t>úřadů</w:t>
      </w:r>
      <w:r>
        <w:rPr>
          <w:rStyle w:val="Znakapoznpodarou"/>
        </w:rPr>
        <w:footnoteReference w:id="28"/>
      </w:r>
      <w:r w:rsidR="007A0B46">
        <w:t xml:space="preserve"> a dalších konzultovaných stran. Na jednu stranu je zde podpora zavedení jednoinstančnosti procesu vyvlastnění. Na stranu druhou je upozorňováno na riziko dalšího zpomalení, a to </w:t>
      </w:r>
      <w:r w:rsidR="00765DC3">
        <w:t xml:space="preserve">především </w:t>
      </w:r>
      <w:r w:rsidR="007A0B46">
        <w:t xml:space="preserve">kvůli pomalému rozhodování soudů. </w:t>
      </w:r>
      <w:r w:rsidR="00765DC3">
        <w:t xml:space="preserve">Vyvlastňovací úřady např. uvádí, že </w:t>
      </w:r>
      <w:r w:rsidR="00765DC3" w:rsidRPr="00765DC3">
        <w:rPr>
          <w:i/>
          <w:iCs/>
        </w:rPr>
        <w:t>množství ORP</w:t>
      </w:r>
      <w:r w:rsidR="00765DC3" w:rsidRPr="00C44A0C">
        <w:rPr>
          <w:i/>
          <w:iCs/>
        </w:rPr>
        <w:t xml:space="preserve"> nevedl</w:t>
      </w:r>
      <w:r w:rsidR="00765DC3">
        <w:rPr>
          <w:i/>
          <w:iCs/>
        </w:rPr>
        <w:t>o</w:t>
      </w:r>
      <w:r w:rsidR="00765DC3" w:rsidRPr="00C44A0C">
        <w:rPr>
          <w:i/>
          <w:iCs/>
        </w:rPr>
        <w:t xml:space="preserve"> žádné </w:t>
      </w:r>
      <w:r w:rsidR="00765DC3">
        <w:rPr>
          <w:i/>
          <w:iCs/>
        </w:rPr>
        <w:t xml:space="preserve">nebo malý počet </w:t>
      </w:r>
      <w:r w:rsidR="00765DC3" w:rsidRPr="00C44A0C">
        <w:rPr>
          <w:i/>
          <w:iCs/>
        </w:rPr>
        <w:t>vyvlastňovací</w:t>
      </w:r>
      <w:r w:rsidR="00765DC3">
        <w:rPr>
          <w:i/>
          <w:iCs/>
        </w:rPr>
        <w:t>ch</w:t>
      </w:r>
      <w:r w:rsidR="00765DC3" w:rsidRPr="00C44A0C">
        <w:rPr>
          <w:i/>
          <w:iCs/>
        </w:rPr>
        <w:t xml:space="preserve"> řízení a </w:t>
      </w:r>
      <w:r w:rsidR="00765DC3">
        <w:rPr>
          <w:i/>
          <w:iCs/>
        </w:rPr>
        <w:t>není tak</w:t>
      </w:r>
      <w:r w:rsidR="00765DC3" w:rsidRPr="00C44A0C">
        <w:rPr>
          <w:i/>
          <w:iCs/>
        </w:rPr>
        <w:t xml:space="preserve"> důvodné, aby se správní řízení, u kterého často chybí prvoinstančním úřadům předchozí zkušenosti, vyjímal</w:t>
      </w:r>
      <w:r w:rsidR="00765DC3">
        <w:rPr>
          <w:i/>
          <w:iCs/>
        </w:rPr>
        <w:t>o</w:t>
      </w:r>
      <w:r w:rsidR="00765DC3" w:rsidRPr="00C44A0C">
        <w:rPr>
          <w:i/>
          <w:iCs/>
        </w:rPr>
        <w:t xml:space="preserve"> z obecné zásady dvojinstančnosti</w:t>
      </w:r>
      <w:r w:rsidR="00765DC3">
        <w:rPr>
          <w:i/>
          <w:iCs/>
        </w:rPr>
        <w:t>…</w:t>
      </w:r>
      <w:r w:rsidR="00765DC3" w:rsidRPr="00C44A0C">
        <w:rPr>
          <w:i/>
          <w:iCs/>
        </w:rPr>
        <w:t>množství vad se dá zhojit buď v odvolacím řízení nebo novým projednáním po vrácení věci</w:t>
      </w:r>
      <w:r w:rsidR="00765DC3">
        <w:rPr>
          <w:i/>
          <w:iCs/>
        </w:rPr>
        <w:t>…</w:t>
      </w:r>
      <w:r w:rsidR="00765DC3" w:rsidRPr="00C44A0C">
        <w:rPr>
          <w:i/>
          <w:iCs/>
        </w:rPr>
        <w:t>mohlo by naopak hrozit zpomalení výstavby, pokud bude správní soud dlouho rozhodovat o zrušení rozhodnutí pro pochybení, které mohl odvolací orgán napravit v odvolacím řízení, např. i změnou rozhodnutí</w:t>
      </w:r>
      <w:r w:rsidR="00B01244">
        <w:rPr>
          <w:i/>
          <w:iCs/>
        </w:rPr>
        <w:t>…j</w:t>
      </w:r>
      <w:r w:rsidR="00B01244" w:rsidRPr="00C44A0C">
        <w:rPr>
          <w:i/>
          <w:iCs/>
        </w:rPr>
        <w:t>e nutné pracovat s vytížeností soudů, která je dnes prezentována jako enormní</w:t>
      </w:r>
      <w:r w:rsidR="00B01244">
        <w:rPr>
          <w:i/>
          <w:iCs/>
        </w:rPr>
        <w:t xml:space="preserve">. </w:t>
      </w:r>
      <w:r w:rsidR="00B01244">
        <w:t xml:space="preserve">V neposlední řadě je uváděno, že </w:t>
      </w:r>
      <w:r w:rsidR="00B01244" w:rsidRPr="00B01244">
        <w:rPr>
          <w:i/>
          <w:iCs/>
        </w:rPr>
        <w:t>vy</w:t>
      </w:r>
      <w:r w:rsidRPr="007A0B46">
        <w:rPr>
          <w:i/>
          <w:iCs/>
        </w:rPr>
        <w:t xml:space="preserve">vlastňovaní </w:t>
      </w:r>
      <w:r w:rsidR="006D3DD3" w:rsidRPr="007A0B46">
        <w:rPr>
          <w:i/>
          <w:iCs/>
        </w:rPr>
        <w:t xml:space="preserve">by </w:t>
      </w:r>
      <w:r w:rsidRPr="007A0B46">
        <w:rPr>
          <w:i/>
          <w:iCs/>
        </w:rPr>
        <w:t xml:space="preserve">měli mít k dispozici dostatečné možnosti, jak se vyvlastnění bránit. Jednoinstanční řízení v tak citlivé otázce, jakou je </w:t>
      </w:r>
      <w:r w:rsidRPr="007A0B46">
        <w:rPr>
          <w:i/>
          <w:iCs/>
        </w:rPr>
        <w:t>vyvlastnění, není na místě.</w:t>
      </w:r>
      <w:r w:rsidR="00B01244">
        <w:rPr>
          <w:i/>
          <w:iCs/>
        </w:rPr>
        <w:t xml:space="preserve"> </w:t>
      </w:r>
      <w:r w:rsidR="00B01244">
        <w:t>Proti tomuto Ústavní soud uvádí, že p</w:t>
      </w:r>
      <w:r w:rsidR="00B01244" w:rsidRPr="00554CEA">
        <w:t>okud liniový zákon stanoví řízení o mezitímním rozhodnutí pouze jednostupňové, není toto pravidlo samo o sobě protiústavní</w:t>
      </w:r>
      <w:r w:rsidR="00B01244">
        <w:t>,</w:t>
      </w:r>
      <w:r w:rsidR="00B01244" w:rsidRPr="00554CEA">
        <w:t xml:space="preserve"> </w:t>
      </w:r>
      <w:r w:rsidR="00B01244">
        <w:t>v</w:t>
      </w:r>
      <w:r w:rsidR="00B01244" w:rsidRPr="00554CEA">
        <w:t xml:space="preserve">yvlastňovaný má </w:t>
      </w:r>
      <w:r w:rsidR="00B01244">
        <w:t xml:space="preserve">totiž </w:t>
      </w:r>
      <w:r w:rsidR="00B01244" w:rsidRPr="00554CEA">
        <w:t>nadále možnost se obrátit na správní soud</w:t>
      </w:r>
      <w:r w:rsidR="00B01244">
        <w:t xml:space="preserve"> (</w:t>
      </w:r>
      <w:r w:rsidR="00B01244" w:rsidRPr="00B01244">
        <w:t>viz nález Pl. ÚS 39/18 ze dne 22. 3. 2022</w:t>
      </w:r>
      <w:r w:rsidR="00B01244">
        <w:t xml:space="preserve"> výše).</w:t>
      </w:r>
      <w:r w:rsidRPr="007A0B46">
        <w:rPr>
          <w:i/>
          <w:iCs/>
        </w:rPr>
        <w:t xml:space="preserve"> </w:t>
      </w:r>
    </w:p>
    <w:p w:rsidR="00B01244" w:rsidRDefault="000865D6" w:rsidP="007E0886">
      <w:pPr>
        <w:pStyle w:val="Normln-tun"/>
      </w:pPr>
      <w:r>
        <w:t xml:space="preserve">Dle celkových dat </w:t>
      </w:r>
      <w:r w:rsidR="00AB7A08">
        <w:t xml:space="preserve">je </w:t>
      </w:r>
      <w:r>
        <w:t xml:space="preserve">relativně vysoký počet </w:t>
      </w:r>
      <w:r w:rsidR="00BD49C1">
        <w:t>vyvlastňovacích</w:t>
      </w:r>
      <w:r>
        <w:t xml:space="preserve"> řízení (</w:t>
      </w:r>
      <w:r w:rsidR="00A30F7F">
        <w:t>300–400</w:t>
      </w:r>
      <w:r>
        <w:t xml:space="preserve"> za rok) v porovnání s 50 odvolacími a cca 10 soudními řízeními. </w:t>
      </w:r>
      <w:r w:rsidR="00A30F7F">
        <w:t>Časově p</w:t>
      </w:r>
      <w:r w:rsidR="00A30F7F" w:rsidRPr="00A30F7F">
        <w:t>ro doplnění – polovina řízení ve správním soudnictví skončila od zahájení do 1 roku</w:t>
      </w:r>
      <w:r w:rsidR="00A30F7F">
        <w:t>;</w:t>
      </w:r>
      <w:r w:rsidR="00A30F7F" w:rsidRPr="00A30F7F">
        <w:t xml:space="preserve"> </w:t>
      </w:r>
      <w:r w:rsidR="00AB7A08">
        <w:t>vyjma</w:t>
      </w:r>
      <w:r w:rsidR="00A30F7F" w:rsidRPr="00A30F7F">
        <w:t xml:space="preserve"> 2 případ</w:t>
      </w:r>
      <w:r w:rsidR="00AB7A08">
        <w:t>ů</w:t>
      </w:r>
      <w:r w:rsidR="00A30F7F" w:rsidRPr="00A30F7F">
        <w:t xml:space="preserve"> vydaly správní soudy všechna rozhodnutí do 2 let od zahájení řízení.</w:t>
      </w:r>
      <w:r w:rsidR="00A30F7F">
        <w:t xml:space="preserve"> </w:t>
      </w:r>
    </w:p>
    <w:p w:rsidR="002639C3" w:rsidRPr="00B73FE7" w:rsidRDefault="000865D6" w:rsidP="00495989">
      <w:pPr>
        <w:pStyle w:val="Normln-tun"/>
      </w:pPr>
      <w:r>
        <w:t xml:space="preserve">Dle dříve zvolených variant se </w:t>
      </w:r>
      <w:r w:rsidR="009A682F">
        <w:t xml:space="preserve">dále </w:t>
      </w:r>
      <w:r>
        <w:t xml:space="preserve">předpokládá relativní úbytek </w:t>
      </w:r>
      <w:r w:rsidRPr="007E0886">
        <w:t>vyvlastňovacích řízení s tím, že bude více preferováno uzavírání dohod. Zároveň</w:t>
      </w:r>
      <w:r w:rsidRPr="007E0886">
        <w:t xml:space="preserve"> se </w:t>
      </w:r>
      <w:r w:rsidR="009A682F" w:rsidRPr="007E0886">
        <w:t>očekává</w:t>
      </w:r>
      <w:r w:rsidRPr="007E0886">
        <w:t xml:space="preserve"> vyšší kvalita rozhodování. </w:t>
      </w:r>
      <w:r w:rsidR="009A682F" w:rsidRPr="007E0886">
        <w:t xml:space="preserve">Vzhledem k již zvoleným variantám je tak riziko nežádoucího zpomalení procesu vyvlastňování </w:t>
      </w:r>
      <w:r w:rsidRPr="007E0886">
        <w:t xml:space="preserve">v porovnání s jeho aktuálním vnímáním vyvlastňovacími úřady, </w:t>
      </w:r>
      <w:r w:rsidRPr="007E0886">
        <w:lastRenderedPageBreak/>
        <w:t xml:space="preserve">nižší. </w:t>
      </w:r>
      <w:r w:rsidR="00495989">
        <w:t>Proto se jako vhodné jeví ponechání současného stavu, tj. dvojinstančnost vyvlastňovacího procesu.</w:t>
      </w:r>
      <w:r w:rsidR="00554CEA" w:rsidRPr="00A15C8F">
        <w:t xml:space="preserve"> </w:t>
      </w:r>
      <w:r>
        <w:t>Podmiňující skutečností však je</w:t>
      </w:r>
      <w:r w:rsidR="00554CEA" w:rsidRPr="00A15C8F">
        <w:t xml:space="preserve">, že </w:t>
      </w:r>
      <w:r>
        <w:t xml:space="preserve">se kvalita </w:t>
      </w:r>
      <w:r w:rsidR="00554CEA" w:rsidRPr="00A15C8F">
        <w:t xml:space="preserve">rozhodování vyvlastňovacích úřadů </w:t>
      </w:r>
      <w:r>
        <w:t>zvýší (</w:t>
      </w:r>
      <w:r w:rsidR="00554CEA" w:rsidRPr="00A15C8F">
        <w:t>podpořeno zvolenou variantou posunu vyvlastňovacích úřadů na úroveň krajů</w:t>
      </w:r>
      <w:r>
        <w:t>)</w:t>
      </w:r>
      <w:r w:rsidR="00A15C8F">
        <w:t xml:space="preserve">. </w:t>
      </w:r>
      <w:r>
        <w:t>Stejně jako u předchozí varianty doporučujeme přez</w:t>
      </w:r>
      <w:r>
        <w:t>kum této oblasti a posouzení efektivity opatření v horizontu 3-5 let.</w:t>
      </w:r>
    </w:p>
    <w:p w:rsidR="00322BF7" w:rsidRPr="0035181A" w:rsidRDefault="000865D6" w:rsidP="0035181A">
      <w:pPr>
        <w:pStyle w:val="Normln-tun"/>
        <w:rPr>
          <w:b/>
          <w:bCs/>
        </w:rPr>
      </w:pPr>
      <w:r w:rsidRPr="0035181A">
        <w:rPr>
          <w:b/>
          <w:bCs/>
        </w:rPr>
        <w:t xml:space="preserve">K Variantě 3 - Úprava lhůt a Variantě 4 - Úprava odkladných účinků </w:t>
      </w:r>
    </w:p>
    <w:p w:rsidR="00322BF7" w:rsidRPr="00F26992" w:rsidRDefault="000865D6" w:rsidP="00322BF7">
      <w:pPr>
        <w:pStyle w:val="Normln-tun"/>
      </w:pPr>
      <w:r w:rsidRPr="00F26992">
        <w:tab/>
        <w:t>Stanovení lhůty např. 60 dní pro konání ústního jednání v zákoně o vyvlastnění od doby uvědomění o zahájení vyvlastňo</w:t>
      </w:r>
      <w:r w:rsidRPr="00F26992">
        <w:t xml:space="preserve">vacího řízení či stanovení lhůty pro vydání rozhodnutí o vyvlastnění v zákoně o vyvlastnění na 30 dní od ústního jednání je možné, pokud na krajský vyvlastňovací úřad bude převedeno dostatečné množství zaměstnanců. Pokud ano, zvýší se tím právní jistota u </w:t>
      </w:r>
      <w:r w:rsidRPr="00F26992">
        <w:t>všech dotčených stran, které dle těchto lhůt budou moci tvořit svá očekávání.</w:t>
      </w:r>
    </w:p>
    <w:p w:rsidR="00322BF7" w:rsidRPr="00F26992" w:rsidRDefault="000865D6" w:rsidP="00322BF7">
      <w:pPr>
        <w:pStyle w:val="Normln-tun"/>
      </w:pPr>
      <w:r w:rsidRPr="00F26992">
        <w:t>V nové právní úpravě se nicméně alespoň předpokládá sjednocení lhůty pro podání žaloby proti jednotlivým výrokům rozhodnutí vyvlastňovacího úřadu. Žalobu bude možné podat do jedn</w:t>
      </w:r>
      <w:r w:rsidRPr="00F26992">
        <w:t>oho měsíce poté, kdy bylo rozhodnutí žalobci oznámeno, bez ohledu na to, zda žaloba bude směřovat proti vyvlastnění nebo náhradě za vyvlastnění. Dále se navrhuje dát žalobci možnost rozšířit žalobu o další žalobní body, ale to pouze ve lhůtě dvou měsíců po</w:t>
      </w:r>
      <w:r w:rsidRPr="00F26992">
        <w:t>té, kdy mu bylo rozhodnutí oznámeno. Žalobce tak musí podat žalobu do jednoho měsíce ode dne oznámení rozhodnutí, přičemž do dvou měsíců musí být žaloba perfektní. Touto úpravou dojde na jedné straně ke sjednocení lhůt k podání žaloby, ale též bude poskytn</w:t>
      </w:r>
      <w:r w:rsidRPr="00F26992">
        <w:t>utý dostatečný prostor pro seznámení se s obsahem rozhodnutí, sepsání a případné doplnění žaloby.</w:t>
      </w:r>
    </w:p>
    <w:p w:rsidR="00322BF7" w:rsidRPr="00F26992" w:rsidRDefault="000865D6" w:rsidP="00322BF7">
      <w:pPr>
        <w:pStyle w:val="Normln-tun"/>
      </w:pPr>
      <w:r w:rsidRPr="00F26992">
        <w:t>Návrh na zrušení odkladného účinku odvolání proti některému z výroků o vyvlastnění tak, aby byla zachována pouze možnost jeho přiznání a aby se v dalším proce</w:t>
      </w:r>
      <w:r w:rsidRPr="00F26992">
        <w:t>su řešila jen náhrada za vyvlastněné právo, nikoli vyvlastnění jako takové, je nepřijatelný, pokud platí, že Česká republika je právním státem, který ctí základní práva a jejich ochranu. Jen pro ilustraci, zákon č. 50/1976 Sb., stavební zákon, který upravo</w:t>
      </w:r>
      <w:r w:rsidRPr="00F26992">
        <w:t xml:space="preserve">val vyvlastnění do 31. 12. 2006, stanovil v § 114 odst. 2, že: „Odkladný účinek odvolání proti rozhodnutí o vyvlastnění nelze vyloučit“. Uvedené ustanovení nebylo do zákona vtěleno až po listopadu 1989, ale bylo v zákoně zakotveno ode dne 1. 10. 1976, kdy </w:t>
      </w:r>
      <w:r w:rsidRPr="00F26992">
        <w:t>nabyl účinnosti.</w:t>
      </w:r>
    </w:p>
    <w:p w:rsidR="00322BF7" w:rsidRPr="00F26992" w:rsidRDefault="000865D6" w:rsidP="00322BF7">
      <w:pPr>
        <w:pStyle w:val="Normln-tun"/>
      </w:pPr>
      <w:r w:rsidRPr="00F26992">
        <w:t>Pokud jde o zrušení odkladného účinku žaloby proti rozhodnutí o vyvlastnění, případně o stanovení lhůt, v jakých má soud rozhodnout o podané žalobě, lze uvést následující. Vlastnické právo patří mezi základní práva a ve všech demokratickýc</w:t>
      </w:r>
      <w:r w:rsidRPr="00F26992">
        <w:t>h civilizovaných zemích, které se mohou označovat jako právní státy, je mu poskytována odpovídající ochrana i když se vyvlastnění nebo nucené omezení tohoto práva ve veřejném zájmu připouští. K těmto principům se hlásí také Česká republika.  Listina základ</w:t>
      </w:r>
      <w:r w:rsidRPr="00F26992">
        <w:t>ních práv a svobod, která je součástí ústavního pořádku České republiky (čl. 3 Ústavy), řadí vlastnické právo mezi základní práva (čl. 11). Podle čl. 4 Ústavy jsou základní práva a svobody pod ochranou soudní moci. Podmínky umožňující poskytování takové oc</w:t>
      </w:r>
      <w:r w:rsidRPr="00F26992">
        <w:t>hrany nelze účelově omezovat. Úprava projednání vyvlastnění před soudem obsažená v § 28 zákona o vyvlastnění byla již předmětem jeho novely, zákona č. 405/2012 Sb., a v průběhu legislativního procesu byla předmětem tvrdého vyjednávání a hledání vyváženosti</w:t>
      </w:r>
      <w:r w:rsidRPr="00F26992">
        <w:t xml:space="preserve"> ochrany vlastnického práva a možností dosáhnout zákonných podmínek pro jeho odnětí nebo omezení pro účel, jenž má být realizován ve veřejném zájmu.</w:t>
      </w:r>
    </w:p>
    <w:p w:rsidR="00322BF7" w:rsidRPr="00F26992" w:rsidRDefault="000865D6" w:rsidP="00322BF7">
      <w:pPr>
        <w:pStyle w:val="Normln-tun"/>
      </w:pPr>
      <w:r w:rsidRPr="00F26992">
        <w:t>Ve shodě s platnou úpravou zákona o urychlení výstavby a s projednávaným novým stavebním zákonem se v budou</w:t>
      </w:r>
      <w:r w:rsidRPr="00F26992">
        <w:t xml:space="preserve">cím zákoně o vyvlastnění předpokládá stanovit pravidlo, že soud přezkoumá všechny přípustné žalobní body, nebrání-li tomu vady napadeného </w:t>
      </w:r>
      <w:r w:rsidRPr="00F26992">
        <w:lastRenderedPageBreak/>
        <w:t>rozhodnutí nebo řízení, které předcházelo jeho vydání. Naopak se nepředpokládá převzít do obecné úpravy vyvlastnění pr</w:t>
      </w:r>
      <w:r w:rsidRPr="00F26992">
        <w:t>avidlo o rozhodování soudů ve lhůtě 90 dnů.</w:t>
      </w:r>
    </w:p>
    <w:p w:rsidR="003F78FE" w:rsidRPr="0035181A" w:rsidRDefault="000865D6" w:rsidP="0035181A">
      <w:pPr>
        <w:pStyle w:val="Normln-tun"/>
        <w:rPr>
          <w:b/>
          <w:bCs/>
          <w:highlight w:val="yellow"/>
        </w:rPr>
      </w:pPr>
      <w:r w:rsidRPr="0035181A">
        <w:rPr>
          <w:b/>
          <w:bCs/>
        </w:rPr>
        <w:t xml:space="preserve">K Variantě </w:t>
      </w:r>
      <w:r w:rsidR="00F26992" w:rsidRPr="0035181A">
        <w:rPr>
          <w:b/>
          <w:bCs/>
        </w:rPr>
        <w:t>5</w:t>
      </w:r>
      <w:r w:rsidRPr="0035181A">
        <w:rPr>
          <w:b/>
          <w:bCs/>
        </w:rPr>
        <w:t xml:space="preserve"> – Souběh vyvlastňovacího a povolovacího řízení</w:t>
      </w:r>
    </w:p>
    <w:p w:rsidR="00E674B5" w:rsidRPr="00776A5F" w:rsidRDefault="000865D6" w:rsidP="00E674B5">
      <w:pPr>
        <w:pStyle w:val="Normlnweb"/>
        <w:rPr>
          <w:highlight w:val="yellow"/>
        </w:rPr>
      </w:pPr>
      <w:r w:rsidRPr="00776A5F">
        <w:t>Na základě přijaté novely zákona č. 416/2009 Sb., (zákon č. 403/2020 Sb.) jako speciální úpravy vyvstal požadavek na souběh řízení vyvlastňovacího a pov</w:t>
      </w:r>
      <w:r w:rsidRPr="00776A5F">
        <w:t>olovacího. Navrhované spojování povolovacího a vyvlastňovacího řízení je velmi složitě aplikovatelné.  Platí zde stále zásada subsidiarity vyvlastnění, tedy vyvlastňovat pouze v nezbytném rozsahu, pokud nelze potřebných práv dosáhnout jinak. Rozsah vyvlast</w:t>
      </w:r>
      <w:r w:rsidRPr="00776A5F">
        <w:t>nění je možné s konečnou platností určit až nezpochybnitelným povolením stavby, které bude pravomocné. Povolení stavby je tedy předběžnou otázkou pro vyvlastnění.</w:t>
      </w:r>
      <w:r w:rsidR="00776A5F">
        <w:t xml:space="preserve"> Vzhledem ke komplexitě problému po důkladné analýze a diskuzích Variantu 5 obecně pro všechny stavby zamítáme. </w:t>
      </w:r>
    </w:p>
    <w:p w:rsidR="001B1656" w:rsidRPr="00795817" w:rsidRDefault="001B1656" w:rsidP="002357D7">
      <w:pPr>
        <w:pStyle w:val="Text-Normaln"/>
        <w:widowControl w:val="0"/>
        <w:rPr>
          <w:b/>
        </w:rPr>
      </w:pPr>
    </w:p>
    <w:p w:rsidR="0016654D" w:rsidRPr="00776A5F" w:rsidRDefault="000865D6" w:rsidP="0016654D">
      <w:pPr>
        <w:pStyle w:val="Nadpis2a"/>
      </w:pPr>
      <w:bookmarkStart w:id="139" w:name="_Toc256000020"/>
      <w:r w:rsidRPr="00776A5F">
        <w:t>Vyvlastňovací řízení</w:t>
      </w:r>
      <w:r w:rsidR="003F78FE" w:rsidRPr="00776A5F">
        <w:t xml:space="preserve"> - </w:t>
      </w:r>
      <w:r w:rsidR="00735261" w:rsidRPr="00776A5F">
        <w:t>souběh</w:t>
      </w:r>
      <w:r w:rsidR="00260A8D" w:rsidRPr="00776A5F">
        <w:t xml:space="preserve"> vyvlastňovacího a dalších řízení</w:t>
      </w:r>
      <w:bookmarkEnd w:id="139"/>
    </w:p>
    <w:p w:rsidR="0016654D" w:rsidRPr="00776A5F" w:rsidRDefault="000865D6" w:rsidP="0016654D">
      <w:pPr>
        <w:pStyle w:val="Text-Normaln"/>
        <w:widowControl w:val="0"/>
        <w:rPr>
          <w:b/>
          <w:bCs/>
        </w:rPr>
      </w:pPr>
      <w:r w:rsidRPr="00776A5F">
        <w:rPr>
          <w:b/>
          <w:bCs/>
        </w:rPr>
        <w:t>Popis současného stavu:</w:t>
      </w:r>
    </w:p>
    <w:p w:rsidR="008726B6" w:rsidRPr="008726B6" w:rsidRDefault="000865D6" w:rsidP="00D043E1">
      <w:pPr>
        <w:pStyle w:val="Normln-tun"/>
      </w:pPr>
      <w:r w:rsidRPr="00776A5F">
        <w:t xml:space="preserve">Stručně popíšeme, jak probíhají řízení, </w:t>
      </w:r>
      <w:r w:rsidR="00140450" w:rsidRPr="00776A5F">
        <w:t xml:space="preserve">u kterých byl identifikován problém ve vazbě na vyvlastňovací řízení, </w:t>
      </w:r>
      <w:r w:rsidRPr="00776A5F">
        <w:t xml:space="preserve">aby bylo možné řešit, jak je lze </w:t>
      </w:r>
      <w:r w:rsidRPr="00776A5F">
        <w:t>protnout, příp. jaké to může přinést problémy</w:t>
      </w:r>
    </w:p>
    <w:p w:rsidR="00FB753D" w:rsidRPr="00D043E1" w:rsidRDefault="000865D6" w:rsidP="00D043E1">
      <w:pPr>
        <w:pStyle w:val="Normln-tun"/>
        <w:rPr>
          <w:u w:val="single"/>
        </w:rPr>
      </w:pPr>
      <w:r w:rsidRPr="00D043E1">
        <w:rPr>
          <w:u w:val="single"/>
        </w:rPr>
        <w:t>Exekuční řízení</w:t>
      </w:r>
    </w:p>
    <w:p w:rsidR="00FB753D" w:rsidRPr="00D043E1" w:rsidRDefault="000865D6" w:rsidP="00D043E1">
      <w:pPr>
        <w:pStyle w:val="Normln-tun"/>
      </w:pPr>
      <w:r>
        <w:t>Není-li subjektivní právo přiznané rozhodnutím soudu, ev. jiného orgánu, splněno dobrovolně, může být nařízena exekuce jako nucená realizace plnění prováděná oprávněnými orgány, a to v rámci exe</w:t>
      </w:r>
      <w:r>
        <w:t>kučního řízení</w:t>
      </w:r>
      <w:r w:rsidR="00D043E1" w:rsidRPr="00D043E1">
        <w:t xml:space="preserve">. </w:t>
      </w:r>
      <w:r w:rsidRPr="00614617">
        <w:rPr>
          <w:u w:val="single"/>
        </w:rPr>
        <w:t>Exekuční řízení</w:t>
      </w:r>
      <w:r w:rsidRPr="00D043E1">
        <w:t xml:space="preserve"> </w:t>
      </w:r>
      <w:r w:rsidR="009C0566">
        <w:t>vede</w:t>
      </w:r>
      <w:r w:rsidRPr="00D043E1">
        <w:t xml:space="preserve"> soudní exekutor</w:t>
      </w:r>
      <w:r>
        <w:t xml:space="preserve">. </w:t>
      </w:r>
      <w:r w:rsidRPr="00614617">
        <w:rPr>
          <w:u w:val="single"/>
        </w:rPr>
        <w:t>A</w:t>
      </w:r>
      <w:r w:rsidR="00D043E1" w:rsidRPr="00614617">
        <w:rPr>
          <w:u w:val="single"/>
        </w:rPr>
        <w:t xml:space="preserve">lternativou </w:t>
      </w:r>
      <w:r w:rsidR="00337BD7" w:rsidRPr="00614617">
        <w:rPr>
          <w:u w:val="single"/>
        </w:rPr>
        <w:t>je</w:t>
      </w:r>
      <w:r w:rsidR="00D043E1" w:rsidRPr="00614617">
        <w:rPr>
          <w:u w:val="single"/>
        </w:rPr>
        <w:t xml:space="preserve"> výkon rozhodnutí prostřednictvím soudů</w:t>
      </w:r>
      <w:r w:rsidR="00D043E1" w:rsidRPr="00D043E1">
        <w:t xml:space="preserve">, jež byly </w:t>
      </w:r>
      <w:r>
        <w:t xml:space="preserve">dříve </w:t>
      </w:r>
      <w:r w:rsidR="00D043E1" w:rsidRPr="00D043E1">
        <w:t>výlučným orgánem vykonávajícím tuto činnost</w:t>
      </w:r>
      <w:r>
        <w:rPr>
          <w:rStyle w:val="Znakapoznpodarou"/>
        </w:rPr>
        <w:footnoteReference w:id="29"/>
      </w:r>
      <w:r w:rsidR="00D043E1" w:rsidRPr="00D043E1">
        <w:t>. Od výkonu rozhodnutí dle OSŘ</w:t>
      </w:r>
      <w:r>
        <w:rPr>
          <w:rStyle w:val="Znakapoznpodarou"/>
        </w:rPr>
        <w:footnoteReference w:id="30"/>
      </w:r>
      <w:r w:rsidR="00D043E1" w:rsidRPr="00D043E1">
        <w:t xml:space="preserve"> a exekuce dle EŘ</w:t>
      </w:r>
      <w:r>
        <w:rPr>
          <w:rStyle w:val="Znakapoznpodarou"/>
        </w:rPr>
        <w:footnoteReference w:id="31"/>
      </w:r>
      <w:r w:rsidR="00D043E1" w:rsidRPr="00D043E1">
        <w:t xml:space="preserve"> je </w:t>
      </w:r>
      <w:r w:rsidR="009C0566">
        <w:t xml:space="preserve">ještě </w:t>
      </w:r>
      <w:r w:rsidR="00D043E1" w:rsidRPr="00D043E1">
        <w:t xml:space="preserve">nutno rozlišovat exekuční řízení daňové a správní, které je upraveno zvláštními právními předpisy. Pro případné střety těchto exekucí </w:t>
      </w:r>
      <w:r w:rsidR="00D16102" w:rsidRPr="00D043E1">
        <w:t>upravuje postup oprávněných orgánů v případě, kdy byly různými druhy exekuce souběžně postiženy též věci, práva nebo jiné majetkové hodnoty</w:t>
      </w:r>
      <w:r w:rsidR="00D16102">
        <w:t xml:space="preserve">, </w:t>
      </w:r>
      <w:r w:rsidR="00337BD7">
        <w:t>zákon č. 119/2001 Sb., kterým se stanoví pravidla pro případy souběžně probíhajících výkonů rozhodnutí, ve znění pozdějších předpisů</w:t>
      </w:r>
      <w:r w:rsidR="00D043E1" w:rsidRPr="00D043E1">
        <w:t>.</w:t>
      </w:r>
      <w:r w:rsidR="006E1F25">
        <w:t xml:space="preserve"> </w:t>
      </w:r>
      <w:r w:rsidRPr="00D043E1">
        <w:t>Hlavními účastníky exekučního řízení je oprávněný a povinný (příp</w:t>
      </w:r>
      <w:r w:rsidR="006E1F25">
        <w:t>.</w:t>
      </w:r>
      <w:r w:rsidRPr="00D043E1">
        <w:t xml:space="preserve"> manžel povinného). </w:t>
      </w:r>
    </w:p>
    <w:p w:rsidR="009A3AAB" w:rsidRDefault="000865D6" w:rsidP="00D043E1">
      <w:pPr>
        <w:pStyle w:val="Normln-tun"/>
      </w:pPr>
      <w:r>
        <w:t>P</w:t>
      </w:r>
      <w:r w:rsidR="00FB753D" w:rsidRPr="00D043E1">
        <w:t>rvním úkonem směřujícím k zahájení exekučního řízení</w:t>
      </w:r>
      <w:r w:rsidRPr="006E1F25">
        <w:t xml:space="preserve"> </w:t>
      </w:r>
      <w:r w:rsidRPr="00D043E1">
        <w:t xml:space="preserve">je </w:t>
      </w:r>
      <w:r>
        <w:t>e</w:t>
      </w:r>
      <w:r w:rsidRPr="00D043E1">
        <w:t>xekuční návrh</w:t>
      </w:r>
      <w:r w:rsidR="00FB753D" w:rsidRPr="00D043E1">
        <w:t>. Exekuční řízení je zahájeno dnem, kdy exekuční návrh došel exekutorovi v souladu s</w:t>
      </w:r>
      <w:r w:rsidR="00F92725">
        <w:t xml:space="preserve"> příslušným </w:t>
      </w:r>
      <w:r w:rsidR="00FB753D" w:rsidRPr="00D043E1">
        <w:t>ustanovením EŘ. Exekutor následně požádá příslušný exekuční soud o pověření a nařízení exekuce, kdy až na základě uděleného pověření soudem je exekutor oprávněn začít zjišťovat a zajišťovat majetek povinného. Ve lhůtě do 15 dnů ode dne doručení pověření zašle exekutor oprávněnému vyrozumění o zahájení exekuce</w:t>
      </w:r>
      <w:r w:rsidR="00C31BBE">
        <w:t>. To je zároveň</w:t>
      </w:r>
      <w:r w:rsidR="00FB753D" w:rsidRPr="00D043E1">
        <w:t xml:space="preserve"> nutn</w:t>
      </w:r>
      <w:r w:rsidR="00C31BBE">
        <w:t>é</w:t>
      </w:r>
      <w:r w:rsidR="00FB753D" w:rsidRPr="00D043E1">
        <w:t xml:space="preserve"> zaslat nejpozději s prvním exekučním příkazem, který je mu v exekučním řízení doručován. </w:t>
      </w:r>
      <w:r w:rsidR="00F92725">
        <w:t>V</w:t>
      </w:r>
      <w:r w:rsidR="00FB753D" w:rsidRPr="00D043E1">
        <w:t xml:space="preserve"> případě, že má povinný nemovitý majetek, se vyrozumění exekutora o </w:t>
      </w:r>
      <w:r w:rsidR="00FB753D" w:rsidRPr="00D043E1">
        <w:lastRenderedPageBreak/>
        <w:t>zahájení exekuce za</w:t>
      </w:r>
      <w:r w:rsidR="00F92725">
        <w:t>sí</w:t>
      </w:r>
      <w:r w:rsidR="00FB753D" w:rsidRPr="00D043E1">
        <w:t>l</w:t>
      </w:r>
      <w:r w:rsidR="00F92725">
        <w:t>á</w:t>
      </w:r>
      <w:r w:rsidR="00FB753D" w:rsidRPr="00D043E1">
        <w:t xml:space="preserve"> i katastrálnímu úřadu, který do katastru nemovitostí k uvedené nemovité věci zahájení exekuce zapíše jako poznámku. </w:t>
      </w:r>
    </w:p>
    <w:p w:rsidR="003F592B" w:rsidRDefault="000865D6" w:rsidP="00D043E1">
      <w:pPr>
        <w:pStyle w:val="Normln-tun"/>
      </w:pPr>
      <w:r>
        <w:t xml:space="preserve">Jakmile bylo </w:t>
      </w:r>
      <w:r>
        <w:t>povinnému doručeno vyrozumění o zahájení exekuce, nesmí jakkoli nakládat se svým majetkem</w:t>
      </w:r>
      <w:r>
        <w:rPr>
          <w:rStyle w:val="Znakapoznpodarou"/>
        </w:rPr>
        <w:footnoteReference w:id="32"/>
      </w:r>
      <w:r>
        <w:t>.</w:t>
      </w:r>
    </w:p>
    <w:p w:rsidR="00DB121F" w:rsidRDefault="000865D6" w:rsidP="00DB121F">
      <w:pPr>
        <w:pStyle w:val="Normln-tun"/>
      </w:pPr>
      <w:r w:rsidRPr="00DB121F">
        <w:t>Společně s vyrozuměním zasílá soudní exekutor povinnému výzvu ke splnění vymáhané povinnosti, ve které jsou vyčísleny vymáhané nároky, záloha na snížené náklady exe</w:t>
      </w:r>
      <w:r w:rsidRPr="00DB121F">
        <w:t>kuce a náklady oprávněného. Součástí výzvy je poučení povinného, že v případě splnění povinnosti do 30 dnů od doručení výzvy vydá soudní exekutor neprodleně příkaz k úhradě nákladů exekuce, jehož nabytím právní moci bude exekuce provedena. Ke splnění výzvy</w:t>
      </w:r>
      <w:r w:rsidRPr="00DB121F">
        <w:t xml:space="preserve"> (tedy splnění vymáhané povinnosti, úhradě zálohy na snížených nákladů exekuce a nákladů oprávněného) je povinný motivován zejména sníženou odměnou exekutora, kterému v takovém případě náleží odměna pouze ve výši 50</w:t>
      </w:r>
      <w:r w:rsidR="007B220B">
        <w:t> </w:t>
      </w:r>
      <w:r w:rsidRPr="00DB121F">
        <w:t>% z</w:t>
      </w:r>
      <w:r w:rsidR="00900FA6" w:rsidRPr="00DB121F">
        <w:t> vyhláškou stanovené</w:t>
      </w:r>
      <w:r w:rsidRPr="00DB121F">
        <w:t xml:space="preserve"> částky.</w:t>
      </w:r>
      <w:r w:rsidR="004D2B1F" w:rsidRPr="004D2B1F">
        <w:t xml:space="preserve"> </w:t>
      </w:r>
      <w:r w:rsidR="004D2B1F">
        <w:t>V opačném případě</w:t>
      </w:r>
      <w:r w:rsidR="004D2B1F" w:rsidRPr="004D2B1F">
        <w:t xml:space="preserve"> exekutor provede exekuci.</w:t>
      </w:r>
    </w:p>
    <w:p w:rsidR="007B220B" w:rsidRDefault="000865D6" w:rsidP="007B220B">
      <w:pPr>
        <w:pStyle w:val="Normln-tun"/>
      </w:pPr>
      <w:r>
        <w:t>Ustanovení § 59 odst. 1 EŘ</w:t>
      </w:r>
      <w:r w:rsidR="00776A5F">
        <w:t xml:space="preserve"> </w:t>
      </w:r>
      <w:r>
        <w:t>uvádí konkrétní způsoby, kterými lze exekuce pro peněžité plnění provést:</w:t>
      </w:r>
    </w:p>
    <w:p w:rsidR="007B220B" w:rsidRDefault="000865D6" w:rsidP="007B220B">
      <w:pPr>
        <w:pStyle w:val="Normln-tun"/>
      </w:pPr>
      <w:r>
        <w:t>a) srážkami ze mzdy a jiných příjmů,</w:t>
      </w:r>
    </w:p>
    <w:p w:rsidR="004D2B1F" w:rsidRDefault="000865D6" w:rsidP="007B220B">
      <w:pPr>
        <w:pStyle w:val="Normln-tun"/>
      </w:pPr>
      <w:r>
        <w:t>b) přikázáním pohledávky,</w:t>
      </w:r>
    </w:p>
    <w:p w:rsidR="007B220B" w:rsidRDefault="000865D6" w:rsidP="007B220B">
      <w:pPr>
        <w:pStyle w:val="Normln-tun"/>
      </w:pPr>
      <w:r>
        <w:t xml:space="preserve">c) prodejem movitých věcí a nemovitých věcí, </w:t>
      </w:r>
    </w:p>
    <w:p w:rsidR="007B220B" w:rsidRDefault="000865D6" w:rsidP="007B220B">
      <w:pPr>
        <w:pStyle w:val="Normln-tun"/>
      </w:pPr>
      <w:r>
        <w:t>d) postiže</w:t>
      </w:r>
      <w:r>
        <w:t xml:space="preserve">ním závodu, </w:t>
      </w:r>
    </w:p>
    <w:p w:rsidR="007B220B" w:rsidRDefault="000865D6" w:rsidP="007B220B">
      <w:pPr>
        <w:pStyle w:val="Normln-tun"/>
      </w:pPr>
      <w:r>
        <w:t xml:space="preserve">e) správou nemovité věci, </w:t>
      </w:r>
    </w:p>
    <w:p w:rsidR="007B220B" w:rsidRDefault="000865D6" w:rsidP="007B220B">
      <w:pPr>
        <w:pStyle w:val="Normln-tun"/>
      </w:pPr>
      <w:r>
        <w:t>f) pozastavením řidičského oprávnění.</w:t>
      </w:r>
    </w:p>
    <w:p w:rsidR="007B220B" w:rsidRPr="007B220B" w:rsidRDefault="000865D6" w:rsidP="007B220B">
      <w:pPr>
        <w:pStyle w:val="Normln-tun"/>
      </w:pPr>
      <w:r w:rsidRPr="00DD68CB">
        <w:t>Způsob exekuce ukládající jinou povinnost</w:t>
      </w:r>
      <w:r w:rsidR="00930161">
        <w:t xml:space="preserve"> </w:t>
      </w:r>
      <w:r w:rsidRPr="00DD68CB">
        <w:t>než zaplacení peněžité částky se řídí povahou uložené povinnosti.</w:t>
      </w:r>
    </w:p>
    <w:p w:rsidR="007B220B" w:rsidRPr="007B220B" w:rsidRDefault="000865D6" w:rsidP="007B220B">
      <w:pPr>
        <w:pStyle w:val="Normln-tun"/>
      </w:pPr>
      <w:r w:rsidRPr="007B220B">
        <w:t>Právní úprava výběru způsobu provedení exekuce peněžité částky upředno</w:t>
      </w:r>
      <w:r w:rsidRPr="007B220B">
        <w:t>stňuje přikázání pohledávky z účtu u peněžního ústavu, dále srážky ze mzdy a jiných příjmů či zřízení exekutorského práva na nemovitých věcech. Teprve v případě, kdy těmito způsoby nelze uspokojit pohledávku, přistoupí soudní exekutor k provedení exekuce i</w:t>
      </w:r>
      <w:r w:rsidRPr="007B220B">
        <w:t>nvazivnějšími prostředky, jako jsou například exekuce prodejem movitých a nemovitých věcí. V případě, že povinný vlastní více nemovitých věcí, dochází nejdříve k prodeji té, kterou povinný nepoužívá k bydlení svému a své rodiny.</w:t>
      </w:r>
    </w:p>
    <w:p w:rsidR="007B220B" w:rsidRDefault="000865D6" w:rsidP="007B220B">
      <w:pPr>
        <w:pStyle w:val="Normln-tun"/>
      </w:pPr>
      <w:r>
        <w:t>Zákonná úprava průběhu exek</w:t>
      </w:r>
      <w:r>
        <w:t>uce prodejem nemovitých věcí se rozděluje do několika relativně samostatných fází. Těmito fázemi jsou 1) nařízení exekuce 2) určení ceny nemovité věci a jejího příslušenství, ceny závad a práv s nemovitou věcí spojených, určení závad, které prodejem v draž</w:t>
      </w:r>
      <w:r>
        <w:t xml:space="preserve">bě nezaniknou a určení výsledné ceny, 3) vydání usnesení o dražební vyhlášce, 4) dražba a 5) jednání o rozvrhu. </w:t>
      </w:r>
    </w:p>
    <w:p w:rsidR="008D1870" w:rsidRDefault="000865D6" w:rsidP="00480AFE">
      <w:pPr>
        <w:pStyle w:val="Normln-tun"/>
      </w:pPr>
      <w:r>
        <w:t>Po nabytí právní moci exekučního příkazu ustanoví soudní exekutor usnesením soudního znalce či znalecký ústav, aby provedl ocenění nemovité věc</w:t>
      </w:r>
      <w:r>
        <w:t xml:space="preserve">i a jejího příslušenství a stanovil obvyklou cenu. Tou se rozumí cena, která by byla dosažena při prodejích stejného, popřípadě obdobného majetku nebo při poskytování stejné nebo obdobné </w:t>
      </w:r>
      <w:r>
        <w:lastRenderedPageBreak/>
        <w:t>služby v obvyklém obchodním styku v tuzemsku ke dni ocenění.</w:t>
      </w:r>
      <w:r w:rsidR="00083076" w:rsidRPr="00083076">
        <w:t xml:space="preserve"> </w:t>
      </w:r>
      <w:r w:rsidR="00083076">
        <w:t>S</w:t>
      </w:r>
      <w:r w:rsidR="00083076" w:rsidRPr="00083076">
        <w:t>oudní znalec ve znaleckém posudku ocen</w:t>
      </w:r>
      <w:r w:rsidR="00083076">
        <w:t>í i</w:t>
      </w:r>
      <w:r w:rsidR="00083076" w:rsidRPr="00083076">
        <w:t xml:space="preserve"> práva a závady spojená s nemovitou věcí.</w:t>
      </w:r>
    </w:p>
    <w:p w:rsidR="00293D5C" w:rsidRDefault="000865D6" w:rsidP="002A69F8">
      <w:pPr>
        <w:pStyle w:val="Normln-tun"/>
      </w:pPr>
      <w:r>
        <w:t>Dražební vyhlášku je možno vydat po právní moci usnesení o ceně. Mezi náležitosti dražební patří především datum, čas a místo dražebního jednání.</w:t>
      </w:r>
      <w:r w:rsidRPr="00A15732">
        <w:t xml:space="preserve"> </w:t>
      </w:r>
      <w:r>
        <w:t>Další esenciální náležitostí draže</w:t>
      </w:r>
      <w:r>
        <w:t xml:space="preserve">bní vyhlášky je označení nemovité věci a jejího příslušenství. </w:t>
      </w:r>
      <w:r w:rsidR="002705FC">
        <w:t>V dražební vyhlášce musí být také uvedena výsledná cena, nejnižší podání</w:t>
      </w:r>
      <w:r w:rsidR="002A69F8">
        <w:t xml:space="preserve"> </w:t>
      </w:r>
      <w:r w:rsidR="002705FC">
        <w:t>a výše jistoty. Výsledná cena se nemůže lišit od jejího uvedení v pravomocném usnesení o ceně, a tak je výrok o její výši toliko informativního charakteru.</w:t>
      </w:r>
      <w:r w:rsidR="002A69F8">
        <w:t xml:space="preserve"> </w:t>
      </w:r>
      <w:r w:rsidR="002705FC">
        <w:t xml:space="preserve">Co se týče nejnižšího podání neboli vyvolávací ceny, stanovuje se ve výši dvou třetin výsledné ceny. </w:t>
      </w:r>
      <w:r w:rsidR="002A69F8">
        <w:t>T</w:t>
      </w:r>
      <w:r w:rsidR="002705FC">
        <w:t>o však neznamená, že</w:t>
      </w:r>
      <w:r w:rsidR="002A69F8">
        <w:t xml:space="preserve"> </w:t>
      </w:r>
      <w:r w:rsidR="002705FC">
        <w:t xml:space="preserve">se nemovitá věc za tuto cenu prodá. Cena se může vyšplhat </w:t>
      </w:r>
      <w:r w:rsidR="002A69F8">
        <w:t xml:space="preserve">nad </w:t>
      </w:r>
      <w:r w:rsidR="002705FC">
        <w:t>výslednou cenu určenou soudním znalcem nebo naopak nemusí být učiněno ani nejnižší podání.</w:t>
      </w:r>
      <w:r w:rsidR="002A69F8">
        <w:t xml:space="preserve"> </w:t>
      </w:r>
    </w:p>
    <w:p w:rsidR="002A69F8" w:rsidRDefault="000865D6" w:rsidP="002A69F8">
      <w:pPr>
        <w:pStyle w:val="Normln-tun"/>
      </w:pPr>
      <w:r>
        <w:t>Při dražebním jednání pak dochází k realizaci způsobu provedení exekuce prodejem nemovitých věcí.</w:t>
      </w:r>
    </w:p>
    <w:p w:rsidR="00293D5C" w:rsidRDefault="000865D6" w:rsidP="002A69F8">
      <w:pPr>
        <w:pStyle w:val="Normln-tun"/>
      </w:pPr>
      <w:r>
        <w:t>Soudní exekutor musí mj. v den dražby zkoumat, zda nebyla uhrazena jím vymáhaná pohledávka s příslušenstvím, náklady nalézacího řízení, náklady oprávněného a náklady exekuce. Dražební jednání je nutno odročit, i pokud byla podána žaloba na vyloučení věci a</w:t>
      </w:r>
      <w:r>
        <w:t xml:space="preserve"> dosud o ní nebylo rozhodnuto. Soudní exekutor musí </w:t>
      </w:r>
      <w:r w:rsidR="00EF6A30">
        <w:t xml:space="preserve">taktéž </w:t>
      </w:r>
      <w:r>
        <w:t>zkoumat, zda povinný nepodal insolvenční návrh, o němž do začátku dražebního jednání nebylo rozhodnuto. Dle IZ je jedním z účinků zahájení insolvenčního řízení nemožnost provedení exekuce.</w:t>
      </w:r>
    </w:p>
    <w:p w:rsidR="00FB753D" w:rsidRDefault="000865D6" w:rsidP="003F374C">
      <w:pPr>
        <w:pStyle w:val="Normln-tun"/>
      </w:pPr>
      <w:r w:rsidRPr="00D043E1">
        <w:t>Vyvrchol</w:t>
      </w:r>
      <w:r w:rsidRPr="00D043E1">
        <w:t xml:space="preserve">ením dražby a cílem exekuce je pravomocné usnesení o příklepu a úhrada částky, za kterou vydražitel nemovitou věc vydražil. </w:t>
      </w:r>
      <w:r w:rsidR="003F374C">
        <w:t>Poslední fází exekuce prodejem nemovité věci je rozvrh výtěžku, který vyúsťuje do rozvrhového usnesení. V něm soudní exekutor rozhodne, které pohledávky budou z rozdělované podstaty uspokojeny, popřípadě v jaké skupině a v jakém pořadí.</w:t>
      </w:r>
      <w:r>
        <w:rPr>
          <w:rStyle w:val="Znakapoznpodarou"/>
        </w:rPr>
        <w:footnoteReference w:id="33"/>
      </w:r>
      <w:r w:rsidR="003F374C">
        <w:t xml:space="preserve"> </w:t>
      </w:r>
    </w:p>
    <w:p w:rsidR="002C420A" w:rsidRPr="00D043E1" w:rsidRDefault="000865D6" w:rsidP="003F374C">
      <w:pPr>
        <w:pStyle w:val="Normln-tun"/>
      </w:pPr>
      <w:r>
        <w:t>Vydražitel nabývá vlastnické právo k vydražené nemovitosti a jejímu příslušenství ke dni vydání usnesení o příklepu, ovšem pouze v případě, že bylo v</w:t>
      </w:r>
      <w:r>
        <w:t>ydražitelem uhrazeno nejvyšší podání.</w:t>
      </w:r>
    </w:p>
    <w:p w:rsidR="00C47BF3" w:rsidRPr="00D47FC5" w:rsidRDefault="000865D6" w:rsidP="00007F52">
      <w:pPr>
        <w:pStyle w:val="Text-Normaln"/>
        <w:widowControl w:val="0"/>
      </w:pPr>
      <w:r w:rsidRPr="00D47FC5">
        <w:t>ZVD dále pracuje s pojmy dobrovolné a nedobrovolné dražby. Svojí</w:t>
      </w:r>
      <w:r w:rsidR="00D47FC5" w:rsidRPr="00D47FC5">
        <w:t xml:space="preserve"> </w:t>
      </w:r>
      <w:r w:rsidRPr="00D47FC5">
        <w:t>povahou se dražba dobrovolná podstatně liší od dražby nedobrovolné, a to i mimo</w:t>
      </w:r>
      <w:r w:rsidR="00D47FC5" w:rsidRPr="00D47FC5">
        <w:t xml:space="preserve"> </w:t>
      </w:r>
      <w:r w:rsidRPr="00D47FC5">
        <w:t>rámec ZVD. Dobrovolnou dražbu je možné na základě určitých prvků přirovna</w:t>
      </w:r>
      <w:r w:rsidRPr="00D47FC5">
        <w:t>t ke</w:t>
      </w:r>
      <w:r w:rsidR="00D47FC5" w:rsidRPr="00D47FC5">
        <w:t xml:space="preserve"> </w:t>
      </w:r>
      <w:r w:rsidRPr="00D47FC5">
        <w:t>konsensuálnímu převodu práva, zatímco dražbu nedobrovolnou je třeba chápat jako</w:t>
      </w:r>
      <w:r w:rsidR="00D47FC5" w:rsidRPr="00D47FC5">
        <w:t xml:space="preserve"> </w:t>
      </w:r>
      <w:r w:rsidRPr="00D47FC5">
        <w:t>nucený výkon práva oprávněného. Je tedy zřejmé, že postavení vlastníka předmětu</w:t>
      </w:r>
      <w:r w:rsidR="00D47FC5" w:rsidRPr="00D47FC5">
        <w:t xml:space="preserve"> </w:t>
      </w:r>
      <w:r w:rsidRPr="00D47FC5">
        <w:t>dražby se diametrálně liší právě podle toho, zda se jedná o dražbu dobrovolnou</w:t>
      </w:r>
      <w:r w:rsidR="00D47FC5" w:rsidRPr="00D47FC5">
        <w:t xml:space="preserve"> </w:t>
      </w:r>
      <w:r w:rsidRPr="00D47FC5">
        <w:t>nebo o dražb</w:t>
      </w:r>
      <w:r w:rsidRPr="00D47FC5">
        <w:t>u nedobrovolnou. U dražby nedobrovolné totiž vlastník předmětu</w:t>
      </w:r>
      <w:r w:rsidR="00D47FC5" w:rsidRPr="00D47FC5">
        <w:t xml:space="preserve"> </w:t>
      </w:r>
      <w:r w:rsidRPr="00D47FC5">
        <w:t>dražby v jejím průběhu zaujímá v podstatě jen pasivní pozici, a to jak v případě, že</w:t>
      </w:r>
      <w:r w:rsidR="00D47FC5" w:rsidRPr="00D47FC5">
        <w:t xml:space="preserve"> </w:t>
      </w:r>
      <w:r w:rsidRPr="00D47FC5">
        <w:t>se jedná o nedobrovolnou dražbu dle ZVD nebo dražbu dle OSŘ.</w:t>
      </w:r>
    </w:p>
    <w:p w:rsidR="00195ADB" w:rsidRPr="00D043E1" w:rsidRDefault="000865D6" w:rsidP="00195ADB">
      <w:pPr>
        <w:pStyle w:val="Normln-tun"/>
        <w:rPr>
          <w:u w:val="single"/>
        </w:rPr>
      </w:pPr>
      <w:r>
        <w:rPr>
          <w:u w:val="single"/>
        </w:rPr>
        <w:t>Insolvenč</w:t>
      </w:r>
      <w:r w:rsidRPr="00D043E1">
        <w:rPr>
          <w:u w:val="single"/>
        </w:rPr>
        <w:t>ní řízení</w:t>
      </w:r>
    </w:p>
    <w:p w:rsidR="00C47BF3" w:rsidRDefault="000865D6" w:rsidP="00FB753D">
      <w:pPr>
        <w:pStyle w:val="Text-Normaln"/>
        <w:widowControl w:val="0"/>
      </w:pPr>
      <w:r>
        <w:t>Jestli</w:t>
      </w:r>
      <w:r w:rsidR="00D47FC5">
        <w:t>ž</w:t>
      </w:r>
      <w:r>
        <w:t xml:space="preserve">e není dlužník </w:t>
      </w:r>
      <w:r>
        <w:t>schopen dostát svým závazkům vůči více věřitelům, dostává se do úpadku, který je potřeba nějakým způsobem řešit. Řešením je pak postup dle insolvenčního zákona</w:t>
      </w:r>
      <w:r>
        <w:rPr>
          <w:rStyle w:val="Znakapoznpodarou"/>
        </w:rPr>
        <w:footnoteReference w:id="34"/>
      </w:r>
      <w:r>
        <w:t>. Cílem insolvenčního řízení je co mo</w:t>
      </w:r>
      <w:r w:rsidR="00D47FC5">
        <w:t>ž</w:t>
      </w:r>
      <w:r>
        <w:t>ná nejvyšší a poměrné uspokojení dlu</w:t>
      </w:r>
      <w:r w:rsidR="00D47FC5">
        <w:t>ž</w:t>
      </w:r>
      <w:r>
        <w:t>níkových věřitelů</w:t>
      </w:r>
    </w:p>
    <w:p w:rsidR="00C47BF3" w:rsidRDefault="000865D6" w:rsidP="00FB753D">
      <w:pPr>
        <w:pStyle w:val="Text-Normaln"/>
        <w:widowControl w:val="0"/>
      </w:pPr>
      <w:r>
        <w:t>Vla</w:t>
      </w:r>
      <w:r>
        <w:t>stní řízení se zahájí podáním insolvenčního návrhu. Následuje rozhodnutí o úpadku</w:t>
      </w:r>
      <w:r w:rsidR="001309B5">
        <w:t xml:space="preserve"> a </w:t>
      </w:r>
      <w:r>
        <w:lastRenderedPageBreak/>
        <w:t>pokud soud rozhodne o dlu</w:t>
      </w:r>
      <w:r w:rsidR="00D47FC5">
        <w:t>ž</w:t>
      </w:r>
      <w:r>
        <w:t xml:space="preserve">níkově úpadku, </w:t>
      </w:r>
      <w:r w:rsidR="001309B5">
        <w:t>navazuje se</w:t>
      </w:r>
      <w:r>
        <w:t xml:space="preserve"> rozhodnutí</w:t>
      </w:r>
      <w:r w:rsidR="001309B5">
        <w:t>m</w:t>
      </w:r>
      <w:r>
        <w:t xml:space="preserve"> o způsobu řešení úpadku. Pokud insolvenční návrh podal dlu</w:t>
      </w:r>
      <w:r w:rsidR="00D47FC5">
        <w:t>ž</w:t>
      </w:r>
      <w:r>
        <w:t>ník, který zároveň s insolvenčním návrhem navrhu</w:t>
      </w:r>
      <w:r>
        <w:t>je pro sebe povolení oddlu</w:t>
      </w:r>
      <w:r w:rsidR="00D47FC5">
        <w:t>ž</w:t>
      </w:r>
      <w:r>
        <w:t>ení a splňuje všechny potřebné předpoklady pro povolení oddlu</w:t>
      </w:r>
      <w:r w:rsidR="00D47FC5">
        <w:t>ž</w:t>
      </w:r>
      <w:r>
        <w:t>ení, soud mů</w:t>
      </w:r>
      <w:r w:rsidR="00D47FC5">
        <w:t>ž</w:t>
      </w:r>
      <w:r>
        <w:t xml:space="preserve">e spojit rozhodnutí o úpadku s rozhodnutím o způsobu jeho řešení. Insolvenční řízení končí </w:t>
      </w:r>
      <w:r w:rsidR="001309B5">
        <w:t>způsobem odvislým od</w:t>
      </w:r>
      <w:r>
        <w:t xml:space="preserve"> </w:t>
      </w:r>
      <w:r w:rsidR="001309B5">
        <w:t>konkrétního</w:t>
      </w:r>
      <w:r>
        <w:t xml:space="preserve"> způsobu řešení úpadku. U konku</w:t>
      </w:r>
      <w:r>
        <w:t>rsu insolvenční řízení končí splněním rozvrhového usnesení, u reorganizace splněním reorganizačního plánu a u oddlu</w:t>
      </w:r>
      <w:r w:rsidR="00D47FC5">
        <w:t>ž</w:t>
      </w:r>
      <w:r>
        <w:t>ení splněním podmínek oddlu</w:t>
      </w:r>
      <w:r w:rsidR="00D47FC5">
        <w:t>ž</w:t>
      </w:r>
      <w:r>
        <w:t>ení.</w:t>
      </w:r>
    </w:p>
    <w:p w:rsidR="009F7E38" w:rsidRPr="009F7E38" w:rsidRDefault="000865D6" w:rsidP="009F7E38">
      <w:pPr>
        <w:pStyle w:val="Normln-tun"/>
      </w:pPr>
      <w:r w:rsidRPr="009F7E38">
        <w:t xml:space="preserve">Nejzásadnější rozdíl mezi exekučním a insolvenčním řízením spočívá v jejich předmětu. Cílem exekuce je </w:t>
      </w:r>
      <w:r w:rsidRPr="009F7E38">
        <w:t>vymožení pohledávky oprávněného, zatímco účelem insolvenčního řízení je zjištění úpadku dlužníka a jeho řešení. Z toho vyplývají i další odlišnosti. </w:t>
      </w:r>
    </w:p>
    <w:p w:rsidR="009F7E38" w:rsidRPr="009F7E38" w:rsidRDefault="000865D6" w:rsidP="009F7E38">
      <w:pPr>
        <w:pStyle w:val="Normln-tun"/>
      </w:pPr>
      <w:r w:rsidRPr="009F7E38">
        <w:t>V exekučním řízení se uspokojuje pouze pohledávka věřitele, který podal návrh na jeho zahájení. Exekučních</w:t>
      </w:r>
      <w:r w:rsidRPr="009F7E38">
        <w:t xml:space="preserve"> řízení lze proti dlužníkovi zahájit libovolné množství podle počtu vykonatelných pohledávek, a to i různými věřiteli. Oprávnění se uspokojují v pořadí podle okamžiku zahájení exekučního řízení. Věřitelé, kteří zahájili řízení dříve, se uspokojují přednost</w:t>
      </w:r>
      <w:r w:rsidRPr="009F7E38">
        <w:t>ně. To znamená, že až po vymožení celé pohledávky věřitele, který podal návrh na zahájení řízení první, se začíná uspokojovat pohledávka věřitele druhého a tak dále.</w:t>
      </w:r>
    </w:p>
    <w:p w:rsidR="009F7E38" w:rsidRPr="009F7E38" w:rsidRDefault="000865D6" w:rsidP="009F7E38">
      <w:pPr>
        <w:pStyle w:val="Normln-tun"/>
      </w:pPr>
      <w:r w:rsidRPr="009F7E38">
        <w:t>Z předmětu insolvenčního řízení vyplývá, že může být proti dlužníkovi v jednom okamžiku za</w:t>
      </w:r>
      <w:r w:rsidRPr="009F7E38">
        <w:t>hájeno pouze jedno insolvenční řízení a uspokojují se v něm pohledávky všech věřitelů. Věřitelé se v něm uspokojují zásadně poměrně (přestože existují různé skupiny pohledávek, v jejich rámci mají věřitelé rovné postavení).</w:t>
      </w:r>
    </w:p>
    <w:p w:rsidR="009F7E38" w:rsidRPr="009F7E38" w:rsidRDefault="000865D6" w:rsidP="009F7E38">
      <w:pPr>
        <w:pStyle w:val="Normln-tun"/>
      </w:pPr>
      <w:r w:rsidRPr="009F7E38">
        <w:t>Nejdůležitější rozdíly shrnuje n</w:t>
      </w:r>
      <w:r w:rsidRPr="009F7E38">
        <w:t>ásledující tabulka:</w:t>
      </w:r>
    </w:p>
    <w:tbl>
      <w:tblPr>
        <w:tblStyle w:val="Barevntabulkaseznamu6zvraznn51"/>
        <w:tblW w:w="9072" w:type="dxa"/>
        <w:tblLook w:val="04A0" w:firstRow="1" w:lastRow="0" w:firstColumn="1" w:lastColumn="0" w:noHBand="0" w:noVBand="1"/>
      </w:tblPr>
      <w:tblGrid>
        <w:gridCol w:w="3024"/>
        <w:gridCol w:w="3024"/>
        <w:gridCol w:w="3024"/>
      </w:tblGrid>
      <w:tr w:rsidR="00FC72A1" w:rsidTr="00FC72A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24" w:type="dxa"/>
            <w:vAlign w:val="center"/>
            <w:hideMark/>
          </w:tcPr>
          <w:p w:rsidR="009F7E38" w:rsidRPr="009F7E38" w:rsidRDefault="000865D6" w:rsidP="009F7E38">
            <w:pPr>
              <w:spacing w:before="0" w:after="0"/>
              <w:rPr>
                <w:rFonts w:asciiTheme="minorHAnsi" w:hAnsiTheme="minorHAnsi" w:cstheme="minorHAnsi"/>
                <w:color w:val="auto"/>
                <w:sz w:val="20"/>
                <w:szCs w:val="20"/>
              </w:rPr>
            </w:pPr>
            <w:r w:rsidRPr="009F7E38">
              <w:rPr>
                <w:rFonts w:asciiTheme="minorHAnsi" w:hAnsiTheme="minorHAnsi" w:cstheme="minorHAnsi"/>
                <w:sz w:val="20"/>
                <w:szCs w:val="20"/>
              </w:rPr>
              <w:t> </w:t>
            </w:r>
          </w:p>
        </w:tc>
        <w:tc>
          <w:tcPr>
            <w:tcW w:w="3024" w:type="dxa"/>
            <w:vAlign w:val="center"/>
            <w:hideMark/>
          </w:tcPr>
          <w:p w:rsidR="009F7E38" w:rsidRPr="009F7E38" w:rsidRDefault="000865D6" w:rsidP="009F7E38">
            <w:pPr>
              <w:pStyle w:val="Normlnweb"/>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Insolvenční řízení</w:t>
            </w:r>
          </w:p>
        </w:tc>
        <w:tc>
          <w:tcPr>
            <w:tcW w:w="3024" w:type="dxa"/>
            <w:vAlign w:val="center"/>
            <w:hideMark/>
          </w:tcPr>
          <w:p w:rsidR="009F7E38" w:rsidRPr="009F7E38" w:rsidRDefault="000865D6" w:rsidP="009F7E38">
            <w:pPr>
              <w:pStyle w:val="Normlnweb"/>
              <w:spacing w:before="0"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Exekuční řízení</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24" w:type="dxa"/>
            <w:vAlign w:val="center"/>
          </w:tcPr>
          <w:p w:rsidR="004D1A51" w:rsidRPr="009F7E38" w:rsidRDefault="000865D6" w:rsidP="009F7E38">
            <w:pPr>
              <w:pStyle w:val="Normlnweb"/>
              <w:spacing w:before="0" w:after="0"/>
              <w:rPr>
                <w:rFonts w:asciiTheme="minorHAnsi" w:hAnsiTheme="minorHAnsi" w:cstheme="minorHAnsi"/>
                <w:sz w:val="20"/>
                <w:szCs w:val="20"/>
              </w:rPr>
            </w:pPr>
            <w:r w:rsidRPr="004D1A51">
              <w:rPr>
                <w:rFonts w:asciiTheme="minorHAnsi" w:hAnsiTheme="minorHAnsi" w:cstheme="minorHAnsi"/>
                <w:sz w:val="20"/>
                <w:szCs w:val="20"/>
              </w:rPr>
              <w:t>Řízení</w:t>
            </w:r>
          </w:p>
        </w:tc>
        <w:tc>
          <w:tcPr>
            <w:tcW w:w="3024" w:type="dxa"/>
            <w:vAlign w:val="center"/>
          </w:tcPr>
          <w:p w:rsidR="004D1A51" w:rsidRPr="009F7E38" w:rsidRDefault="000865D6" w:rsidP="009F7E38">
            <w:pPr>
              <w:pStyle w:val="Normlnweb"/>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4D1A51">
              <w:rPr>
                <w:rFonts w:asciiTheme="minorHAnsi" w:hAnsiTheme="minorHAnsi" w:cstheme="minorHAnsi"/>
                <w:sz w:val="20"/>
                <w:szCs w:val="20"/>
              </w:rPr>
              <w:t>Nalézací</w:t>
            </w:r>
            <w:r>
              <w:rPr>
                <w:rFonts w:asciiTheme="minorHAnsi" w:hAnsiTheme="minorHAnsi" w:cstheme="minorHAnsi"/>
                <w:sz w:val="20"/>
                <w:szCs w:val="20"/>
              </w:rPr>
              <w:t>,</w:t>
            </w:r>
            <w:r w:rsidRPr="004D1A51">
              <w:rPr>
                <w:rFonts w:asciiTheme="minorHAnsi" w:hAnsiTheme="minorHAnsi" w:cstheme="minorHAnsi"/>
                <w:sz w:val="20"/>
                <w:szCs w:val="20"/>
              </w:rPr>
              <w:t xml:space="preserve"> vykonávací</w:t>
            </w:r>
          </w:p>
        </w:tc>
        <w:tc>
          <w:tcPr>
            <w:tcW w:w="3024" w:type="dxa"/>
            <w:vAlign w:val="center"/>
          </w:tcPr>
          <w:p w:rsidR="004D1A51" w:rsidRPr="009F7E38" w:rsidRDefault="000865D6" w:rsidP="009F7E38">
            <w:pPr>
              <w:pStyle w:val="Normlnweb"/>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Pr>
                <w:rFonts w:asciiTheme="minorHAnsi" w:hAnsiTheme="minorHAnsi" w:cstheme="minorHAnsi"/>
                <w:sz w:val="20"/>
                <w:szCs w:val="20"/>
              </w:rPr>
              <w:t>V</w:t>
            </w:r>
            <w:r w:rsidRPr="004D1A51">
              <w:rPr>
                <w:rFonts w:asciiTheme="minorHAnsi" w:hAnsiTheme="minorHAnsi" w:cstheme="minorHAnsi"/>
                <w:sz w:val="20"/>
                <w:szCs w:val="20"/>
              </w:rPr>
              <w:t>ykonávacím</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3024" w:type="dxa"/>
            <w:vAlign w:val="center"/>
            <w:hideMark/>
          </w:tcPr>
          <w:p w:rsidR="009F7E38" w:rsidRPr="009F7E38" w:rsidRDefault="000865D6" w:rsidP="009F7E38">
            <w:pPr>
              <w:pStyle w:val="Normlnweb"/>
              <w:spacing w:before="0" w:after="0"/>
              <w:rPr>
                <w:rFonts w:asciiTheme="minorHAnsi" w:hAnsiTheme="minorHAnsi" w:cstheme="minorHAnsi"/>
                <w:sz w:val="20"/>
                <w:szCs w:val="20"/>
              </w:rPr>
            </w:pPr>
            <w:r w:rsidRPr="009F7E38">
              <w:rPr>
                <w:rFonts w:asciiTheme="minorHAnsi" w:hAnsiTheme="minorHAnsi" w:cstheme="minorHAnsi"/>
                <w:sz w:val="20"/>
                <w:szCs w:val="20"/>
              </w:rPr>
              <w:t>Kdo může podat návrh?</w:t>
            </w:r>
          </w:p>
        </w:tc>
        <w:tc>
          <w:tcPr>
            <w:tcW w:w="3024" w:type="dxa"/>
            <w:vAlign w:val="center"/>
            <w:hideMark/>
          </w:tcPr>
          <w:p w:rsidR="009F7E38" w:rsidRPr="009F7E38" w:rsidRDefault="000865D6" w:rsidP="009F7E38">
            <w:pPr>
              <w:pStyle w:val="Normlnweb"/>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Věřitel i dlužník</w:t>
            </w:r>
          </w:p>
        </w:tc>
        <w:tc>
          <w:tcPr>
            <w:tcW w:w="3024" w:type="dxa"/>
            <w:vAlign w:val="center"/>
            <w:hideMark/>
          </w:tcPr>
          <w:p w:rsidR="009F7E38" w:rsidRPr="009F7E38" w:rsidRDefault="000865D6" w:rsidP="009F7E38">
            <w:pPr>
              <w:pStyle w:val="Normlnweb"/>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Pouze věřitel</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24" w:type="dxa"/>
            <w:vAlign w:val="center"/>
            <w:hideMark/>
          </w:tcPr>
          <w:p w:rsidR="009F7E38" w:rsidRPr="009F7E38" w:rsidRDefault="000865D6" w:rsidP="009F7E38">
            <w:pPr>
              <w:pStyle w:val="Normlnweb"/>
              <w:spacing w:before="0" w:after="0"/>
              <w:rPr>
                <w:rFonts w:asciiTheme="minorHAnsi" w:hAnsiTheme="minorHAnsi" w:cstheme="minorHAnsi"/>
                <w:sz w:val="20"/>
                <w:szCs w:val="20"/>
              </w:rPr>
            </w:pPr>
            <w:r w:rsidRPr="009F7E38">
              <w:rPr>
                <w:rFonts w:asciiTheme="minorHAnsi" w:hAnsiTheme="minorHAnsi" w:cstheme="minorHAnsi"/>
                <w:sz w:val="20"/>
                <w:szCs w:val="20"/>
              </w:rPr>
              <w:t>Označení účastníků</w:t>
            </w:r>
          </w:p>
        </w:tc>
        <w:tc>
          <w:tcPr>
            <w:tcW w:w="3024" w:type="dxa"/>
            <w:vAlign w:val="center"/>
            <w:hideMark/>
          </w:tcPr>
          <w:p w:rsidR="009F7E38" w:rsidRPr="009F7E38" w:rsidRDefault="000865D6" w:rsidP="009F7E38">
            <w:pPr>
              <w:pStyle w:val="Normlnweb"/>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Věřitel a dlužník</w:t>
            </w:r>
          </w:p>
        </w:tc>
        <w:tc>
          <w:tcPr>
            <w:tcW w:w="3024" w:type="dxa"/>
            <w:vAlign w:val="center"/>
            <w:hideMark/>
          </w:tcPr>
          <w:p w:rsidR="009F7E38" w:rsidRPr="009F7E38" w:rsidRDefault="000865D6" w:rsidP="009F7E38">
            <w:pPr>
              <w:pStyle w:val="Normlnweb"/>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Oprávněný a povinný</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3024" w:type="dxa"/>
            <w:vAlign w:val="center"/>
            <w:hideMark/>
          </w:tcPr>
          <w:p w:rsidR="009F7E38" w:rsidRPr="009F7E38" w:rsidRDefault="000865D6" w:rsidP="009F7E38">
            <w:pPr>
              <w:pStyle w:val="Normlnweb"/>
              <w:spacing w:before="0" w:after="0"/>
              <w:rPr>
                <w:rFonts w:asciiTheme="minorHAnsi" w:hAnsiTheme="minorHAnsi" w:cstheme="minorHAnsi"/>
                <w:sz w:val="20"/>
                <w:szCs w:val="20"/>
              </w:rPr>
            </w:pPr>
            <w:r w:rsidRPr="009F7E38">
              <w:rPr>
                <w:rFonts w:asciiTheme="minorHAnsi" w:hAnsiTheme="minorHAnsi" w:cstheme="minorHAnsi"/>
                <w:sz w:val="20"/>
                <w:szCs w:val="20"/>
              </w:rPr>
              <w:t>Povaha vymáhané pohledávky</w:t>
            </w:r>
          </w:p>
        </w:tc>
        <w:tc>
          <w:tcPr>
            <w:tcW w:w="3024" w:type="dxa"/>
            <w:vAlign w:val="center"/>
            <w:hideMark/>
          </w:tcPr>
          <w:p w:rsidR="009F7E38" w:rsidRPr="009F7E38" w:rsidRDefault="000865D6" w:rsidP="009F7E38">
            <w:pPr>
              <w:pStyle w:val="Normlnweb"/>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 xml:space="preserve">Pouze peněžité </w:t>
            </w:r>
            <w:r w:rsidRPr="009F7E38">
              <w:rPr>
                <w:rFonts w:asciiTheme="minorHAnsi" w:hAnsiTheme="minorHAnsi" w:cstheme="minorHAnsi"/>
                <w:sz w:val="20"/>
                <w:szCs w:val="20"/>
              </w:rPr>
              <w:t>pohledávky</w:t>
            </w:r>
          </w:p>
        </w:tc>
        <w:tc>
          <w:tcPr>
            <w:tcW w:w="3024" w:type="dxa"/>
            <w:vAlign w:val="center"/>
            <w:hideMark/>
          </w:tcPr>
          <w:p w:rsidR="009F7E38" w:rsidRPr="009F7E38" w:rsidRDefault="000865D6" w:rsidP="009F7E38">
            <w:pPr>
              <w:pStyle w:val="Normlnweb"/>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Peněžité i nepeněžité pohledávky</w:t>
            </w:r>
          </w:p>
        </w:tc>
      </w:tr>
      <w:tr w:rsidR="00FC72A1" w:rsidTr="00FC72A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024" w:type="dxa"/>
            <w:vAlign w:val="center"/>
            <w:hideMark/>
          </w:tcPr>
          <w:p w:rsidR="009F7E38" w:rsidRPr="009F7E38" w:rsidRDefault="000865D6" w:rsidP="009F7E38">
            <w:pPr>
              <w:pStyle w:val="Normlnweb"/>
              <w:spacing w:before="0" w:after="0"/>
              <w:rPr>
                <w:rFonts w:asciiTheme="minorHAnsi" w:hAnsiTheme="minorHAnsi" w:cstheme="minorHAnsi"/>
                <w:sz w:val="20"/>
                <w:szCs w:val="20"/>
              </w:rPr>
            </w:pPr>
            <w:r w:rsidRPr="009F7E38">
              <w:rPr>
                <w:rFonts w:asciiTheme="minorHAnsi" w:hAnsiTheme="minorHAnsi" w:cstheme="minorHAnsi"/>
                <w:sz w:val="20"/>
                <w:szCs w:val="20"/>
              </w:rPr>
              <w:t>Počet v jeden okamžik</w:t>
            </w:r>
          </w:p>
        </w:tc>
        <w:tc>
          <w:tcPr>
            <w:tcW w:w="3024" w:type="dxa"/>
            <w:vAlign w:val="center"/>
            <w:hideMark/>
          </w:tcPr>
          <w:p w:rsidR="009F7E38" w:rsidRPr="009F7E38" w:rsidRDefault="000865D6" w:rsidP="009F7E38">
            <w:pPr>
              <w:pStyle w:val="Normlnweb"/>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Pouze jedno</w:t>
            </w:r>
          </w:p>
        </w:tc>
        <w:tc>
          <w:tcPr>
            <w:tcW w:w="3024" w:type="dxa"/>
            <w:vAlign w:val="center"/>
            <w:hideMark/>
          </w:tcPr>
          <w:p w:rsidR="009F7E38" w:rsidRPr="009F7E38" w:rsidRDefault="000865D6" w:rsidP="009F7E38">
            <w:pPr>
              <w:pStyle w:val="Normlnweb"/>
              <w:spacing w:before="0"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Neomezené množství</w:t>
            </w:r>
          </w:p>
        </w:tc>
      </w:tr>
      <w:tr w:rsidR="00FC72A1" w:rsidTr="00FC72A1">
        <w:trPr>
          <w:trHeight w:val="340"/>
        </w:trPr>
        <w:tc>
          <w:tcPr>
            <w:cnfStyle w:val="001000000000" w:firstRow="0" w:lastRow="0" w:firstColumn="1" w:lastColumn="0" w:oddVBand="0" w:evenVBand="0" w:oddHBand="0" w:evenHBand="0" w:firstRowFirstColumn="0" w:firstRowLastColumn="0" w:lastRowFirstColumn="0" w:lastRowLastColumn="0"/>
            <w:tcW w:w="3024" w:type="dxa"/>
            <w:vAlign w:val="center"/>
            <w:hideMark/>
          </w:tcPr>
          <w:p w:rsidR="009F7E38" w:rsidRPr="009F7E38" w:rsidRDefault="000865D6" w:rsidP="009F7E38">
            <w:pPr>
              <w:pStyle w:val="Normlnweb"/>
              <w:spacing w:before="0" w:after="0"/>
              <w:rPr>
                <w:rFonts w:asciiTheme="minorHAnsi" w:hAnsiTheme="minorHAnsi" w:cstheme="minorHAnsi"/>
                <w:sz w:val="20"/>
                <w:szCs w:val="20"/>
              </w:rPr>
            </w:pPr>
            <w:r w:rsidRPr="009F7E38">
              <w:rPr>
                <w:rFonts w:asciiTheme="minorHAnsi" w:hAnsiTheme="minorHAnsi" w:cstheme="minorHAnsi"/>
                <w:sz w:val="20"/>
                <w:szCs w:val="20"/>
              </w:rPr>
              <w:t>Způsob uspokojení věřitelů</w:t>
            </w:r>
          </w:p>
        </w:tc>
        <w:tc>
          <w:tcPr>
            <w:tcW w:w="3024" w:type="dxa"/>
            <w:vAlign w:val="center"/>
            <w:hideMark/>
          </w:tcPr>
          <w:p w:rsidR="009F7E38" w:rsidRPr="009F7E38" w:rsidRDefault="000865D6" w:rsidP="009F7E38">
            <w:pPr>
              <w:pStyle w:val="Normlnweb"/>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Poměrné</w:t>
            </w:r>
          </w:p>
        </w:tc>
        <w:tc>
          <w:tcPr>
            <w:tcW w:w="3024" w:type="dxa"/>
            <w:vAlign w:val="center"/>
            <w:hideMark/>
          </w:tcPr>
          <w:p w:rsidR="009F7E38" w:rsidRPr="009F7E38" w:rsidRDefault="000865D6" w:rsidP="009F7E38">
            <w:pPr>
              <w:pStyle w:val="Normlnweb"/>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9F7E38">
              <w:rPr>
                <w:rFonts w:asciiTheme="minorHAnsi" w:hAnsiTheme="minorHAnsi" w:cstheme="minorHAnsi"/>
                <w:sz w:val="20"/>
                <w:szCs w:val="20"/>
              </w:rPr>
              <w:t>Postupné</w:t>
            </w:r>
          </w:p>
        </w:tc>
      </w:tr>
    </w:tbl>
    <w:p w:rsidR="009F7E38" w:rsidRPr="009F7E38" w:rsidRDefault="000865D6" w:rsidP="004D1A51">
      <w:pPr>
        <w:pStyle w:val="Normln-tun"/>
        <w:spacing w:before="240"/>
      </w:pPr>
      <w:r w:rsidRPr="005F241B">
        <w:rPr>
          <w:b/>
          <w:bCs/>
        </w:rPr>
        <w:t>Mezi nejzásadnější účinky zahájení insolvenčního řízení patří zákaz provedení exekuce.</w:t>
      </w:r>
      <w:r w:rsidRPr="009F7E38">
        <w:t xml:space="preserve"> Exekuci i výkon lze sice nařídit nebo zahájit, exekutor může v součinnosti s různými subjekty shromažďovat informace o povinném a přihlížet insolvenčnímu řízení (vyčkávat, až skončí), nicméně není oprávněn provádět exekuční příkazy. </w:t>
      </w:r>
    </w:p>
    <w:p w:rsidR="009F7E38" w:rsidRPr="009F7E38" w:rsidRDefault="000865D6" w:rsidP="009F7E38">
      <w:pPr>
        <w:pStyle w:val="Normln-tun"/>
      </w:pPr>
      <w:r w:rsidRPr="009F7E38">
        <w:t xml:space="preserve">V případě, že je </w:t>
      </w:r>
      <w:r w:rsidRPr="009F7E38">
        <w:t>insolvenční řízení skončeno rozhodnutím o splnění oddlužení s osvobozením dlužníka od placení zbytku pohledávek, exekutor bude nucen exekuční řízení zastavit.</w:t>
      </w:r>
      <w:r w:rsidR="004B2C4C">
        <w:t xml:space="preserve"> </w:t>
      </w:r>
      <w:r w:rsidRPr="009F7E38">
        <w:t>Pokud dlužník nebude od placení zbytku pohledávek osvobozen, tzn. při neúspěšném průběhu oddlužen</w:t>
      </w:r>
      <w:r w:rsidRPr="009F7E38">
        <w:t>í a při konkursu, bude exekuční řízení po skončení insolvenčního řízení nadále pokračovat a exekutor bude pohledávky oprávněných vymáhat</w:t>
      </w:r>
      <w:r>
        <w:rPr>
          <w:rStyle w:val="Znakapoznpodarou"/>
        </w:rPr>
        <w:footnoteReference w:id="35"/>
      </w:r>
      <w:r w:rsidRPr="009F7E38">
        <w:t>.</w:t>
      </w:r>
    </w:p>
    <w:p w:rsidR="00AC2482" w:rsidRPr="00776A5F" w:rsidRDefault="000865D6" w:rsidP="00AC2482">
      <w:pPr>
        <w:pStyle w:val="Normln-tun"/>
        <w:rPr>
          <w:b/>
          <w:bCs/>
        </w:rPr>
      </w:pPr>
      <w:r w:rsidRPr="00776A5F">
        <w:rPr>
          <w:b/>
          <w:bCs/>
        </w:rPr>
        <w:t>Statistiky výše uvedených procesů</w:t>
      </w:r>
    </w:p>
    <w:p w:rsidR="00730F15" w:rsidRPr="00776A5F" w:rsidRDefault="000865D6" w:rsidP="00AC2482">
      <w:pPr>
        <w:pStyle w:val="Normln-tun"/>
        <w:rPr>
          <w:u w:val="single"/>
        </w:rPr>
      </w:pPr>
      <w:r w:rsidRPr="00776A5F">
        <w:rPr>
          <w:u w:val="single"/>
        </w:rPr>
        <w:t>E</w:t>
      </w:r>
      <w:r w:rsidR="006E7276" w:rsidRPr="00776A5F">
        <w:rPr>
          <w:u w:val="single"/>
        </w:rPr>
        <w:t xml:space="preserve">xekuce </w:t>
      </w:r>
    </w:p>
    <w:p w:rsidR="001E5E63" w:rsidRPr="00776A5F" w:rsidRDefault="000865D6" w:rsidP="004F1BC0">
      <w:pPr>
        <w:pStyle w:val="Normln-tun"/>
        <w:rPr>
          <w:shd w:val="clear" w:color="auto" w:fill="FFFFFF"/>
        </w:rPr>
      </w:pPr>
      <w:r w:rsidRPr="00776A5F">
        <w:rPr>
          <w:shd w:val="clear" w:color="auto" w:fill="FFFFFF"/>
        </w:rPr>
        <w:lastRenderedPageBreak/>
        <w:t>Počet pravomocných exekucí dle dat Exekutorské komory činil k 29. 10. 2021</w:t>
      </w:r>
      <w:r w:rsidRPr="00776A5F">
        <w:rPr>
          <w:shd w:val="clear" w:color="auto" w:fill="FFFFFF"/>
        </w:rPr>
        <w:t xml:space="preserve"> 4 576 608. Oproti roku 2020 došlo k mírnému vzestupu z cca 4,3</w:t>
      </w:r>
      <w:r w:rsidR="00E8480C" w:rsidRPr="00776A5F">
        <w:rPr>
          <w:shd w:val="clear" w:color="auto" w:fill="FFFFFF"/>
        </w:rPr>
        <w:t>3</w:t>
      </w:r>
      <w:r w:rsidRPr="00776A5F">
        <w:rPr>
          <w:shd w:val="clear" w:color="auto" w:fill="FFFFFF"/>
        </w:rPr>
        <w:t xml:space="preserve"> milionu. </w:t>
      </w:r>
      <w:r w:rsidR="00E8480C" w:rsidRPr="00776A5F">
        <w:rPr>
          <w:shd w:val="clear" w:color="auto" w:fill="FFFFFF"/>
        </w:rPr>
        <w:t xml:space="preserve">Důvodem nárůstu počtu exekucí byly především speciálně přijatá moratoria na provádění exekucí obsažená v tzv. zákonech Lex Covid I, II a III, kvůli kterým nebylo možné exekuce provádět a ukončovat. V letech 2017-2019 byl počet exekucí postupně 4,67 milionu, 4,68 milionu a 4,5 milionu. </w:t>
      </w:r>
    </w:p>
    <w:p w:rsidR="006C071B" w:rsidRDefault="000865D6" w:rsidP="006C071B">
      <w:pPr>
        <w:pStyle w:val="Normln-tun"/>
        <w:rPr>
          <w:highlight w:val="yellow"/>
          <w:shd w:val="clear" w:color="auto" w:fill="FFFFFF"/>
        </w:rPr>
      </w:pPr>
      <w:r w:rsidRPr="00776A5F">
        <w:rPr>
          <w:shd w:val="clear" w:color="auto" w:fill="FFFFFF"/>
        </w:rPr>
        <w:t>Ročně je v posledních letech nařizováno</w:t>
      </w:r>
      <w:r>
        <w:rPr>
          <w:shd w:val="clear" w:color="auto" w:fill="FFFFFF"/>
        </w:rPr>
        <w:t xml:space="preserve"> kolem půl milionu exekucí ročně. </w:t>
      </w:r>
      <w:r w:rsidRPr="000362FA">
        <w:rPr>
          <w:shd w:val="clear" w:color="auto" w:fill="FFFFFF"/>
        </w:rPr>
        <w:t>Počet zahájených exekucí (FO+PO)</w:t>
      </w:r>
      <w:r>
        <w:rPr>
          <w:shd w:val="clear" w:color="auto" w:fill="FFFFFF"/>
        </w:rPr>
        <w:t xml:space="preserve"> a </w:t>
      </w:r>
      <w:r w:rsidRPr="000362FA">
        <w:rPr>
          <w:shd w:val="clear" w:color="auto" w:fill="FFFFFF"/>
        </w:rPr>
        <w:t>počet ukončených exekucí (FO + PO)</w:t>
      </w:r>
      <w:r>
        <w:rPr>
          <w:shd w:val="clear" w:color="auto" w:fill="FFFFFF"/>
        </w:rPr>
        <w:t xml:space="preserve"> ukazuje </w:t>
      </w:r>
      <w:r>
        <w:rPr>
          <w:shd w:val="clear" w:color="auto" w:fill="FFFFFF"/>
        </w:rPr>
        <w:t xml:space="preserve">následující tabulka. </w:t>
      </w:r>
    </w:p>
    <w:p w:rsidR="00E8480C" w:rsidRDefault="000865D6" w:rsidP="00E8480C">
      <w:pPr>
        <w:pStyle w:val="Titulek"/>
        <w:keepNext/>
      </w:pPr>
      <w:r>
        <w:t xml:space="preserve">Tabulka </w:t>
      </w:r>
      <w:r w:rsidR="00D644CC">
        <w:fldChar w:fldCharType="begin"/>
      </w:r>
      <w:r>
        <w:instrText xml:space="preserve"> SEQ Tabulka \* ARABIC </w:instrText>
      </w:r>
      <w:r w:rsidR="00D644CC">
        <w:fldChar w:fldCharType="separate"/>
      </w:r>
      <w:r>
        <w:t>24</w:t>
      </w:r>
      <w:r w:rsidR="00D644CC">
        <w:rPr>
          <w:noProof/>
        </w:rPr>
        <w:fldChar w:fldCharType="end"/>
      </w:r>
      <w:r>
        <w:t xml:space="preserve">: </w:t>
      </w:r>
      <w:r w:rsidRPr="00E8480C">
        <w:t>Počet zahájených exekucí (FO+PO), počet ukončených exekucí (FO + PO) (roční)</w:t>
      </w:r>
    </w:p>
    <w:p w:rsidR="004E68EA" w:rsidRPr="004E68EA" w:rsidRDefault="000865D6" w:rsidP="004E68EA">
      <w:pPr>
        <w:spacing w:after="0"/>
        <w:rPr>
          <w:lang w:eastAsia="cs-CZ"/>
        </w:rPr>
      </w:pPr>
      <w:r w:rsidRPr="000362FA">
        <w:rPr>
          <w:noProof/>
          <w:lang w:eastAsia="cs-CZ"/>
        </w:rPr>
        <w:drawing>
          <wp:inline distT="0" distB="0" distL="0" distR="0">
            <wp:extent cx="3988323" cy="224589"/>
            <wp:effectExtent l="0" t="0" r="0" b="444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rcRect b="92085"/>
                    <a:stretch>
                      <a:fillRect/>
                    </a:stretch>
                  </pic:blipFill>
                  <pic:spPr bwMode="auto">
                    <a:xfrm>
                      <a:off x="0" y="0"/>
                      <a:ext cx="3993190" cy="224863"/>
                    </a:xfrm>
                    <a:prstGeom prst="rect">
                      <a:avLst/>
                    </a:prstGeom>
                    <a:ln>
                      <a:noFill/>
                    </a:ln>
                    <a:extLst>
                      <a:ext uri="{53640926-AAD7-44D8-BBD7-CCE9431645EC}">
                        <a14:shadowObscured xmlns:a14="http://schemas.microsoft.com/office/drawing/2010/main"/>
                      </a:ext>
                    </a:extLst>
                  </pic:spPr>
                </pic:pic>
              </a:graphicData>
            </a:graphic>
          </wp:inline>
        </w:drawing>
      </w:r>
    </w:p>
    <w:p w:rsidR="006C071B" w:rsidRDefault="000865D6" w:rsidP="004E68EA">
      <w:pPr>
        <w:pStyle w:val="Normln-tun"/>
        <w:spacing w:before="0"/>
        <w:rPr>
          <w:highlight w:val="yellow"/>
          <w:shd w:val="clear" w:color="auto" w:fill="FFFFFF"/>
        </w:rPr>
      </w:pPr>
      <w:r w:rsidRPr="000362FA">
        <w:rPr>
          <w:noProof/>
          <w:lang w:eastAsia="cs-CZ"/>
        </w:rPr>
        <w:drawing>
          <wp:inline distT="0" distB="0" distL="0" distR="0">
            <wp:extent cx="3987404" cy="868045"/>
            <wp:effectExtent l="0" t="0" r="0" b="825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18444" name=""/>
                    <pic:cNvPicPr/>
                  </pic:nvPicPr>
                  <pic:blipFill>
                    <a:blip r:embed="rId12"/>
                    <a:srcRect t="69401"/>
                    <a:stretch>
                      <a:fillRect/>
                    </a:stretch>
                  </pic:blipFill>
                  <pic:spPr bwMode="auto">
                    <a:xfrm>
                      <a:off x="0" y="0"/>
                      <a:ext cx="3993190" cy="869305"/>
                    </a:xfrm>
                    <a:prstGeom prst="rect">
                      <a:avLst/>
                    </a:prstGeom>
                    <a:ln>
                      <a:noFill/>
                    </a:ln>
                    <a:extLst>
                      <a:ext uri="{53640926-AAD7-44D8-BBD7-CCE9431645EC}">
                        <a14:shadowObscured xmlns:a14="http://schemas.microsoft.com/office/drawing/2010/main"/>
                      </a:ext>
                    </a:extLst>
                  </pic:spPr>
                </pic:pic>
              </a:graphicData>
            </a:graphic>
          </wp:inline>
        </w:drawing>
      </w:r>
    </w:p>
    <w:p w:rsidR="006C071B" w:rsidRPr="00776A5F" w:rsidRDefault="000865D6" w:rsidP="009D133E">
      <w:pPr>
        <w:pStyle w:val="Citt"/>
      </w:pPr>
      <w:r w:rsidRPr="00776A5F">
        <w:t xml:space="preserve">Zdroj: </w:t>
      </w:r>
      <w:hyperlink r:id="rId13" w:history="1">
        <w:r w:rsidRPr="00776A5F">
          <w:rPr>
            <w:rStyle w:val="Hypertextovodkaz"/>
            <w:color w:val="000000"/>
            <w:u w:val="none"/>
          </w:rPr>
          <w:t>statistiky.ekcr.info/statistiky</w:t>
        </w:r>
      </w:hyperlink>
    </w:p>
    <w:p w:rsidR="00E67E04" w:rsidRPr="00776A5F" w:rsidRDefault="000865D6" w:rsidP="00E67E04">
      <w:pPr>
        <w:pStyle w:val="Normln-tun"/>
        <w:rPr>
          <w:shd w:val="clear" w:color="auto" w:fill="FFFFFF"/>
        </w:rPr>
      </w:pPr>
      <w:r w:rsidRPr="00776A5F">
        <w:rPr>
          <w:shd w:val="clear" w:color="auto" w:fill="FFFFFF"/>
        </w:rPr>
        <w:t>Celkem bylo v ČR k 29. 10. 2021 v exekuci 711 939 FO. Exekutorská komora evidovala. Rok předtím to bylo 719 503.</w:t>
      </w:r>
    </w:p>
    <w:p w:rsidR="00E67E04" w:rsidRDefault="000865D6" w:rsidP="00E67E04">
      <w:pPr>
        <w:pStyle w:val="Normln-tun"/>
        <w:rPr>
          <w:highlight w:val="yellow"/>
          <w:shd w:val="clear" w:color="auto" w:fill="FFFFFF"/>
        </w:rPr>
      </w:pPr>
      <w:r w:rsidRPr="00DE363B">
        <w:rPr>
          <w:shd w:val="clear" w:color="auto" w:fill="FFFFFF"/>
        </w:rPr>
        <w:t>Celkový počet povinných (FO) v exekuci:</w:t>
      </w:r>
    </w:p>
    <w:p w:rsidR="00E67E04" w:rsidRDefault="000865D6" w:rsidP="00E67E04">
      <w:pPr>
        <w:pStyle w:val="Normln-tun"/>
        <w:rPr>
          <w:highlight w:val="yellow"/>
          <w:shd w:val="clear" w:color="auto" w:fill="FFFFFF"/>
        </w:rPr>
      </w:pPr>
      <w:r w:rsidRPr="004A43C7">
        <w:rPr>
          <w:noProof/>
          <w:lang w:eastAsia="cs-CZ"/>
        </w:rPr>
        <w:drawing>
          <wp:inline distT="0" distB="0" distL="0" distR="0">
            <wp:extent cx="2367280" cy="1158240"/>
            <wp:effectExtent l="0" t="0" r="0" b="381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449189" name=""/>
                    <pic:cNvPicPr/>
                  </pic:nvPicPr>
                  <pic:blipFill>
                    <a:blip r:embed="rId14"/>
                    <a:srcRect b="24708"/>
                    <a:stretch>
                      <a:fillRect/>
                    </a:stretch>
                  </pic:blipFill>
                  <pic:spPr bwMode="auto">
                    <a:xfrm>
                      <a:off x="0" y="0"/>
                      <a:ext cx="2384257" cy="1166546"/>
                    </a:xfrm>
                    <a:prstGeom prst="rect">
                      <a:avLst/>
                    </a:prstGeom>
                    <a:ln>
                      <a:noFill/>
                    </a:ln>
                    <a:extLst>
                      <a:ext uri="{53640926-AAD7-44D8-BBD7-CCE9431645EC}">
                        <a14:shadowObscured xmlns:a14="http://schemas.microsoft.com/office/drawing/2010/main"/>
                      </a:ext>
                    </a:extLst>
                  </pic:spPr>
                </pic:pic>
              </a:graphicData>
            </a:graphic>
          </wp:inline>
        </w:drawing>
      </w:r>
    </w:p>
    <w:p w:rsidR="00E67E04" w:rsidRPr="009D133E" w:rsidRDefault="000865D6" w:rsidP="009D133E">
      <w:pPr>
        <w:pStyle w:val="Citt"/>
      </w:pPr>
      <w:r w:rsidRPr="00776A5F">
        <w:t xml:space="preserve">Zdroj: </w:t>
      </w:r>
      <w:hyperlink r:id="rId15" w:history="1">
        <w:r w:rsidRPr="00776A5F">
          <w:rPr>
            <w:rStyle w:val="Hypertextovodkaz"/>
            <w:color w:val="000000"/>
            <w:u w:val="none"/>
          </w:rPr>
          <w:t>statistiky.ekcr.info/statistiky</w:t>
        </w:r>
      </w:hyperlink>
    </w:p>
    <w:p w:rsidR="00425403" w:rsidRDefault="000865D6" w:rsidP="00262978">
      <w:pPr>
        <w:pStyle w:val="Normln-tun"/>
        <w:rPr>
          <w:shd w:val="clear" w:color="auto" w:fill="FFFFFF"/>
        </w:rPr>
      </w:pPr>
      <w:r w:rsidRPr="00776A5F">
        <w:rPr>
          <w:shd w:val="clear" w:color="auto" w:fill="FFFFFF"/>
        </w:rPr>
        <w:t xml:space="preserve">Co se </w:t>
      </w:r>
      <w:r w:rsidRPr="00776A5F">
        <w:rPr>
          <w:shd w:val="clear" w:color="auto" w:fill="FFFFFF"/>
        </w:rPr>
        <w:t>týče</w:t>
      </w:r>
      <w:r w:rsidR="004F1BC0" w:rsidRPr="00776A5F">
        <w:rPr>
          <w:shd w:val="clear" w:color="auto" w:fill="FFFFFF"/>
        </w:rPr>
        <w:t xml:space="preserve"> vícečetných exekucí</w:t>
      </w:r>
      <w:r w:rsidRPr="00776A5F">
        <w:rPr>
          <w:shd w:val="clear" w:color="auto" w:fill="FFFFFF"/>
        </w:rPr>
        <w:t xml:space="preserve">, situace se postupně zhoršuje. Průměrný počet exekucí na osobu se zvýšil </w:t>
      </w:r>
      <w:r w:rsidR="00262978" w:rsidRPr="00776A5F">
        <w:rPr>
          <w:shd w:val="clear" w:color="auto" w:fill="FFFFFF"/>
        </w:rPr>
        <w:t>z 5,3 v roce 2016 na 5,7 v roce 2018 a na</w:t>
      </w:r>
      <w:r w:rsidRPr="00776A5F">
        <w:rPr>
          <w:shd w:val="clear" w:color="auto" w:fill="FFFFFF"/>
        </w:rPr>
        <w:t xml:space="preserve"> 6,43</w:t>
      </w:r>
      <w:r w:rsidR="00262978" w:rsidRPr="00776A5F">
        <w:rPr>
          <w:shd w:val="clear" w:color="auto" w:fill="FFFFFF"/>
        </w:rPr>
        <w:t xml:space="preserve"> v roce 2020</w:t>
      </w:r>
      <w:r w:rsidRPr="00776A5F">
        <w:rPr>
          <w:shd w:val="clear" w:color="auto" w:fill="FFFFFF"/>
        </w:rPr>
        <w:t>.</w:t>
      </w:r>
      <w:r w:rsidR="00262978" w:rsidRPr="00776A5F">
        <w:rPr>
          <w:shd w:val="clear" w:color="auto" w:fill="FFFFFF"/>
        </w:rPr>
        <w:t xml:space="preserve"> </w:t>
      </w:r>
      <w:r w:rsidR="008E5807" w:rsidRPr="00776A5F">
        <w:rPr>
          <w:shd w:val="clear" w:color="auto" w:fill="FFFFFF"/>
        </w:rPr>
        <w:t>Zároveň</w:t>
      </w:r>
      <w:r w:rsidR="008E5807">
        <w:rPr>
          <w:shd w:val="clear" w:color="auto" w:fill="FFFFFF"/>
        </w:rPr>
        <w:t xml:space="preserve"> u většího počtu exekucí na povinného je meziroční pokles </w:t>
      </w:r>
      <w:r w:rsidR="001E75C8">
        <w:rPr>
          <w:shd w:val="clear" w:color="auto" w:fill="FFFFFF"/>
        </w:rPr>
        <w:t xml:space="preserve">celkového počtu </w:t>
      </w:r>
      <w:r w:rsidR="008E5807">
        <w:rPr>
          <w:shd w:val="clear" w:color="auto" w:fill="FFFFFF"/>
        </w:rPr>
        <w:t>2020/2019 menší.</w:t>
      </w:r>
    </w:p>
    <w:p w:rsidR="00FC2B13" w:rsidRDefault="000865D6">
      <w:pPr>
        <w:spacing w:before="0" w:after="0"/>
        <w:jc w:val="left"/>
        <w:rPr>
          <w:rFonts w:eastAsia="Times New Roman"/>
          <w:b/>
          <w:bCs/>
          <w:color w:val="000000"/>
          <w:sz w:val="22"/>
          <w:szCs w:val="20"/>
          <w:lang w:eastAsia="cs-CZ"/>
        </w:rPr>
      </w:pPr>
      <w:r>
        <w:br w:type="page"/>
      </w:r>
    </w:p>
    <w:p w:rsidR="00262978" w:rsidRDefault="000865D6" w:rsidP="00262978">
      <w:pPr>
        <w:pStyle w:val="Titulek"/>
      </w:pPr>
      <w:r>
        <w:lastRenderedPageBreak/>
        <w:t xml:space="preserve">Tabulka </w:t>
      </w:r>
      <w:r w:rsidR="00D644CC">
        <w:fldChar w:fldCharType="begin"/>
      </w:r>
      <w:r>
        <w:instrText xml:space="preserve"> SEQ Tabulka \* ARABIC </w:instrText>
      </w:r>
      <w:r w:rsidR="00D644CC">
        <w:fldChar w:fldCharType="separate"/>
      </w:r>
      <w:r>
        <w:t>25</w:t>
      </w:r>
      <w:r w:rsidR="00D644CC">
        <w:rPr>
          <w:noProof/>
        </w:rPr>
        <w:fldChar w:fldCharType="end"/>
      </w:r>
      <w:r>
        <w:t>:</w:t>
      </w:r>
      <w:r w:rsidRPr="00262978">
        <w:t xml:space="preserve"> </w:t>
      </w:r>
      <w:r w:rsidRPr="00D81436">
        <w:t xml:space="preserve">Vícečetné exekuce na </w:t>
      </w:r>
      <w:r>
        <w:t>FO</w:t>
      </w:r>
    </w:p>
    <w:p w:rsidR="004F1BC0" w:rsidRDefault="000865D6" w:rsidP="004F1BC0">
      <w:pPr>
        <w:pStyle w:val="Normln-tun"/>
        <w:rPr>
          <w:highlight w:val="yellow"/>
          <w:shd w:val="clear" w:color="auto" w:fill="FFFFFF"/>
        </w:rPr>
      </w:pPr>
      <w:r w:rsidRPr="00B6364F">
        <w:rPr>
          <w:noProof/>
          <w:lang w:eastAsia="cs-CZ"/>
        </w:rPr>
        <w:drawing>
          <wp:inline distT="0" distB="0" distL="0" distR="0">
            <wp:extent cx="4824099" cy="28067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0129" name=""/>
                    <pic:cNvPicPr/>
                  </pic:nvPicPr>
                  <pic:blipFill>
                    <a:blip r:embed="rId16"/>
                    <a:stretch>
                      <a:fillRect/>
                    </a:stretch>
                  </pic:blipFill>
                  <pic:spPr>
                    <a:xfrm>
                      <a:off x="0" y="0"/>
                      <a:ext cx="4825545" cy="2807541"/>
                    </a:xfrm>
                    <a:prstGeom prst="rect">
                      <a:avLst/>
                    </a:prstGeom>
                  </pic:spPr>
                </pic:pic>
              </a:graphicData>
            </a:graphic>
          </wp:inline>
        </w:drawing>
      </w:r>
    </w:p>
    <w:p w:rsidR="00931BA4" w:rsidRPr="009D133E" w:rsidRDefault="000865D6" w:rsidP="009D133E">
      <w:pPr>
        <w:pStyle w:val="Citt"/>
        <w:rPr>
          <w:highlight w:val="yellow"/>
        </w:rPr>
      </w:pPr>
      <w:r w:rsidRPr="00776A5F">
        <w:t xml:space="preserve">Zdroj: </w:t>
      </w:r>
      <w:hyperlink r:id="rId17" w:history="1">
        <w:r w:rsidRPr="00776A5F">
          <w:rPr>
            <w:rStyle w:val="Hypertextovodkaz"/>
            <w:color w:val="000000"/>
            <w:u w:val="none"/>
          </w:rPr>
          <w:t>statistiky.ekcr.info/statistiky</w:t>
        </w:r>
      </w:hyperlink>
    </w:p>
    <w:p w:rsidR="002506DA" w:rsidRPr="00776A5F" w:rsidRDefault="000865D6" w:rsidP="00201935">
      <w:pPr>
        <w:pStyle w:val="Normln-tun"/>
      </w:pPr>
      <w:r w:rsidRPr="00776A5F">
        <w:t>Průměrná doba trvání celého exekučního řízení je 10 let</w:t>
      </w:r>
      <w:r w:rsidR="00201935" w:rsidRPr="00776A5F">
        <w:t>.</w:t>
      </w:r>
      <w:r w:rsidRPr="00776A5F">
        <w:t xml:space="preserve"> </w:t>
      </w:r>
      <w:r w:rsidR="00201935" w:rsidRPr="00776A5F">
        <w:t>Samotné</w:t>
      </w:r>
      <w:r w:rsidRPr="00776A5F">
        <w:t xml:space="preserve"> přímé vymáhání končící úspěšný</w:t>
      </w:r>
      <w:r w:rsidRPr="00776A5F">
        <w:t xml:space="preserve">m vymožením formou splátek, srážek nebo prodeje nemovitosti </w:t>
      </w:r>
      <w:r w:rsidR="00201935" w:rsidRPr="00776A5F">
        <w:t xml:space="preserve">pak </w:t>
      </w:r>
      <w:r w:rsidRPr="00776A5F">
        <w:t>trvá v průměru 5 let</w:t>
      </w:r>
      <w:r>
        <w:rPr>
          <w:rStyle w:val="Znakapoznpodarou"/>
        </w:rPr>
        <w:footnoteReference w:id="36"/>
      </w:r>
      <w:r w:rsidR="00201935" w:rsidRPr="00776A5F">
        <w:t>.</w:t>
      </w:r>
    </w:p>
    <w:p w:rsidR="00E65231" w:rsidRPr="00776A5F" w:rsidRDefault="000865D6" w:rsidP="00D81436">
      <w:pPr>
        <w:pStyle w:val="Normln-tun"/>
      </w:pPr>
      <w:r w:rsidRPr="00776A5F">
        <w:t xml:space="preserve">Pro vyvlastňovací řízení z toho může plynout následující. </w:t>
      </w:r>
      <w:r w:rsidR="00756814" w:rsidRPr="00776A5F">
        <w:t xml:space="preserve">Počet exekucí </w:t>
      </w:r>
      <w:r>
        <w:t xml:space="preserve">je </w:t>
      </w:r>
      <w:r w:rsidR="00756814" w:rsidRPr="00776A5F">
        <w:t xml:space="preserve">relativně stabilní, nepředpokládáme </w:t>
      </w:r>
      <w:r>
        <w:t xml:space="preserve">tak </w:t>
      </w:r>
      <w:r w:rsidR="00756814" w:rsidRPr="00776A5F">
        <w:t>výraznou změnu, tj. problém se bude stále objevovat. V rámci konzultací jsme tento problém identifikovali u jednotek případů (</w:t>
      </w:r>
      <w:r>
        <w:t>z</w:t>
      </w:r>
      <w:r w:rsidRPr="00776A5F">
        <w:t xml:space="preserve">e 147 </w:t>
      </w:r>
      <w:r>
        <w:t>se jednalo o</w:t>
      </w:r>
      <w:r w:rsidRPr="00776A5F">
        <w:t xml:space="preserve"> 2 případy</w:t>
      </w:r>
      <w:r w:rsidR="00956DA3" w:rsidRPr="00776A5F">
        <w:t xml:space="preserve"> </w:t>
      </w:r>
      <w:r w:rsidR="009A0613">
        <w:t>u dat od vyvlastňovacích úřadů, tj. u</w:t>
      </w:r>
      <w:r w:rsidR="00956DA3" w:rsidRPr="00776A5F">
        <w:t xml:space="preserve"> 1,4</w:t>
      </w:r>
      <w:r w:rsidR="00185B1E" w:rsidRPr="00776A5F">
        <w:t xml:space="preserve"> </w:t>
      </w:r>
      <w:r w:rsidR="00956DA3" w:rsidRPr="00776A5F">
        <w:t>%</w:t>
      </w:r>
      <w:r w:rsidR="00F946B2" w:rsidRPr="00776A5F">
        <w:t>; 1</w:t>
      </w:r>
      <w:r w:rsidR="009A0613">
        <w:t xml:space="preserve"> z </w:t>
      </w:r>
      <w:r w:rsidR="00F946B2" w:rsidRPr="00776A5F">
        <w:t xml:space="preserve">26 </w:t>
      </w:r>
      <w:r w:rsidR="009A0613">
        <w:t xml:space="preserve">u dat </w:t>
      </w:r>
      <w:r w:rsidR="00F946B2" w:rsidRPr="00776A5F">
        <w:t>ŘSD</w:t>
      </w:r>
      <w:r w:rsidR="009A0613">
        <w:t>, tj. u</w:t>
      </w:r>
      <w:r w:rsidR="00956DA3" w:rsidRPr="00776A5F">
        <w:t xml:space="preserve"> 3,8</w:t>
      </w:r>
      <w:r w:rsidR="009A0613">
        <w:t> </w:t>
      </w:r>
      <w:r w:rsidR="00956DA3" w:rsidRPr="00776A5F">
        <w:t>%</w:t>
      </w:r>
      <w:r w:rsidR="00F946B2" w:rsidRPr="00776A5F">
        <w:t>; 1</w:t>
      </w:r>
      <w:r w:rsidR="009A0613">
        <w:t xml:space="preserve"> z </w:t>
      </w:r>
      <w:r w:rsidR="00F946B2" w:rsidRPr="00776A5F">
        <w:t xml:space="preserve">15 </w:t>
      </w:r>
      <w:r w:rsidR="009A0613">
        <w:t xml:space="preserve">u provozovatelů elektronických komunikací, tj. u </w:t>
      </w:r>
      <w:r w:rsidR="00956DA3" w:rsidRPr="00776A5F">
        <w:t>6,7</w:t>
      </w:r>
      <w:r w:rsidR="00185B1E" w:rsidRPr="00776A5F">
        <w:t xml:space="preserve"> </w:t>
      </w:r>
      <w:r w:rsidR="00956DA3" w:rsidRPr="00776A5F">
        <w:t>%</w:t>
      </w:r>
      <w:r w:rsidR="009A0613">
        <w:t>)</w:t>
      </w:r>
      <w:r w:rsidR="00756814" w:rsidRPr="00776A5F">
        <w:t>. Nelze brát jako statisticky spolehlivý ukazatel, pouze jako indikaci toho, že k problémům dochází a docházet bude.</w:t>
      </w:r>
    </w:p>
    <w:p w:rsidR="00185B1E" w:rsidRPr="007B220B" w:rsidRDefault="000865D6" w:rsidP="00185B1E">
      <w:pPr>
        <w:pStyle w:val="Normln-tun"/>
      </w:pPr>
      <w:r w:rsidRPr="009A0613">
        <w:t xml:space="preserve">Je třeba připomenout, že </w:t>
      </w:r>
      <w:r w:rsidR="009A0613">
        <w:t>pr</w:t>
      </w:r>
      <w:r w:rsidRPr="007B220B">
        <w:t>ávní úprava výběru způsobu provedení exekuce peněžité částky upřednostňuje přikázání pohledávky z účtu u peněžního ústavu, dále srážky ze mzdy a jiných příjmů či zřízení exekutorského práva na nemovitých věcech. Teprve v případě, kdy těmito způsoby nelze u</w:t>
      </w:r>
      <w:r w:rsidRPr="007B220B">
        <w:t xml:space="preserve">spokojit pohledávku, přistoupí soudní exekutor k provedení exekuce invazivnějšími prostředky, jako jsou například exekuce prodejem movitých a nemovitých věcí. </w:t>
      </w:r>
      <w:r>
        <w:t>Celkový počet dražeb by v tomto případě měl být nízký v porovnání s čísly za exekuce.</w:t>
      </w:r>
    </w:p>
    <w:p w:rsidR="00FB753D" w:rsidRPr="009A0613" w:rsidRDefault="000865D6" w:rsidP="00D81436">
      <w:pPr>
        <w:pStyle w:val="Normln-tun"/>
        <w:rPr>
          <w:u w:val="single"/>
          <w:shd w:val="clear" w:color="auto" w:fill="FFFFFF"/>
        </w:rPr>
      </w:pPr>
      <w:r w:rsidRPr="009A0613">
        <w:rPr>
          <w:u w:val="single"/>
          <w:shd w:val="clear" w:color="auto" w:fill="FFFFFF"/>
        </w:rPr>
        <w:t>D</w:t>
      </w:r>
      <w:r w:rsidR="006E7276" w:rsidRPr="009A0613">
        <w:rPr>
          <w:u w:val="single"/>
          <w:shd w:val="clear" w:color="auto" w:fill="FFFFFF"/>
        </w:rPr>
        <w:t>ražby</w:t>
      </w:r>
    </w:p>
    <w:p w:rsidR="007662D7" w:rsidRPr="009D133E" w:rsidRDefault="000865D6" w:rsidP="00C57B9B">
      <w:pPr>
        <w:pStyle w:val="Normln-tun"/>
      </w:pPr>
      <w:r w:rsidRPr="009D133E">
        <w:t xml:space="preserve">Dle </w:t>
      </w:r>
      <w:r w:rsidRPr="009D133E">
        <w:t xml:space="preserve">Komory dražebníků ČR se v roce 2021 uskutečnilo nejméně dražeb za posledních 22 let. Na první pohled by tento údaj mohl vést k optimismu. Čím méně dražeb, tím menší počet </w:t>
      </w:r>
      <w:r w:rsidR="00A97CAC" w:rsidRPr="009D133E">
        <w:t xml:space="preserve">postižených </w:t>
      </w:r>
      <w:r w:rsidRPr="009D133E">
        <w:t xml:space="preserve">dlužníků. </w:t>
      </w:r>
      <w:r w:rsidR="00A97CAC" w:rsidRPr="009D133E">
        <w:t>Spíše však p</w:t>
      </w:r>
      <w:r w:rsidRPr="009D133E">
        <w:t xml:space="preserve">latí, že čím méně dražeb, tím více se prodává majetek dlužníků </w:t>
      </w:r>
      <w:r w:rsidR="00A97CAC" w:rsidRPr="009D133E">
        <w:t>jiným způsobem</w:t>
      </w:r>
      <w:r w:rsidRPr="009D133E">
        <w:t>.</w:t>
      </w:r>
      <w:r w:rsidR="00201935">
        <w:t xml:space="preserve"> Na druhou stranu o</w:t>
      </w:r>
      <w:r w:rsidR="00C57B9B" w:rsidRPr="009D133E">
        <w:t xml:space="preserve">bjem draženého majetku se </w:t>
      </w:r>
      <w:r w:rsidR="009D133E" w:rsidRPr="009D133E">
        <w:t xml:space="preserve">v roce 2021 </w:t>
      </w:r>
      <w:r w:rsidR="00C57B9B" w:rsidRPr="009D133E">
        <w:t>meziročně zvýšil a dosáhl tak téměř 4,</w:t>
      </w:r>
      <w:r w:rsidR="009D133E" w:rsidRPr="009D133E">
        <w:t>4</w:t>
      </w:r>
      <w:r w:rsidR="00C57B9B" w:rsidRPr="009D133E">
        <w:t xml:space="preserve"> miliardy Kč s objemem vydražení cca 2,3 miliardy Kč. Výtěžnost dražeb činila cca 50</w:t>
      </w:r>
      <w:r w:rsidR="00201935">
        <w:t> </w:t>
      </w:r>
      <w:r w:rsidR="00C57B9B" w:rsidRPr="009D133E">
        <w:t>%, což je dlouhodobý průměr.</w:t>
      </w:r>
    </w:p>
    <w:p w:rsidR="004611BF" w:rsidRDefault="000865D6">
      <w:pPr>
        <w:spacing w:before="0" w:after="0"/>
        <w:jc w:val="left"/>
        <w:rPr>
          <w:rFonts w:eastAsia="Times New Roman"/>
          <w:b/>
          <w:bCs/>
          <w:color w:val="000000"/>
          <w:sz w:val="22"/>
          <w:szCs w:val="20"/>
          <w:lang w:eastAsia="cs-CZ"/>
        </w:rPr>
      </w:pPr>
      <w:r>
        <w:br w:type="page"/>
      </w:r>
    </w:p>
    <w:p w:rsidR="009D133E" w:rsidRDefault="000865D6" w:rsidP="009D133E">
      <w:pPr>
        <w:pStyle w:val="Titulek"/>
        <w:keepNext/>
      </w:pPr>
      <w:r>
        <w:lastRenderedPageBreak/>
        <w:t xml:space="preserve">Tabulka </w:t>
      </w:r>
      <w:r w:rsidR="00D644CC">
        <w:fldChar w:fldCharType="begin"/>
      </w:r>
      <w:r>
        <w:instrText xml:space="preserve"> SEQ Tabulka \* ARABIC </w:instrText>
      </w:r>
      <w:r w:rsidR="00D644CC">
        <w:fldChar w:fldCharType="separate"/>
      </w:r>
      <w:r>
        <w:t>26</w:t>
      </w:r>
      <w:r w:rsidR="00D644CC">
        <w:rPr>
          <w:noProof/>
        </w:rPr>
        <w:fldChar w:fldCharType="end"/>
      </w:r>
      <w:r>
        <w:t>: Vývoj počtu dražeb</w:t>
      </w:r>
    </w:p>
    <w:tbl>
      <w:tblPr>
        <w:tblStyle w:val="Barevntabulkaseznamu6zvraznn51"/>
        <w:tblW w:w="9072" w:type="dxa"/>
        <w:tblLayout w:type="fixed"/>
        <w:tblLook w:val="04A0" w:firstRow="1" w:lastRow="0" w:firstColumn="1" w:lastColumn="0" w:noHBand="0" w:noVBand="1"/>
      </w:tblPr>
      <w:tblGrid>
        <w:gridCol w:w="4395"/>
        <w:gridCol w:w="935"/>
        <w:gridCol w:w="935"/>
        <w:gridCol w:w="936"/>
        <w:gridCol w:w="935"/>
        <w:gridCol w:w="936"/>
      </w:tblGrid>
      <w:tr w:rsidR="00FC72A1" w:rsidTr="00FC72A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95" w:type="dxa"/>
            <w:noWrap/>
            <w:vAlign w:val="center"/>
            <w:hideMark/>
          </w:tcPr>
          <w:p w:rsidR="00730F15" w:rsidRPr="00144224" w:rsidRDefault="000865D6" w:rsidP="00144224">
            <w:pPr>
              <w:pStyle w:val="Normln-tun"/>
              <w:spacing w:before="0" w:after="0"/>
              <w:rPr>
                <w:rFonts w:ascii="Times New Roman" w:eastAsia="Times New Roman" w:hAnsi="Times New Roman"/>
                <w:sz w:val="20"/>
                <w:szCs w:val="20"/>
                <w:lang w:eastAsia="cs-CZ"/>
              </w:rPr>
            </w:pPr>
            <w:bookmarkStart w:id="140" w:name="_Hlk101474051"/>
            <w:r w:rsidRPr="003A3E23">
              <w:rPr>
                <w:rFonts w:ascii="Calibri" w:eastAsia="Times New Roman" w:hAnsi="Calibri" w:cs="Calibri"/>
                <w:sz w:val="20"/>
                <w:szCs w:val="20"/>
                <w:lang w:eastAsia="cs-CZ"/>
              </w:rPr>
              <w:t>Počet</w:t>
            </w:r>
          </w:p>
        </w:tc>
        <w:tc>
          <w:tcPr>
            <w:tcW w:w="935" w:type="dxa"/>
            <w:noWrap/>
            <w:vAlign w:val="center"/>
            <w:hideMark/>
          </w:tcPr>
          <w:p w:rsidR="00730F15" w:rsidRPr="00144224" w:rsidRDefault="000865D6" w:rsidP="00144224">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2017</w:t>
            </w:r>
          </w:p>
        </w:tc>
        <w:tc>
          <w:tcPr>
            <w:tcW w:w="935" w:type="dxa"/>
            <w:noWrap/>
            <w:vAlign w:val="center"/>
            <w:hideMark/>
          </w:tcPr>
          <w:p w:rsidR="00730F15" w:rsidRPr="00144224" w:rsidRDefault="000865D6" w:rsidP="00144224">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2018</w:t>
            </w:r>
          </w:p>
        </w:tc>
        <w:tc>
          <w:tcPr>
            <w:tcW w:w="936" w:type="dxa"/>
            <w:noWrap/>
            <w:vAlign w:val="center"/>
            <w:hideMark/>
          </w:tcPr>
          <w:p w:rsidR="00730F15" w:rsidRPr="00144224" w:rsidRDefault="000865D6" w:rsidP="00144224">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2019</w:t>
            </w:r>
          </w:p>
        </w:tc>
        <w:tc>
          <w:tcPr>
            <w:tcW w:w="935" w:type="dxa"/>
            <w:noWrap/>
            <w:vAlign w:val="center"/>
            <w:hideMark/>
          </w:tcPr>
          <w:p w:rsidR="00730F15" w:rsidRPr="00144224" w:rsidRDefault="000865D6" w:rsidP="00144224">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2020</w:t>
            </w:r>
          </w:p>
        </w:tc>
        <w:tc>
          <w:tcPr>
            <w:tcW w:w="936" w:type="dxa"/>
            <w:noWrap/>
            <w:vAlign w:val="center"/>
            <w:hideMark/>
          </w:tcPr>
          <w:p w:rsidR="00730F15" w:rsidRPr="00144224" w:rsidRDefault="000865D6" w:rsidP="00144224">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2021</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95" w:type="dxa"/>
            <w:noWrap/>
            <w:vAlign w:val="center"/>
            <w:hideMark/>
          </w:tcPr>
          <w:p w:rsidR="00730F15" w:rsidRPr="00144224" w:rsidRDefault="000865D6" w:rsidP="00144224">
            <w:pPr>
              <w:pStyle w:val="Normln-tun"/>
              <w:spacing w:before="0" w:after="0"/>
              <w:jc w:val="left"/>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Celkový počet dražeb</w:t>
            </w:r>
          </w:p>
        </w:tc>
        <w:tc>
          <w:tcPr>
            <w:tcW w:w="935"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979</w:t>
            </w:r>
          </w:p>
        </w:tc>
        <w:tc>
          <w:tcPr>
            <w:tcW w:w="935"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678</w:t>
            </w:r>
          </w:p>
        </w:tc>
        <w:tc>
          <w:tcPr>
            <w:tcW w:w="936"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573</w:t>
            </w:r>
          </w:p>
        </w:tc>
        <w:tc>
          <w:tcPr>
            <w:tcW w:w="935"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467</w:t>
            </w:r>
          </w:p>
        </w:tc>
        <w:tc>
          <w:tcPr>
            <w:tcW w:w="936"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171</w:t>
            </w:r>
          </w:p>
        </w:tc>
      </w:tr>
      <w:bookmarkEnd w:id="140"/>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395" w:type="dxa"/>
            <w:noWrap/>
            <w:vAlign w:val="center"/>
            <w:hideMark/>
          </w:tcPr>
          <w:p w:rsidR="00730F15" w:rsidRPr="00201935" w:rsidRDefault="000865D6" w:rsidP="00144224">
            <w:pPr>
              <w:pStyle w:val="Normln-tun"/>
              <w:spacing w:before="0" w:after="0"/>
              <w:jc w:val="left"/>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Dražby dobrovolné</w:t>
            </w:r>
          </w:p>
        </w:tc>
        <w:tc>
          <w:tcPr>
            <w:tcW w:w="935" w:type="dxa"/>
            <w:noWrap/>
            <w:vAlign w:val="center"/>
            <w:hideMark/>
          </w:tcPr>
          <w:p w:rsidR="00730F15" w:rsidRPr="00201935"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w:t>
            </w:r>
            <w:r w:rsidR="00144224" w:rsidRPr="00201935">
              <w:rPr>
                <w:rFonts w:ascii="Calibri" w:eastAsia="Times New Roman" w:hAnsi="Calibri" w:cs="Calibri"/>
                <w:i/>
                <w:iCs/>
                <w:sz w:val="20"/>
                <w:szCs w:val="20"/>
                <w:lang w:eastAsia="cs-CZ"/>
              </w:rPr>
              <w:t xml:space="preserve"> </w:t>
            </w:r>
            <w:r w:rsidRPr="00201935">
              <w:rPr>
                <w:rFonts w:ascii="Calibri" w:eastAsia="Times New Roman" w:hAnsi="Calibri" w:cs="Calibri"/>
                <w:i/>
                <w:iCs/>
                <w:sz w:val="20"/>
                <w:szCs w:val="20"/>
                <w:lang w:eastAsia="cs-CZ"/>
              </w:rPr>
              <w:t>755</w:t>
            </w:r>
          </w:p>
        </w:tc>
        <w:tc>
          <w:tcPr>
            <w:tcW w:w="935" w:type="dxa"/>
            <w:noWrap/>
            <w:vAlign w:val="center"/>
            <w:hideMark/>
          </w:tcPr>
          <w:p w:rsidR="00730F15" w:rsidRPr="00201935"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w:t>
            </w:r>
            <w:r w:rsidR="00144224" w:rsidRPr="00201935">
              <w:rPr>
                <w:rFonts w:ascii="Calibri" w:eastAsia="Times New Roman" w:hAnsi="Calibri" w:cs="Calibri"/>
                <w:i/>
                <w:iCs/>
                <w:sz w:val="20"/>
                <w:szCs w:val="20"/>
                <w:lang w:eastAsia="cs-CZ"/>
              </w:rPr>
              <w:t xml:space="preserve"> </w:t>
            </w:r>
            <w:r w:rsidRPr="00201935">
              <w:rPr>
                <w:rFonts w:ascii="Calibri" w:eastAsia="Times New Roman" w:hAnsi="Calibri" w:cs="Calibri"/>
                <w:i/>
                <w:iCs/>
                <w:sz w:val="20"/>
                <w:szCs w:val="20"/>
                <w:lang w:eastAsia="cs-CZ"/>
              </w:rPr>
              <w:t>542</w:t>
            </w:r>
          </w:p>
        </w:tc>
        <w:tc>
          <w:tcPr>
            <w:tcW w:w="936" w:type="dxa"/>
            <w:noWrap/>
            <w:vAlign w:val="center"/>
            <w:hideMark/>
          </w:tcPr>
          <w:p w:rsidR="00730F15" w:rsidRPr="00201935"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w:t>
            </w:r>
            <w:r w:rsidR="00144224" w:rsidRPr="00201935">
              <w:rPr>
                <w:rFonts w:ascii="Calibri" w:eastAsia="Times New Roman" w:hAnsi="Calibri" w:cs="Calibri"/>
                <w:i/>
                <w:iCs/>
                <w:sz w:val="20"/>
                <w:szCs w:val="20"/>
                <w:lang w:eastAsia="cs-CZ"/>
              </w:rPr>
              <w:t xml:space="preserve"> </w:t>
            </w:r>
            <w:r w:rsidRPr="00201935">
              <w:rPr>
                <w:rFonts w:ascii="Calibri" w:eastAsia="Times New Roman" w:hAnsi="Calibri" w:cs="Calibri"/>
                <w:i/>
                <w:iCs/>
                <w:sz w:val="20"/>
                <w:szCs w:val="20"/>
                <w:lang w:eastAsia="cs-CZ"/>
              </w:rPr>
              <w:t>451</w:t>
            </w:r>
          </w:p>
        </w:tc>
        <w:tc>
          <w:tcPr>
            <w:tcW w:w="935" w:type="dxa"/>
            <w:noWrap/>
            <w:vAlign w:val="center"/>
            <w:hideMark/>
          </w:tcPr>
          <w:p w:rsidR="00730F15" w:rsidRPr="00201935"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w:t>
            </w:r>
            <w:r w:rsidR="00144224" w:rsidRPr="00201935">
              <w:rPr>
                <w:rFonts w:ascii="Calibri" w:eastAsia="Times New Roman" w:hAnsi="Calibri" w:cs="Calibri"/>
                <w:i/>
                <w:iCs/>
                <w:sz w:val="20"/>
                <w:szCs w:val="20"/>
                <w:lang w:eastAsia="cs-CZ"/>
              </w:rPr>
              <w:t xml:space="preserve"> </w:t>
            </w:r>
            <w:r w:rsidRPr="00201935">
              <w:rPr>
                <w:rFonts w:ascii="Calibri" w:eastAsia="Times New Roman" w:hAnsi="Calibri" w:cs="Calibri"/>
                <w:i/>
                <w:iCs/>
                <w:sz w:val="20"/>
                <w:szCs w:val="20"/>
                <w:lang w:eastAsia="cs-CZ"/>
              </w:rPr>
              <w:t>329</w:t>
            </w:r>
          </w:p>
        </w:tc>
        <w:tc>
          <w:tcPr>
            <w:tcW w:w="936" w:type="dxa"/>
            <w:noWrap/>
            <w:vAlign w:val="center"/>
            <w:hideMark/>
          </w:tcPr>
          <w:p w:rsidR="00730F15" w:rsidRPr="00201935"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w:t>
            </w:r>
            <w:r w:rsidR="00144224" w:rsidRPr="00201935">
              <w:rPr>
                <w:rFonts w:ascii="Calibri" w:eastAsia="Times New Roman" w:hAnsi="Calibri" w:cs="Calibri"/>
                <w:i/>
                <w:iCs/>
                <w:sz w:val="20"/>
                <w:szCs w:val="20"/>
                <w:lang w:eastAsia="cs-CZ"/>
              </w:rPr>
              <w:t xml:space="preserve"> </w:t>
            </w:r>
            <w:r w:rsidRPr="00201935">
              <w:rPr>
                <w:rFonts w:ascii="Calibri" w:eastAsia="Times New Roman" w:hAnsi="Calibri" w:cs="Calibri"/>
                <w:i/>
                <w:iCs/>
                <w:sz w:val="20"/>
                <w:szCs w:val="20"/>
                <w:lang w:eastAsia="cs-CZ"/>
              </w:rPr>
              <w:t>078</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95" w:type="dxa"/>
            <w:noWrap/>
            <w:vAlign w:val="center"/>
            <w:hideMark/>
          </w:tcPr>
          <w:p w:rsidR="00730F15" w:rsidRPr="00201935" w:rsidRDefault="000865D6" w:rsidP="00144224">
            <w:pPr>
              <w:pStyle w:val="Normln-tun"/>
              <w:spacing w:before="0" w:after="0"/>
              <w:jc w:val="left"/>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Dražby nedobrovolné</w:t>
            </w:r>
          </w:p>
        </w:tc>
        <w:tc>
          <w:tcPr>
            <w:tcW w:w="935" w:type="dxa"/>
            <w:noWrap/>
            <w:vAlign w:val="center"/>
            <w:hideMark/>
          </w:tcPr>
          <w:p w:rsidR="00730F15" w:rsidRPr="00201935"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224</w:t>
            </w:r>
          </w:p>
        </w:tc>
        <w:tc>
          <w:tcPr>
            <w:tcW w:w="935" w:type="dxa"/>
            <w:noWrap/>
            <w:vAlign w:val="center"/>
            <w:hideMark/>
          </w:tcPr>
          <w:p w:rsidR="00730F15" w:rsidRPr="00201935"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136</w:t>
            </w:r>
          </w:p>
        </w:tc>
        <w:tc>
          <w:tcPr>
            <w:tcW w:w="936" w:type="dxa"/>
            <w:noWrap/>
            <w:vAlign w:val="center"/>
            <w:hideMark/>
          </w:tcPr>
          <w:p w:rsidR="00730F15" w:rsidRPr="00201935"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122</w:t>
            </w:r>
          </w:p>
        </w:tc>
        <w:tc>
          <w:tcPr>
            <w:tcW w:w="935" w:type="dxa"/>
            <w:noWrap/>
            <w:vAlign w:val="center"/>
            <w:hideMark/>
          </w:tcPr>
          <w:p w:rsidR="00730F15" w:rsidRPr="00201935"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138</w:t>
            </w:r>
          </w:p>
        </w:tc>
        <w:tc>
          <w:tcPr>
            <w:tcW w:w="936" w:type="dxa"/>
            <w:noWrap/>
            <w:vAlign w:val="center"/>
            <w:hideMark/>
          </w:tcPr>
          <w:p w:rsidR="00730F15" w:rsidRPr="00201935"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i/>
                <w:iCs/>
                <w:sz w:val="20"/>
                <w:szCs w:val="20"/>
                <w:lang w:eastAsia="cs-CZ"/>
              </w:rPr>
            </w:pPr>
            <w:r w:rsidRPr="00201935">
              <w:rPr>
                <w:rFonts w:ascii="Calibri" w:eastAsia="Times New Roman" w:hAnsi="Calibri" w:cs="Calibri"/>
                <w:i/>
                <w:iCs/>
                <w:sz w:val="20"/>
                <w:szCs w:val="20"/>
                <w:lang w:eastAsia="cs-CZ"/>
              </w:rPr>
              <w:t>93</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395" w:type="dxa"/>
            <w:noWrap/>
            <w:vAlign w:val="center"/>
            <w:hideMark/>
          </w:tcPr>
          <w:p w:rsidR="00730F15" w:rsidRPr="003A3E23" w:rsidRDefault="000865D6" w:rsidP="00144224">
            <w:pPr>
              <w:pStyle w:val="Normln-tun"/>
              <w:spacing w:before="0" w:after="0"/>
              <w:jc w:val="left"/>
              <w:rPr>
                <w:rFonts w:ascii="Calibri" w:eastAsia="Times New Roman" w:hAnsi="Calibri" w:cs="Calibri"/>
                <w:sz w:val="20"/>
                <w:szCs w:val="20"/>
                <w:lang w:eastAsia="cs-CZ"/>
              </w:rPr>
            </w:pPr>
            <w:r w:rsidRPr="003A3E23">
              <w:rPr>
                <w:rFonts w:ascii="Calibri" w:eastAsia="Times New Roman" w:hAnsi="Calibri" w:cs="Calibri"/>
                <w:sz w:val="20"/>
                <w:szCs w:val="20"/>
                <w:lang w:eastAsia="cs-CZ"/>
              </w:rPr>
              <w:t>Dražby s nemovitostmi</w:t>
            </w:r>
          </w:p>
        </w:tc>
        <w:tc>
          <w:tcPr>
            <w:tcW w:w="935" w:type="dxa"/>
            <w:noWrap/>
            <w:vAlign w:val="center"/>
            <w:hideMark/>
          </w:tcPr>
          <w:p w:rsidR="00730F15" w:rsidRPr="00144224"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814</w:t>
            </w:r>
          </w:p>
        </w:tc>
        <w:tc>
          <w:tcPr>
            <w:tcW w:w="935" w:type="dxa"/>
            <w:noWrap/>
            <w:vAlign w:val="center"/>
            <w:hideMark/>
          </w:tcPr>
          <w:p w:rsidR="00730F15" w:rsidRPr="00144224"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468</w:t>
            </w:r>
          </w:p>
        </w:tc>
        <w:tc>
          <w:tcPr>
            <w:tcW w:w="936" w:type="dxa"/>
            <w:noWrap/>
            <w:vAlign w:val="center"/>
            <w:hideMark/>
          </w:tcPr>
          <w:p w:rsidR="00730F15" w:rsidRPr="00144224"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343</w:t>
            </w:r>
          </w:p>
        </w:tc>
        <w:tc>
          <w:tcPr>
            <w:tcW w:w="935" w:type="dxa"/>
            <w:noWrap/>
            <w:vAlign w:val="center"/>
            <w:hideMark/>
          </w:tcPr>
          <w:p w:rsidR="00730F15" w:rsidRPr="00144224"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259</w:t>
            </w:r>
          </w:p>
        </w:tc>
        <w:tc>
          <w:tcPr>
            <w:tcW w:w="936" w:type="dxa"/>
            <w:noWrap/>
            <w:vAlign w:val="center"/>
            <w:hideMark/>
          </w:tcPr>
          <w:p w:rsidR="00730F15" w:rsidRPr="00144224" w:rsidRDefault="000865D6" w:rsidP="00144224">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w:t>
            </w:r>
            <w:r w:rsidR="00144224" w:rsidRPr="00144224">
              <w:rPr>
                <w:rFonts w:ascii="Calibri" w:eastAsia="Times New Roman" w:hAnsi="Calibri" w:cs="Calibri"/>
                <w:sz w:val="20"/>
                <w:szCs w:val="20"/>
                <w:lang w:eastAsia="cs-CZ"/>
              </w:rPr>
              <w:t xml:space="preserve"> </w:t>
            </w:r>
            <w:r w:rsidRPr="00144224">
              <w:rPr>
                <w:rFonts w:ascii="Calibri" w:eastAsia="Times New Roman" w:hAnsi="Calibri" w:cs="Calibri"/>
                <w:sz w:val="20"/>
                <w:szCs w:val="20"/>
                <w:lang w:eastAsia="cs-CZ"/>
              </w:rPr>
              <w:t>004</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395" w:type="dxa"/>
            <w:noWrap/>
            <w:vAlign w:val="center"/>
            <w:hideMark/>
          </w:tcPr>
          <w:p w:rsidR="00730F15" w:rsidRPr="003A3E23" w:rsidRDefault="000865D6" w:rsidP="00144224">
            <w:pPr>
              <w:pStyle w:val="Normln-tun"/>
              <w:spacing w:before="0" w:after="0"/>
              <w:jc w:val="left"/>
              <w:rPr>
                <w:rFonts w:ascii="Calibri" w:eastAsia="Times New Roman" w:hAnsi="Calibri" w:cs="Calibri"/>
                <w:sz w:val="20"/>
                <w:szCs w:val="20"/>
                <w:lang w:eastAsia="cs-CZ"/>
              </w:rPr>
            </w:pPr>
            <w:r w:rsidRPr="003A3E23">
              <w:rPr>
                <w:rFonts w:ascii="Calibri" w:eastAsia="Times New Roman" w:hAnsi="Calibri" w:cs="Calibri"/>
                <w:sz w:val="20"/>
                <w:szCs w:val="20"/>
                <w:lang w:eastAsia="cs-CZ"/>
              </w:rPr>
              <w:t>Dražby s movitým majetkem</w:t>
            </w:r>
          </w:p>
        </w:tc>
        <w:tc>
          <w:tcPr>
            <w:tcW w:w="935"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165</w:t>
            </w:r>
          </w:p>
        </w:tc>
        <w:tc>
          <w:tcPr>
            <w:tcW w:w="935"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210</w:t>
            </w:r>
          </w:p>
        </w:tc>
        <w:tc>
          <w:tcPr>
            <w:tcW w:w="936"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230</w:t>
            </w:r>
          </w:p>
        </w:tc>
        <w:tc>
          <w:tcPr>
            <w:tcW w:w="935"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208</w:t>
            </w:r>
          </w:p>
        </w:tc>
        <w:tc>
          <w:tcPr>
            <w:tcW w:w="936" w:type="dxa"/>
            <w:noWrap/>
            <w:vAlign w:val="center"/>
            <w:hideMark/>
          </w:tcPr>
          <w:p w:rsidR="00730F15" w:rsidRPr="00144224" w:rsidRDefault="000865D6" w:rsidP="00144224">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167</w:t>
            </w:r>
          </w:p>
        </w:tc>
      </w:tr>
    </w:tbl>
    <w:p w:rsidR="003852F5" w:rsidRDefault="000865D6" w:rsidP="009D133E">
      <w:pPr>
        <w:pStyle w:val="Citt"/>
        <w:rPr>
          <w:shd w:val="clear" w:color="auto" w:fill="FFFFFF"/>
        </w:rPr>
      </w:pPr>
      <w:r>
        <w:t xml:space="preserve">Zdroj: </w:t>
      </w:r>
      <w:hyperlink r:id="rId18" w:history="1">
        <w:r w:rsidRPr="001C0095">
          <w:rPr>
            <w:rStyle w:val="Hypertextovodkaz"/>
            <w:shd w:val="clear" w:color="auto" w:fill="FFFFFF"/>
          </w:rPr>
          <w:t>https://www.postaonline.cz/</w:t>
        </w:r>
      </w:hyperlink>
    </w:p>
    <w:p w:rsidR="009D133E" w:rsidRDefault="000865D6" w:rsidP="009D133E">
      <w:pPr>
        <w:pStyle w:val="Titulek"/>
        <w:keepNext/>
      </w:pPr>
      <w:r>
        <w:t xml:space="preserve">Tabulka </w:t>
      </w:r>
      <w:r w:rsidR="00D644CC">
        <w:fldChar w:fldCharType="begin"/>
      </w:r>
      <w:r>
        <w:instrText xml:space="preserve"> SEQ Tabulka \* ARABIC </w:instrText>
      </w:r>
      <w:r w:rsidR="00D644CC">
        <w:fldChar w:fldCharType="separate"/>
      </w:r>
      <w:r>
        <w:t>27</w:t>
      </w:r>
      <w:r w:rsidR="00D644CC">
        <w:rPr>
          <w:noProof/>
        </w:rPr>
        <w:fldChar w:fldCharType="end"/>
      </w:r>
      <w:r>
        <w:t xml:space="preserve">: Vývoj odhadních cen a </w:t>
      </w:r>
      <w:r w:rsidRPr="009D133E">
        <w:t xml:space="preserve">cen </w:t>
      </w:r>
      <w:r w:rsidRPr="009D133E">
        <w:t>dosažených vydražením</w:t>
      </w:r>
    </w:p>
    <w:tbl>
      <w:tblPr>
        <w:tblStyle w:val="Barevntabulkaseznamu6zvraznn51"/>
        <w:tblW w:w="9072" w:type="dxa"/>
        <w:tblLayout w:type="fixed"/>
        <w:tblLook w:val="04A0" w:firstRow="1" w:lastRow="0" w:firstColumn="1" w:lastColumn="0" w:noHBand="0" w:noVBand="1"/>
      </w:tblPr>
      <w:tblGrid>
        <w:gridCol w:w="4536"/>
        <w:gridCol w:w="907"/>
        <w:gridCol w:w="907"/>
        <w:gridCol w:w="907"/>
        <w:gridCol w:w="907"/>
        <w:gridCol w:w="908"/>
      </w:tblGrid>
      <w:tr w:rsidR="00FC72A1" w:rsidTr="00FC72A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Mil. Kč</w:t>
            </w:r>
          </w:p>
        </w:tc>
        <w:tc>
          <w:tcPr>
            <w:tcW w:w="907" w:type="dxa"/>
            <w:noWrap/>
            <w:vAlign w:val="center"/>
            <w:hideMark/>
          </w:tcPr>
          <w:p w:rsidR="000C24D9" w:rsidRPr="00EF7107" w:rsidRDefault="000865D6" w:rsidP="00EF7107">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2017</w:t>
            </w:r>
          </w:p>
        </w:tc>
        <w:tc>
          <w:tcPr>
            <w:tcW w:w="907" w:type="dxa"/>
            <w:noWrap/>
            <w:vAlign w:val="center"/>
            <w:hideMark/>
          </w:tcPr>
          <w:p w:rsidR="000C24D9" w:rsidRPr="00EF7107" w:rsidRDefault="000865D6" w:rsidP="00EF7107">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2018</w:t>
            </w:r>
          </w:p>
        </w:tc>
        <w:tc>
          <w:tcPr>
            <w:tcW w:w="907" w:type="dxa"/>
            <w:noWrap/>
            <w:vAlign w:val="center"/>
            <w:hideMark/>
          </w:tcPr>
          <w:p w:rsidR="000C24D9" w:rsidRPr="00EF7107" w:rsidRDefault="000865D6" w:rsidP="00EF7107">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2019</w:t>
            </w:r>
          </w:p>
        </w:tc>
        <w:tc>
          <w:tcPr>
            <w:tcW w:w="907" w:type="dxa"/>
            <w:noWrap/>
            <w:vAlign w:val="center"/>
            <w:hideMark/>
          </w:tcPr>
          <w:p w:rsidR="000C24D9" w:rsidRPr="00EF7107" w:rsidRDefault="000865D6" w:rsidP="00EF7107">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2020</w:t>
            </w:r>
          </w:p>
        </w:tc>
        <w:tc>
          <w:tcPr>
            <w:tcW w:w="908" w:type="dxa"/>
            <w:noWrap/>
            <w:vAlign w:val="center"/>
            <w:hideMark/>
          </w:tcPr>
          <w:p w:rsidR="000C24D9" w:rsidRPr="00EF7107" w:rsidRDefault="000865D6" w:rsidP="00EF7107">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2021</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Nedobrovolné dražby</w:t>
            </w: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8"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Součet odhadních cen předmětů dražeb</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881</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937</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413</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596</w:t>
            </w:r>
          </w:p>
        </w:tc>
        <w:tc>
          <w:tcPr>
            <w:tcW w:w="908"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301</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Součet odhadních cen předmětů dražeb (došlo k vydražení a dr. nebyla zmařená)</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219</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712</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128</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313</w:t>
            </w:r>
          </w:p>
        </w:tc>
        <w:tc>
          <w:tcPr>
            <w:tcW w:w="908"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104</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 xml:space="preserve">Celková suma cen </w:t>
            </w:r>
            <w:r w:rsidRPr="00EF7107">
              <w:rPr>
                <w:rFonts w:asciiTheme="minorHAnsi" w:eastAsia="Times New Roman" w:hAnsiTheme="minorHAnsi" w:cstheme="minorHAnsi"/>
                <w:b w:val="0"/>
                <w:bCs w:val="0"/>
                <w:sz w:val="20"/>
                <w:szCs w:val="20"/>
                <w:lang w:eastAsia="cs-CZ"/>
              </w:rPr>
              <w:t>dosažených vydražením</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257</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702</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117</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310</w:t>
            </w:r>
          </w:p>
        </w:tc>
        <w:tc>
          <w:tcPr>
            <w:tcW w:w="908"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97</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Celková suma cen dosažených vydražením (dražba nebyla zmařená)</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184</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669</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107</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308</w:t>
            </w:r>
          </w:p>
        </w:tc>
        <w:tc>
          <w:tcPr>
            <w:tcW w:w="908"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93</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C24D9" w:rsidP="00EF7107">
            <w:pPr>
              <w:pStyle w:val="Normln-tun"/>
              <w:spacing w:before="0" w:after="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8"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Dobrovolné dražby</w:t>
            </w: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8"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Součet odhadních cen předmětů dražeb</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4 605</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4 428</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3 881</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3 290</w:t>
            </w:r>
          </w:p>
        </w:tc>
        <w:tc>
          <w:tcPr>
            <w:tcW w:w="908"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4 085</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 xml:space="preserve">Součet odhadních cen předmětů </w:t>
            </w:r>
            <w:r w:rsidRPr="00EF7107">
              <w:rPr>
                <w:rFonts w:asciiTheme="minorHAnsi" w:eastAsia="Times New Roman" w:hAnsiTheme="minorHAnsi" w:cstheme="minorHAnsi"/>
                <w:b w:val="0"/>
                <w:bCs w:val="0"/>
                <w:sz w:val="20"/>
                <w:szCs w:val="20"/>
                <w:lang w:eastAsia="cs-CZ"/>
              </w:rPr>
              <w:t>dražeb (došlo k vydražení a dr. nebyla zmařená)</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2 295</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2 091</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2 395</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1 582</w:t>
            </w:r>
          </w:p>
        </w:tc>
        <w:tc>
          <w:tcPr>
            <w:tcW w:w="908"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1 843</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Celková suma cen dosažených vydražením</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2 341</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2 371</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2 401</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2 274</w:t>
            </w:r>
          </w:p>
        </w:tc>
        <w:tc>
          <w:tcPr>
            <w:tcW w:w="908"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2 218</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Celková suma cen dosažených vydražením (dražba nebyla zmařená)</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2 219</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1 963</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2 242</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1 867</w:t>
            </w:r>
          </w:p>
        </w:tc>
        <w:tc>
          <w:tcPr>
            <w:tcW w:w="908"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2 124</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C24D9" w:rsidP="00EF7107">
            <w:pPr>
              <w:pStyle w:val="Normln-tun"/>
              <w:spacing w:before="0" w:after="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c>
          <w:tcPr>
            <w:tcW w:w="908" w:type="dxa"/>
            <w:noWrap/>
            <w:vAlign w:val="center"/>
            <w:hideMark/>
          </w:tcPr>
          <w:p w:rsidR="000C24D9" w:rsidRPr="00EF7107" w:rsidRDefault="000C24D9"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Pr>
                <w:rFonts w:asciiTheme="minorHAnsi" w:eastAsia="Times New Roman" w:hAnsiTheme="minorHAnsi" w:cstheme="minorHAnsi"/>
                <w:sz w:val="20"/>
                <w:szCs w:val="20"/>
                <w:lang w:eastAsia="cs-CZ"/>
              </w:rPr>
              <w:t>Celkem</w:t>
            </w: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7"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c>
          <w:tcPr>
            <w:tcW w:w="908" w:type="dxa"/>
            <w:noWrap/>
            <w:vAlign w:val="center"/>
            <w:hideMark/>
          </w:tcPr>
          <w:p w:rsidR="000C24D9" w:rsidRPr="00EF7107" w:rsidRDefault="000C24D9"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Celkový součet odhadních cen veškerého draženého majetku</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5 486</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5 365</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4 294</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3 886</w:t>
            </w:r>
          </w:p>
        </w:tc>
        <w:tc>
          <w:tcPr>
            <w:tcW w:w="908"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4 386</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Celkový součet odhadních cen veškerého draženého majetku (došlo k vydražení a dr. nebyla zmařená)</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2 515</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2 803</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2 524</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1 894</w:t>
            </w:r>
          </w:p>
        </w:tc>
        <w:tc>
          <w:tcPr>
            <w:tcW w:w="908"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1 947</w:t>
            </w:r>
          </w:p>
        </w:tc>
      </w:tr>
      <w:tr w:rsidR="00FC72A1" w:rsidTr="00FC72A1">
        <w:trPr>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 xml:space="preserve">Celková suma cen dosažených </w:t>
            </w:r>
            <w:r w:rsidRPr="00EF7107">
              <w:rPr>
                <w:rFonts w:asciiTheme="minorHAnsi" w:eastAsia="Times New Roman" w:hAnsiTheme="minorHAnsi" w:cstheme="minorHAnsi"/>
                <w:b w:val="0"/>
                <w:bCs w:val="0"/>
                <w:sz w:val="20"/>
                <w:szCs w:val="20"/>
                <w:lang w:eastAsia="cs-CZ"/>
              </w:rPr>
              <w:t>vydražením veškerého draženého majetku</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2 598</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3 072</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2 517</w:t>
            </w:r>
          </w:p>
        </w:tc>
        <w:tc>
          <w:tcPr>
            <w:tcW w:w="907"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2 584</w:t>
            </w:r>
          </w:p>
        </w:tc>
        <w:tc>
          <w:tcPr>
            <w:tcW w:w="908" w:type="dxa"/>
            <w:noWrap/>
            <w:vAlign w:val="center"/>
            <w:hideMark/>
          </w:tcPr>
          <w:p w:rsidR="000C24D9" w:rsidRPr="00EF7107" w:rsidRDefault="000865D6" w:rsidP="00EF7107">
            <w:pPr>
              <w:pStyle w:val="Normln-tun"/>
              <w:spacing w:before="0" w:after="0"/>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2 315</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0C24D9" w:rsidRPr="00EF7107" w:rsidRDefault="000865D6" w:rsidP="00EF7107">
            <w:pPr>
              <w:pStyle w:val="Normln-tun"/>
              <w:spacing w:before="0" w:after="0"/>
              <w:rPr>
                <w:rFonts w:asciiTheme="minorHAnsi" w:eastAsia="Times New Roman" w:hAnsiTheme="minorHAnsi" w:cstheme="minorHAnsi"/>
                <w:sz w:val="20"/>
                <w:szCs w:val="20"/>
                <w:lang w:eastAsia="cs-CZ"/>
              </w:rPr>
            </w:pPr>
            <w:r w:rsidRPr="00EF7107">
              <w:rPr>
                <w:rFonts w:asciiTheme="minorHAnsi" w:eastAsia="Times New Roman" w:hAnsiTheme="minorHAnsi" w:cstheme="minorHAnsi"/>
                <w:b w:val="0"/>
                <w:bCs w:val="0"/>
                <w:sz w:val="20"/>
                <w:szCs w:val="20"/>
                <w:lang w:eastAsia="cs-CZ"/>
              </w:rPr>
              <w:t>Celková suma cen dosažených vydražením veškerého draženého majetku (dražba nebyla zmařená</w:t>
            </w:r>
            <w:r w:rsidR="00EF7107">
              <w:rPr>
                <w:rFonts w:asciiTheme="minorHAnsi" w:eastAsia="Times New Roman" w:hAnsiTheme="minorHAnsi" w:cstheme="minorHAnsi"/>
                <w:b w:val="0"/>
                <w:bCs w:val="0"/>
                <w:sz w:val="20"/>
                <w:szCs w:val="20"/>
                <w:lang w:eastAsia="cs-CZ"/>
              </w:rPr>
              <w:t>)</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2 403</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2 631</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2 349</w:t>
            </w:r>
          </w:p>
        </w:tc>
        <w:tc>
          <w:tcPr>
            <w:tcW w:w="907"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2 175</w:t>
            </w:r>
          </w:p>
        </w:tc>
        <w:tc>
          <w:tcPr>
            <w:tcW w:w="908" w:type="dxa"/>
            <w:noWrap/>
            <w:vAlign w:val="center"/>
            <w:hideMark/>
          </w:tcPr>
          <w:p w:rsidR="000C24D9" w:rsidRPr="00EF7107" w:rsidRDefault="000865D6" w:rsidP="00EF7107">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EF7107">
              <w:rPr>
                <w:rFonts w:asciiTheme="minorHAnsi" w:eastAsia="Times New Roman" w:hAnsiTheme="minorHAnsi" w:cstheme="minorHAnsi"/>
                <w:sz w:val="20"/>
                <w:szCs w:val="20"/>
                <w:lang w:eastAsia="cs-CZ"/>
              </w:rPr>
              <w:t>2 217</w:t>
            </w:r>
          </w:p>
        </w:tc>
      </w:tr>
    </w:tbl>
    <w:p w:rsidR="009D133E" w:rsidRDefault="000865D6" w:rsidP="009D133E">
      <w:pPr>
        <w:pStyle w:val="Citt"/>
        <w:rPr>
          <w:shd w:val="clear" w:color="auto" w:fill="FFFFFF"/>
        </w:rPr>
      </w:pPr>
      <w:r>
        <w:t xml:space="preserve">Zdroj: </w:t>
      </w:r>
      <w:hyperlink r:id="rId19" w:history="1">
        <w:r w:rsidRPr="001C0095">
          <w:rPr>
            <w:rStyle w:val="Hypertextovodkaz"/>
            <w:shd w:val="clear" w:color="auto" w:fill="FFFFFF"/>
          </w:rPr>
          <w:t>https://www.postaonline.cz/</w:t>
        </w:r>
      </w:hyperlink>
    </w:p>
    <w:p w:rsidR="00D644CC" w:rsidRDefault="000865D6" w:rsidP="00D644CC">
      <w:pPr>
        <w:pStyle w:val="Titulek"/>
        <w:keepNext/>
      </w:pPr>
      <w:r>
        <w:t xml:space="preserve">Tabulka </w:t>
      </w:r>
      <w:r>
        <w:fldChar w:fldCharType="begin"/>
      </w:r>
      <w:r>
        <w:instrText xml:space="preserve"> SEQ Tabulka \* ARABIC </w:instrText>
      </w:r>
      <w:r>
        <w:fldChar w:fldCharType="separate"/>
      </w:r>
      <w:r>
        <w:t>28</w:t>
      </w:r>
      <w:r>
        <w:rPr>
          <w:noProof/>
        </w:rPr>
        <w:fldChar w:fldCharType="end"/>
      </w:r>
      <w:r>
        <w:t>:</w:t>
      </w:r>
      <w:r w:rsidRPr="00D644CC">
        <w:rPr>
          <w:shd w:val="clear" w:color="auto" w:fill="FFFFFF"/>
        </w:rPr>
        <w:t xml:space="preserve"> </w:t>
      </w:r>
      <w:r w:rsidRPr="00B311AA">
        <w:rPr>
          <w:shd w:val="clear" w:color="auto" w:fill="FFFFFF"/>
        </w:rPr>
        <w:t>Výtěžnost dražeb</w:t>
      </w:r>
      <w:r>
        <w:rPr>
          <w:shd w:val="clear" w:color="auto" w:fill="FFFFFF"/>
        </w:rPr>
        <w:t xml:space="preserve"> dle údajů </w:t>
      </w:r>
      <w:r w:rsidRPr="00D644CC">
        <w:rPr>
          <w:shd w:val="clear" w:color="auto" w:fill="FFFFFF"/>
        </w:rPr>
        <w:t>Komor</w:t>
      </w:r>
      <w:r>
        <w:rPr>
          <w:shd w:val="clear" w:color="auto" w:fill="FFFFFF"/>
        </w:rPr>
        <w:t>y</w:t>
      </w:r>
      <w:r w:rsidRPr="00D644CC">
        <w:rPr>
          <w:shd w:val="clear" w:color="auto" w:fill="FFFFFF"/>
        </w:rPr>
        <w:t xml:space="preserve"> dražebníků</w:t>
      </w:r>
      <w:r>
        <w:rPr>
          <w:shd w:val="clear" w:color="auto" w:fill="FFFFFF"/>
        </w:rPr>
        <w:t xml:space="preserve"> ČR</w:t>
      </w:r>
    </w:p>
    <w:tbl>
      <w:tblPr>
        <w:tblStyle w:val="Barevntabulkaseznamu6zvraznn51"/>
        <w:tblW w:w="9062" w:type="dxa"/>
        <w:tblLayout w:type="fixed"/>
        <w:tblLook w:val="04A0" w:firstRow="1" w:lastRow="0" w:firstColumn="1" w:lastColumn="0" w:noHBand="0" w:noVBand="1"/>
      </w:tblPr>
      <w:tblGrid>
        <w:gridCol w:w="4536"/>
        <w:gridCol w:w="905"/>
        <w:gridCol w:w="905"/>
        <w:gridCol w:w="905"/>
        <w:gridCol w:w="905"/>
        <w:gridCol w:w="906"/>
      </w:tblGrid>
      <w:tr w:rsidR="00FC72A1" w:rsidTr="00FC72A1">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hideMark/>
          </w:tcPr>
          <w:p w:rsidR="00DB2B02" w:rsidRPr="00144224" w:rsidRDefault="00DB2B02" w:rsidP="003D64D0">
            <w:pPr>
              <w:pStyle w:val="Normln-tun"/>
              <w:spacing w:before="0" w:after="0"/>
              <w:rPr>
                <w:rFonts w:ascii="Times New Roman" w:eastAsia="Times New Roman" w:hAnsi="Times New Roman"/>
                <w:sz w:val="20"/>
                <w:szCs w:val="20"/>
                <w:lang w:eastAsia="cs-CZ"/>
              </w:rPr>
            </w:pPr>
          </w:p>
        </w:tc>
        <w:tc>
          <w:tcPr>
            <w:tcW w:w="905" w:type="dxa"/>
            <w:noWrap/>
            <w:vAlign w:val="center"/>
            <w:hideMark/>
          </w:tcPr>
          <w:p w:rsidR="00DB2B02" w:rsidRPr="00144224" w:rsidRDefault="000865D6" w:rsidP="003D64D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2017</w:t>
            </w:r>
          </w:p>
        </w:tc>
        <w:tc>
          <w:tcPr>
            <w:tcW w:w="905" w:type="dxa"/>
            <w:noWrap/>
            <w:vAlign w:val="center"/>
            <w:hideMark/>
          </w:tcPr>
          <w:p w:rsidR="00DB2B02" w:rsidRPr="00144224" w:rsidRDefault="000865D6" w:rsidP="003D64D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2018</w:t>
            </w:r>
          </w:p>
        </w:tc>
        <w:tc>
          <w:tcPr>
            <w:tcW w:w="905" w:type="dxa"/>
            <w:noWrap/>
            <w:vAlign w:val="center"/>
            <w:hideMark/>
          </w:tcPr>
          <w:p w:rsidR="00DB2B02" w:rsidRPr="00144224" w:rsidRDefault="000865D6" w:rsidP="003D64D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2019</w:t>
            </w:r>
          </w:p>
        </w:tc>
        <w:tc>
          <w:tcPr>
            <w:tcW w:w="905" w:type="dxa"/>
            <w:noWrap/>
            <w:vAlign w:val="center"/>
            <w:hideMark/>
          </w:tcPr>
          <w:p w:rsidR="00DB2B02" w:rsidRPr="00144224" w:rsidRDefault="000865D6" w:rsidP="003D64D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2020</w:t>
            </w:r>
          </w:p>
        </w:tc>
        <w:tc>
          <w:tcPr>
            <w:tcW w:w="906" w:type="dxa"/>
            <w:noWrap/>
            <w:vAlign w:val="center"/>
            <w:hideMark/>
          </w:tcPr>
          <w:p w:rsidR="00DB2B02" w:rsidRPr="00144224" w:rsidRDefault="000865D6" w:rsidP="003D64D0">
            <w:pPr>
              <w:pStyle w:val="Normln-tun"/>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lang w:eastAsia="cs-CZ"/>
              </w:rPr>
            </w:pPr>
            <w:r w:rsidRPr="00144224">
              <w:rPr>
                <w:rFonts w:ascii="Calibri" w:eastAsia="Times New Roman" w:hAnsi="Calibri" w:cs="Calibri"/>
                <w:sz w:val="20"/>
                <w:szCs w:val="20"/>
                <w:lang w:eastAsia="cs-CZ"/>
              </w:rPr>
              <w:t>2021</w:t>
            </w:r>
          </w:p>
        </w:tc>
      </w:tr>
      <w:tr w:rsidR="00FC72A1" w:rsidTr="00FC72A1">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4536" w:type="dxa"/>
            <w:noWrap/>
            <w:vAlign w:val="center"/>
          </w:tcPr>
          <w:p w:rsidR="00DB2B02" w:rsidRPr="00144224" w:rsidRDefault="000865D6" w:rsidP="003D64D0">
            <w:pPr>
              <w:pStyle w:val="Normln-tun"/>
              <w:spacing w:before="0" w:after="0"/>
              <w:jc w:val="left"/>
              <w:rPr>
                <w:rFonts w:ascii="Calibri" w:eastAsia="Times New Roman" w:hAnsi="Calibri" w:cs="Calibri"/>
                <w:sz w:val="20"/>
                <w:szCs w:val="20"/>
                <w:lang w:eastAsia="cs-CZ"/>
              </w:rPr>
            </w:pPr>
            <w:r w:rsidRPr="00DB2B02">
              <w:rPr>
                <w:rFonts w:ascii="Calibri" w:eastAsia="Times New Roman" w:hAnsi="Calibri" w:cs="Calibri"/>
                <w:sz w:val="20"/>
                <w:szCs w:val="20"/>
                <w:lang w:eastAsia="cs-CZ"/>
              </w:rPr>
              <w:t>Poměr draženého majetku k sumě cen dosažených vydražením</w:t>
            </w:r>
          </w:p>
        </w:tc>
        <w:tc>
          <w:tcPr>
            <w:tcW w:w="905" w:type="dxa"/>
            <w:noWrap/>
            <w:vAlign w:val="center"/>
          </w:tcPr>
          <w:p w:rsidR="00DB2B02" w:rsidRPr="00DB2B02" w:rsidRDefault="000865D6" w:rsidP="003D64D0">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DB2B02">
              <w:rPr>
                <w:rFonts w:asciiTheme="minorHAnsi" w:eastAsia="Times New Roman" w:hAnsiTheme="minorHAnsi" w:cstheme="minorHAnsi"/>
                <w:sz w:val="20"/>
                <w:szCs w:val="20"/>
                <w:lang w:eastAsia="cs-CZ"/>
              </w:rPr>
              <w:t>43,80</w:t>
            </w:r>
            <w:r>
              <w:rPr>
                <w:rFonts w:asciiTheme="minorHAnsi" w:eastAsia="Times New Roman" w:hAnsiTheme="minorHAnsi" w:cstheme="minorHAnsi"/>
                <w:sz w:val="20"/>
                <w:szCs w:val="20"/>
                <w:lang w:eastAsia="cs-CZ"/>
              </w:rPr>
              <w:t xml:space="preserve"> </w:t>
            </w:r>
            <w:r w:rsidRPr="00DB2B02">
              <w:rPr>
                <w:rFonts w:asciiTheme="minorHAnsi" w:eastAsia="Times New Roman" w:hAnsiTheme="minorHAnsi" w:cstheme="minorHAnsi"/>
                <w:sz w:val="20"/>
                <w:szCs w:val="20"/>
                <w:lang w:eastAsia="cs-CZ"/>
              </w:rPr>
              <w:t>%</w:t>
            </w:r>
          </w:p>
        </w:tc>
        <w:tc>
          <w:tcPr>
            <w:tcW w:w="905" w:type="dxa"/>
            <w:noWrap/>
            <w:vAlign w:val="center"/>
          </w:tcPr>
          <w:p w:rsidR="00DB2B02" w:rsidRPr="00DB2B02" w:rsidRDefault="000865D6" w:rsidP="003D64D0">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DB2B02">
              <w:rPr>
                <w:rFonts w:asciiTheme="minorHAnsi" w:eastAsia="Times New Roman" w:hAnsiTheme="minorHAnsi" w:cstheme="minorHAnsi"/>
                <w:sz w:val="20"/>
                <w:szCs w:val="20"/>
                <w:lang w:eastAsia="cs-CZ"/>
              </w:rPr>
              <w:t>49,08</w:t>
            </w:r>
            <w:r>
              <w:rPr>
                <w:rFonts w:asciiTheme="minorHAnsi" w:eastAsia="Times New Roman" w:hAnsiTheme="minorHAnsi" w:cstheme="minorHAnsi"/>
                <w:sz w:val="20"/>
                <w:szCs w:val="20"/>
                <w:lang w:eastAsia="cs-CZ"/>
              </w:rPr>
              <w:t xml:space="preserve"> </w:t>
            </w:r>
            <w:r w:rsidRPr="00DB2B02">
              <w:rPr>
                <w:rFonts w:asciiTheme="minorHAnsi" w:eastAsia="Times New Roman" w:hAnsiTheme="minorHAnsi" w:cstheme="minorHAnsi"/>
                <w:sz w:val="20"/>
                <w:szCs w:val="20"/>
                <w:lang w:eastAsia="cs-CZ"/>
              </w:rPr>
              <w:t>%</w:t>
            </w:r>
          </w:p>
        </w:tc>
        <w:tc>
          <w:tcPr>
            <w:tcW w:w="905" w:type="dxa"/>
            <w:noWrap/>
            <w:vAlign w:val="center"/>
          </w:tcPr>
          <w:p w:rsidR="00DB2B02" w:rsidRPr="00DB2B02" w:rsidRDefault="000865D6" w:rsidP="003D64D0">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DB2B02">
              <w:rPr>
                <w:rFonts w:asciiTheme="minorHAnsi" w:eastAsia="Times New Roman" w:hAnsiTheme="minorHAnsi" w:cstheme="minorHAnsi"/>
                <w:sz w:val="20"/>
                <w:szCs w:val="20"/>
                <w:lang w:eastAsia="cs-CZ"/>
              </w:rPr>
              <w:t>56,25</w:t>
            </w:r>
            <w:r>
              <w:rPr>
                <w:rFonts w:asciiTheme="minorHAnsi" w:eastAsia="Times New Roman" w:hAnsiTheme="minorHAnsi" w:cstheme="minorHAnsi"/>
                <w:sz w:val="20"/>
                <w:szCs w:val="20"/>
                <w:lang w:eastAsia="cs-CZ"/>
              </w:rPr>
              <w:t xml:space="preserve"> </w:t>
            </w:r>
            <w:r w:rsidRPr="00DB2B02">
              <w:rPr>
                <w:rFonts w:asciiTheme="minorHAnsi" w:eastAsia="Times New Roman" w:hAnsiTheme="minorHAnsi" w:cstheme="minorHAnsi"/>
                <w:sz w:val="20"/>
                <w:szCs w:val="20"/>
                <w:lang w:eastAsia="cs-CZ"/>
              </w:rPr>
              <w:t>%</w:t>
            </w:r>
          </w:p>
        </w:tc>
        <w:tc>
          <w:tcPr>
            <w:tcW w:w="905" w:type="dxa"/>
            <w:noWrap/>
            <w:vAlign w:val="center"/>
          </w:tcPr>
          <w:p w:rsidR="00DB2B02" w:rsidRPr="00DB2B02" w:rsidRDefault="000865D6" w:rsidP="003D64D0">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DB2B02">
              <w:rPr>
                <w:rFonts w:asciiTheme="minorHAnsi" w:eastAsia="Times New Roman" w:hAnsiTheme="minorHAnsi" w:cstheme="minorHAnsi"/>
                <w:sz w:val="20"/>
                <w:szCs w:val="20"/>
                <w:lang w:eastAsia="cs-CZ"/>
              </w:rPr>
              <w:t>54,70</w:t>
            </w:r>
            <w:r>
              <w:rPr>
                <w:rFonts w:asciiTheme="minorHAnsi" w:eastAsia="Times New Roman" w:hAnsiTheme="minorHAnsi" w:cstheme="minorHAnsi"/>
                <w:sz w:val="20"/>
                <w:szCs w:val="20"/>
                <w:lang w:eastAsia="cs-CZ"/>
              </w:rPr>
              <w:t xml:space="preserve"> </w:t>
            </w:r>
            <w:r w:rsidRPr="00DB2B02">
              <w:rPr>
                <w:rFonts w:asciiTheme="minorHAnsi" w:eastAsia="Times New Roman" w:hAnsiTheme="minorHAnsi" w:cstheme="minorHAnsi"/>
                <w:sz w:val="20"/>
                <w:szCs w:val="20"/>
                <w:lang w:eastAsia="cs-CZ"/>
              </w:rPr>
              <w:t>%</w:t>
            </w:r>
          </w:p>
        </w:tc>
        <w:tc>
          <w:tcPr>
            <w:tcW w:w="906" w:type="dxa"/>
            <w:noWrap/>
            <w:vAlign w:val="center"/>
          </w:tcPr>
          <w:p w:rsidR="00DB2B02" w:rsidRPr="00DB2B02" w:rsidRDefault="000865D6" w:rsidP="003D64D0">
            <w:pPr>
              <w:pStyle w:val="Normln-tun"/>
              <w:spacing w:before="0" w:after="0"/>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20"/>
                <w:szCs w:val="20"/>
                <w:lang w:eastAsia="cs-CZ"/>
              </w:rPr>
            </w:pPr>
            <w:r w:rsidRPr="00DB2B02">
              <w:rPr>
                <w:rFonts w:asciiTheme="minorHAnsi" w:eastAsia="Times New Roman" w:hAnsiTheme="minorHAnsi" w:cstheme="minorHAnsi"/>
                <w:sz w:val="20"/>
                <w:szCs w:val="20"/>
                <w:lang w:eastAsia="cs-CZ"/>
              </w:rPr>
              <w:t>50,70</w:t>
            </w:r>
            <w:r>
              <w:rPr>
                <w:rFonts w:asciiTheme="minorHAnsi" w:eastAsia="Times New Roman" w:hAnsiTheme="minorHAnsi" w:cstheme="minorHAnsi"/>
                <w:sz w:val="20"/>
                <w:szCs w:val="20"/>
                <w:lang w:eastAsia="cs-CZ"/>
              </w:rPr>
              <w:t xml:space="preserve"> </w:t>
            </w:r>
            <w:r w:rsidRPr="00DB2B02">
              <w:rPr>
                <w:rFonts w:asciiTheme="minorHAnsi" w:eastAsia="Times New Roman" w:hAnsiTheme="minorHAnsi" w:cstheme="minorHAnsi"/>
                <w:sz w:val="20"/>
                <w:szCs w:val="20"/>
                <w:lang w:eastAsia="cs-CZ"/>
              </w:rPr>
              <w:t>%</w:t>
            </w:r>
          </w:p>
        </w:tc>
      </w:tr>
    </w:tbl>
    <w:p w:rsidR="00730F15" w:rsidRDefault="000865D6" w:rsidP="009D133E">
      <w:pPr>
        <w:pStyle w:val="Citt"/>
        <w:rPr>
          <w:highlight w:val="yellow"/>
          <w:shd w:val="clear" w:color="auto" w:fill="FFFFFF"/>
        </w:rPr>
      </w:pPr>
      <w:r w:rsidRPr="00B311AA">
        <w:rPr>
          <w:shd w:val="clear" w:color="auto" w:fill="FFFFFF"/>
        </w:rPr>
        <w:t>https://www.komoradrazebniku.eu/wp-content/uploads/2022/01/Statistika-drazeb_2021_Final.pdf</w:t>
      </w:r>
    </w:p>
    <w:p w:rsidR="00262978" w:rsidRPr="00D47FC5" w:rsidRDefault="000865D6" w:rsidP="00262978">
      <w:pPr>
        <w:pStyle w:val="Normln-tun"/>
      </w:pPr>
      <w:r w:rsidRPr="00D47FC5">
        <w:t xml:space="preserve">Drtivou většinu tvoří dobrovolný prodej nemovitostí, </w:t>
      </w:r>
      <w:r w:rsidR="00E05828">
        <w:t>nicméně</w:t>
      </w:r>
      <w:r w:rsidRPr="00D47FC5">
        <w:t xml:space="preserve"> i nucená dražba může kvůli komplikované legislativě proběhnout jako dobrovolná.</w:t>
      </w:r>
      <w:r>
        <w:t xml:space="preserve"> </w:t>
      </w:r>
      <w:r w:rsidR="00A3728C">
        <w:t>Věřitel se</w:t>
      </w:r>
      <w:r w:rsidR="00A3728C" w:rsidRPr="00D47FC5">
        <w:t xml:space="preserve"> domluví s neplatičem a dotyčn</w:t>
      </w:r>
      <w:r w:rsidR="00A3728C">
        <w:t>ý</w:t>
      </w:r>
      <w:r w:rsidR="00A3728C" w:rsidRPr="00D47FC5">
        <w:t xml:space="preserve"> </w:t>
      </w:r>
      <w:r w:rsidR="00A3728C">
        <w:t>prodá</w:t>
      </w:r>
      <w:r w:rsidR="00A3728C" w:rsidRPr="00D47FC5">
        <w:t xml:space="preserve"> nemovitost sám. </w:t>
      </w:r>
      <w:r w:rsidR="00A3728C">
        <w:t>Příp.</w:t>
      </w:r>
      <w:r w:rsidRPr="00D47FC5">
        <w:t xml:space="preserve"> v rámci insolvenčního řízení stačí souhlas insolvenčního správce a dražba je </w:t>
      </w:r>
      <w:r w:rsidR="00E05828">
        <w:t xml:space="preserve">pak </w:t>
      </w:r>
      <w:r w:rsidRPr="00D47FC5">
        <w:t>oficiálně zařazena jako dobrovolná.</w:t>
      </w:r>
      <w:r>
        <w:t xml:space="preserve"> </w:t>
      </w:r>
    </w:p>
    <w:p w:rsidR="00DC18E1" w:rsidRPr="009A0613" w:rsidRDefault="000865D6" w:rsidP="009A0613">
      <w:pPr>
        <w:pStyle w:val="Normln-tun"/>
      </w:pPr>
      <w:r w:rsidRPr="009A0613">
        <w:t xml:space="preserve">Z předchozích čísel tak plyne, že souběh </w:t>
      </w:r>
      <w:r w:rsidR="00A3728C" w:rsidRPr="009A0613">
        <w:t>dražb</w:t>
      </w:r>
      <w:r w:rsidRPr="009A0613">
        <w:t>y</w:t>
      </w:r>
      <w:r w:rsidR="00A3728C" w:rsidRPr="009A0613">
        <w:t xml:space="preserve"> a vyvlastňovací</w:t>
      </w:r>
      <w:r w:rsidRPr="009A0613">
        <w:t>ho</w:t>
      </w:r>
      <w:r w:rsidR="00A3728C" w:rsidRPr="009A0613">
        <w:t xml:space="preserve"> řízení </w:t>
      </w:r>
      <w:r w:rsidRPr="009A0613">
        <w:t xml:space="preserve">je </w:t>
      </w:r>
      <w:r w:rsidR="00A3728C" w:rsidRPr="009A0613">
        <w:t>mnohonásobně menší než konflikt s exekucí.</w:t>
      </w:r>
    </w:p>
    <w:p w:rsidR="003852F5" w:rsidRPr="009A0613" w:rsidRDefault="000865D6" w:rsidP="009A0613">
      <w:pPr>
        <w:pStyle w:val="Normln-tun"/>
        <w:rPr>
          <w:u w:val="single"/>
        </w:rPr>
      </w:pPr>
      <w:r w:rsidRPr="009A0613">
        <w:rPr>
          <w:u w:val="single"/>
        </w:rPr>
        <w:t>I</w:t>
      </w:r>
      <w:r w:rsidR="00730F15" w:rsidRPr="009A0613">
        <w:rPr>
          <w:u w:val="single"/>
        </w:rPr>
        <w:t>nsolvence</w:t>
      </w:r>
    </w:p>
    <w:p w:rsidR="009021F0" w:rsidRPr="00D81436" w:rsidRDefault="000865D6" w:rsidP="009021F0">
      <w:pPr>
        <w:pStyle w:val="Normln-tun"/>
        <w:rPr>
          <w:highlight w:val="yellow"/>
        </w:rPr>
      </w:pPr>
      <w:r w:rsidRPr="00D81436">
        <w:t xml:space="preserve">Z </w:t>
      </w:r>
      <w:r w:rsidR="00217D3F">
        <w:t>níže</w:t>
      </w:r>
      <w:r w:rsidRPr="00D81436">
        <w:t xml:space="preserve"> uvedeného grafu vyplývá, že </w:t>
      </w:r>
      <w:r w:rsidR="00E05828">
        <w:t>počty insolvencí sledují ekonomický vývoj. K</w:t>
      </w:r>
      <w:r w:rsidRPr="00D81436">
        <w:t xml:space="preserve"> výraznému nárůstu došlo</w:t>
      </w:r>
      <w:r w:rsidR="00E05828">
        <w:t xml:space="preserve"> např.</w:t>
      </w:r>
      <w:r w:rsidRPr="00D81436">
        <w:t xml:space="preserve"> v důsledku poslední velké ekonomické krize v letech 2013 </w:t>
      </w:r>
      <w:r w:rsidRPr="00D81436">
        <w:lastRenderedPageBreak/>
        <w:t>až 2015. Následně docházelo k postupnému snižování</w:t>
      </w:r>
      <w:r w:rsidR="00662DF8">
        <w:t>.</w:t>
      </w:r>
      <w:r w:rsidRPr="00D81436">
        <w:t xml:space="preserve"> </w:t>
      </w:r>
      <w:r w:rsidR="00662DF8">
        <w:t>Ze začátku</w:t>
      </w:r>
      <w:r w:rsidRPr="00D81436">
        <w:t xml:space="preserve"> období epidemie koronaviru SARS CoV-2 pokles</w:t>
      </w:r>
      <w:r w:rsidR="00662DF8">
        <w:t xml:space="preserve"> pokračoval</w:t>
      </w:r>
      <w:r w:rsidRPr="00D81436">
        <w:t>.</w:t>
      </w:r>
      <w:r w:rsidR="00D75D01">
        <w:t xml:space="preserve"> V následujícím období však lze čekat opětovný nárůst.</w:t>
      </w:r>
    </w:p>
    <w:p w:rsidR="009021F0" w:rsidRPr="00DA12D0" w:rsidRDefault="000865D6" w:rsidP="009021F0">
      <w:pPr>
        <w:pStyle w:val="Titulek"/>
        <w:keepNext/>
      </w:pPr>
      <w:r>
        <w:t xml:space="preserve">Obrázek </w:t>
      </w:r>
      <w:r w:rsidR="00B91818">
        <w:fldChar w:fldCharType="begin"/>
      </w:r>
      <w:r>
        <w:instrText xml:space="preserve"> SEQ Obrázek \* ARABIC </w:instrText>
      </w:r>
      <w:r w:rsidR="00B91818">
        <w:fldChar w:fldCharType="separate"/>
      </w:r>
      <w:r>
        <w:t>1</w:t>
      </w:r>
      <w:r w:rsidR="00B91818">
        <w:rPr>
          <w:noProof/>
        </w:rPr>
        <w:fldChar w:fldCharType="end"/>
      </w:r>
      <w:r>
        <w:t xml:space="preserve">: </w:t>
      </w:r>
      <w:r w:rsidR="00A60C64">
        <w:t>Dlouhodobý vývoj</w:t>
      </w:r>
      <w:r>
        <w:t xml:space="preserve"> počtu insolvenčních návrhů</w:t>
      </w:r>
    </w:p>
    <w:p w:rsidR="009021F0" w:rsidRPr="00D81436" w:rsidRDefault="000865D6" w:rsidP="009021F0">
      <w:pPr>
        <w:pStyle w:val="Normln-tun"/>
      </w:pPr>
      <w:r w:rsidRPr="00D81436">
        <w:rPr>
          <w:noProof/>
          <w:lang w:eastAsia="cs-CZ"/>
        </w:rPr>
        <w:drawing>
          <wp:inline distT="0" distB="0" distL="0" distR="0">
            <wp:extent cx="5227320" cy="221829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952461" name=""/>
                    <pic:cNvPicPr/>
                  </pic:nvPicPr>
                  <pic:blipFill>
                    <a:blip r:embed="rId20"/>
                    <a:stretch>
                      <a:fillRect/>
                    </a:stretch>
                  </pic:blipFill>
                  <pic:spPr>
                    <a:xfrm>
                      <a:off x="0" y="0"/>
                      <a:ext cx="5231746" cy="2220175"/>
                    </a:xfrm>
                    <a:prstGeom prst="rect">
                      <a:avLst/>
                    </a:prstGeom>
                  </pic:spPr>
                </pic:pic>
              </a:graphicData>
            </a:graphic>
          </wp:inline>
        </w:drawing>
      </w:r>
    </w:p>
    <w:p w:rsidR="009021F0" w:rsidRPr="00A61A68" w:rsidRDefault="000865D6" w:rsidP="009021F0">
      <w:pPr>
        <w:pStyle w:val="Citt"/>
      </w:pPr>
      <w:r w:rsidRPr="00A61A68">
        <w:t>Zdroj:</w:t>
      </w:r>
      <w:r w:rsidR="001A4815">
        <w:t xml:space="preserve"> Ekonom</w:t>
      </w:r>
      <w:r>
        <w:rPr>
          <w:vertAlign w:val="superscript"/>
        </w:rPr>
        <w:footnoteReference w:id="37"/>
      </w:r>
    </w:p>
    <w:p w:rsidR="00A60C64" w:rsidRDefault="000865D6" w:rsidP="00A60C64">
      <w:pPr>
        <w:pStyle w:val="Normln-tun"/>
      </w:pPr>
      <w:r>
        <w:t xml:space="preserve">Celoroční statistiku v posledních </w:t>
      </w:r>
      <w:r>
        <w:t>letech ukazuje následující obrázek.</w:t>
      </w:r>
    </w:p>
    <w:p w:rsidR="001161D5" w:rsidRDefault="000865D6" w:rsidP="001161D5">
      <w:pPr>
        <w:pStyle w:val="Titulek"/>
        <w:keepNext/>
      </w:pPr>
      <w:r>
        <w:t xml:space="preserve">Tabulka </w:t>
      </w:r>
      <w:r w:rsidR="00D644CC">
        <w:fldChar w:fldCharType="begin"/>
      </w:r>
      <w:r>
        <w:instrText xml:space="preserve"> SEQ Tabulka \* ARABIC </w:instrText>
      </w:r>
      <w:r w:rsidR="00D644CC">
        <w:fldChar w:fldCharType="separate"/>
      </w:r>
      <w:r>
        <w:t>29</w:t>
      </w:r>
      <w:r w:rsidR="00D644CC">
        <w:rPr>
          <w:noProof/>
        </w:rPr>
        <w:fldChar w:fldCharType="end"/>
      </w:r>
      <w:r>
        <w:t>: Návrhy insolvenčního řízení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7"/>
      </w:tblGrid>
      <w:tr w:rsidR="00FC72A1" w:rsidTr="00A60C64">
        <w:tc>
          <w:tcPr>
            <w:tcW w:w="4530" w:type="dxa"/>
            <w:tcMar>
              <w:left w:w="28" w:type="dxa"/>
              <w:right w:w="28" w:type="dxa"/>
            </w:tcMar>
          </w:tcPr>
          <w:p w:rsidR="001567A7" w:rsidRDefault="000865D6" w:rsidP="00FB753D">
            <w:pPr>
              <w:pStyle w:val="Text-Normaln"/>
              <w:widowControl w:val="0"/>
              <w:rPr>
                <w:rFonts w:ascii="Roboto" w:hAnsi="Roboto"/>
                <w:color w:val="000000"/>
                <w:sz w:val="21"/>
                <w:szCs w:val="21"/>
                <w:highlight w:val="yellow"/>
                <w:shd w:val="clear" w:color="auto" w:fill="FFFFFF"/>
              </w:rPr>
            </w:pPr>
            <w:r w:rsidRPr="002647B7">
              <w:rPr>
                <w:noProof/>
                <w:lang w:eastAsia="cs-CZ"/>
              </w:rPr>
              <w:drawing>
                <wp:inline distT="0" distB="0" distL="0" distR="0">
                  <wp:extent cx="2836976" cy="1698172"/>
                  <wp:effectExtent l="0" t="0" r="1905"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74904" name=""/>
                          <pic:cNvPicPr/>
                        </pic:nvPicPr>
                        <pic:blipFill>
                          <a:blip r:embed="rId21"/>
                          <a:srcRect l="25157" t="19565" r="43847" b="47451"/>
                          <a:stretch>
                            <a:fillRect/>
                          </a:stretch>
                        </pic:blipFill>
                        <pic:spPr bwMode="auto">
                          <a:xfrm>
                            <a:off x="0" y="0"/>
                            <a:ext cx="2873170" cy="1719837"/>
                          </a:xfrm>
                          <a:prstGeom prst="rect">
                            <a:avLst/>
                          </a:prstGeom>
                          <a:ln>
                            <a:noFill/>
                          </a:ln>
                          <a:extLst>
                            <a:ext uri="{53640926-AAD7-44D8-BBD7-CCE9431645EC}">
                              <a14:shadowObscured xmlns:a14="http://schemas.microsoft.com/office/drawing/2010/main"/>
                            </a:ext>
                          </a:extLst>
                        </pic:spPr>
                      </pic:pic>
                    </a:graphicData>
                  </a:graphic>
                </wp:inline>
              </w:drawing>
            </w:r>
          </w:p>
        </w:tc>
        <w:tc>
          <w:tcPr>
            <w:tcW w:w="4530" w:type="dxa"/>
            <w:tcMar>
              <w:left w:w="28" w:type="dxa"/>
              <w:right w:w="28" w:type="dxa"/>
            </w:tcMar>
          </w:tcPr>
          <w:p w:rsidR="001567A7" w:rsidRDefault="000865D6" w:rsidP="00FB753D">
            <w:pPr>
              <w:pStyle w:val="Text-Normaln"/>
              <w:widowControl w:val="0"/>
              <w:rPr>
                <w:rFonts w:ascii="Roboto" w:hAnsi="Roboto"/>
                <w:color w:val="000000"/>
                <w:sz w:val="21"/>
                <w:szCs w:val="21"/>
                <w:highlight w:val="yellow"/>
                <w:shd w:val="clear" w:color="auto" w:fill="FFFFFF"/>
              </w:rPr>
            </w:pPr>
            <w:r w:rsidRPr="002647B7">
              <w:rPr>
                <w:noProof/>
                <w:lang w:eastAsia="cs-CZ"/>
              </w:rPr>
              <w:drawing>
                <wp:inline distT="0" distB="0" distL="0" distR="0">
                  <wp:extent cx="2845939" cy="1690914"/>
                  <wp:effectExtent l="0" t="0" r="0" b="508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69985" name=""/>
                          <pic:cNvPicPr/>
                        </pic:nvPicPr>
                        <pic:blipFill>
                          <a:blip r:embed="rId21"/>
                          <a:srcRect l="25217" t="54628" r="43712" b="12554"/>
                          <a:stretch>
                            <a:fillRect/>
                          </a:stretch>
                        </pic:blipFill>
                        <pic:spPr bwMode="auto">
                          <a:xfrm>
                            <a:off x="0" y="0"/>
                            <a:ext cx="2875342" cy="1708384"/>
                          </a:xfrm>
                          <a:prstGeom prst="rect">
                            <a:avLst/>
                          </a:prstGeom>
                          <a:ln>
                            <a:noFill/>
                          </a:ln>
                          <a:extLst>
                            <a:ext uri="{53640926-AAD7-44D8-BBD7-CCE9431645EC}">
                              <a14:shadowObscured xmlns:a14="http://schemas.microsoft.com/office/drawing/2010/main"/>
                            </a:ext>
                          </a:extLst>
                        </pic:spPr>
                      </pic:pic>
                    </a:graphicData>
                  </a:graphic>
                </wp:inline>
              </w:drawing>
            </w:r>
          </w:p>
        </w:tc>
      </w:tr>
    </w:tbl>
    <w:p w:rsidR="00730F15" w:rsidRPr="00A60C64" w:rsidRDefault="000865D6" w:rsidP="00A60C64">
      <w:pPr>
        <w:pStyle w:val="Citt"/>
      </w:pPr>
      <w:r>
        <w:t>Zdroj: Seznam Zprávy</w:t>
      </w:r>
      <w:r>
        <w:rPr>
          <w:rStyle w:val="Znakapoznpodarou"/>
        </w:rPr>
        <w:footnoteReference w:id="38"/>
      </w:r>
    </w:p>
    <w:p w:rsidR="00B93412" w:rsidRPr="00B93412" w:rsidRDefault="000865D6" w:rsidP="00B93412">
      <w:pPr>
        <w:pStyle w:val="Normln-tun"/>
      </w:pPr>
      <w:r w:rsidRPr="00B93412">
        <w:rPr>
          <w:color w:val="444444"/>
        </w:rPr>
        <w:t xml:space="preserve">Úspěšné oddlužení fyzickým osobám trvá v průměru 1 910 dní, ale pokud zahrneme i neúspěšné </w:t>
      </w:r>
      <w:r w:rsidRPr="00B93412">
        <w:t xml:space="preserve">oddlužení, průměr klesne na 1 169 </w:t>
      </w:r>
      <w:r w:rsidRPr="00B93412">
        <w:t>dní.</w:t>
      </w:r>
      <w:r>
        <w:rPr>
          <w:rStyle w:val="Znakapoznpodarou"/>
        </w:rPr>
        <w:footnoteReference w:id="39"/>
      </w:r>
      <w:r>
        <w:t xml:space="preserve"> </w:t>
      </w:r>
      <w:r w:rsidRPr="00B93412">
        <w:t>V Praze je délka trvání oddlužení 54,65 měsíce</w:t>
      </w:r>
      <w:r>
        <w:t>,</w:t>
      </w:r>
      <w:r w:rsidRPr="00B93412">
        <w:t xml:space="preserve"> </w:t>
      </w:r>
      <w:r>
        <w:t xml:space="preserve">např. </w:t>
      </w:r>
      <w:r w:rsidRPr="00B93412">
        <w:t>v Moravskoslezském kraji 56,25 měsíce</w:t>
      </w:r>
      <w:r>
        <w:t>.</w:t>
      </w:r>
      <w:r>
        <w:rPr>
          <w:vertAlign w:val="superscript"/>
        </w:rPr>
        <w:footnoteReference w:id="40"/>
      </w:r>
    </w:p>
    <w:p w:rsidR="00916662" w:rsidRPr="009A0613" w:rsidRDefault="000865D6" w:rsidP="009A0613">
      <w:pPr>
        <w:pStyle w:val="Normln-tun"/>
        <w:rPr>
          <w:b/>
          <w:bCs/>
        </w:rPr>
      </w:pPr>
      <w:r w:rsidRPr="009A0613">
        <w:rPr>
          <w:b/>
          <w:bCs/>
        </w:rPr>
        <w:t>Definice problému</w:t>
      </w:r>
    </w:p>
    <w:p w:rsidR="008503D5" w:rsidRPr="009A0613" w:rsidRDefault="000865D6" w:rsidP="009A0613">
      <w:pPr>
        <w:pStyle w:val="Normln-tun"/>
      </w:pPr>
      <w:r w:rsidRPr="009A0613">
        <w:t>Jak exekuční řízení, tak vyvlastňovací řízení shodně směřují k omezení vlastnického práva osoby k nemovité věci a obě mohou skončit odnětí</w:t>
      </w:r>
      <w:r w:rsidRPr="009A0613">
        <w:t xml:space="preserve">m nemovité věci jejímu vlastníku, nicméně každé z nich probíhá z jiného důvodu. Na jedné straně stojí uspokojení věřitelů vyvlastňovaného, a na straně druhé účel vyvlastnění stanovený zvláštním zákonem. Může </w:t>
      </w:r>
      <w:r w:rsidRPr="009A0613">
        <w:lastRenderedPageBreak/>
        <w:t>se stát, že jedna a tatáž nemovitá věc je součas</w:t>
      </w:r>
      <w:r w:rsidRPr="009A0613">
        <w:t>ně předmětem jak exekučního řízení, tak řízení o vyvlastnění.</w:t>
      </w:r>
    </w:p>
    <w:p w:rsidR="002D5DE0" w:rsidRPr="009A0613" w:rsidRDefault="000865D6" w:rsidP="009A0613">
      <w:pPr>
        <w:pStyle w:val="Normln-tun"/>
      </w:pPr>
      <w:r w:rsidRPr="009A0613">
        <w:t>Jak vyplývá z výše uvedeného, střet řízení je opředen řadou nejasností, a to především v situacích, kdy nedochází k pouhému omezení vlastnického práva vyvlastňovaného k nemovité věci, ale k jeho</w:t>
      </w:r>
      <w:r w:rsidRPr="009A0613">
        <w:t xml:space="preserve"> odnětí. Střet těchto dvou řízení může obě řízení negativně ovlivnit, způsobit časové průtahy, mnohdy účel samotného řízení zcela znemožnit.</w:t>
      </w:r>
      <w:r w:rsidR="00C40027" w:rsidRPr="009A0613">
        <w:t xml:space="preserve"> </w:t>
      </w:r>
    </w:p>
    <w:p w:rsidR="002D5DE0" w:rsidRPr="009A0613" w:rsidRDefault="000865D6" w:rsidP="009A0613">
      <w:pPr>
        <w:pStyle w:val="Normln-tun"/>
      </w:pPr>
      <w:r w:rsidRPr="009A0613">
        <w:t>Je třeba navrhnout řešení</w:t>
      </w:r>
      <w:r w:rsidR="00E0232B" w:rsidRPr="009A0613">
        <w:t xml:space="preserve"> k</w:t>
      </w:r>
      <w:r w:rsidRPr="009A0613">
        <w:t xml:space="preserve"> odstranění hmotněprávních i procesněprávních kolizí </w:t>
      </w:r>
      <w:r w:rsidR="004F2040" w:rsidRPr="009A0613">
        <w:t>jednotlivých</w:t>
      </w:r>
      <w:r w:rsidRPr="009A0613">
        <w:t xml:space="preserve"> řízení, </w:t>
      </w:r>
      <w:r w:rsidR="004F2040" w:rsidRPr="009A0613">
        <w:t xml:space="preserve">např. </w:t>
      </w:r>
      <w:r w:rsidRPr="009A0613">
        <w:t>s ohled</w:t>
      </w:r>
      <w:r w:rsidRPr="009A0613">
        <w:t>em na posílení právní jistoty oprávněného v exekučním řízení v případě, že současně dochází k vyvlastnění exek</w:t>
      </w:r>
      <w:r w:rsidR="00E0232B" w:rsidRPr="009A0613">
        <w:t>u</w:t>
      </w:r>
      <w:r w:rsidRPr="009A0613">
        <w:t>ované nemovité věci</w:t>
      </w:r>
      <w:r w:rsidR="004F2040" w:rsidRPr="009A0613">
        <w:t xml:space="preserve"> aj</w:t>
      </w:r>
      <w:r w:rsidRPr="009A0613">
        <w:t>.</w:t>
      </w:r>
    </w:p>
    <w:p w:rsidR="00E0232B" w:rsidRPr="00E36C69" w:rsidRDefault="000865D6" w:rsidP="0016654D">
      <w:pPr>
        <w:pStyle w:val="Text-Normaln"/>
        <w:widowControl w:val="0"/>
        <w:rPr>
          <w:rFonts w:cs="Arial"/>
          <w:szCs w:val="24"/>
        </w:rPr>
      </w:pPr>
      <w:r w:rsidRPr="00E36C69">
        <w:rPr>
          <w:b/>
        </w:rPr>
        <w:t>Cíl:</w:t>
      </w:r>
      <w:r w:rsidRPr="00E36C69">
        <w:t xml:space="preserve"> </w:t>
      </w:r>
      <w:r w:rsidRPr="00E36C69">
        <w:rPr>
          <w:rFonts w:cs="Arial"/>
          <w:szCs w:val="24"/>
        </w:rPr>
        <w:t>Zefektivnění</w:t>
      </w:r>
      <w:r w:rsidR="00461AD8" w:rsidRPr="00E36C69">
        <w:rPr>
          <w:rFonts w:cs="Arial"/>
          <w:szCs w:val="24"/>
        </w:rPr>
        <w:t xml:space="preserve"> procesu získávání potřebných vlastnických práv investory</w:t>
      </w:r>
      <w:r w:rsidR="00E36C69" w:rsidRPr="00E36C69">
        <w:rPr>
          <w:rFonts w:cs="Arial"/>
          <w:szCs w:val="24"/>
        </w:rPr>
        <w:t>,</w:t>
      </w:r>
      <w:r w:rsidR="00E36C69" w:rsidRPr="00852A7E">
        <w:rPr>
          <w:rFonts w:cs="Arial"/>
          <w:szCs w:val="24"/>
        </w:rPr>
        <w:t xml:space="preserve"> </w:t>
      </w:r>
      <w:r w:rsidRPr="00852A7E">
        <w:rPr>
          <w:color w:val="2B3953"/>
        </w:rPr>
        <w:t>zvýš</w:t>
      </w:r>
      <w:r w:rsidR="00E36C69" w:rsidRPr="00852A7E">
        <w:rPr>
          <w:color w:val="2B3953"/>
        </w:rPr>
        <w:t>ení</w:t>
      </w:r>
      <w:r w:rsidRPr="00852A7E">
        <w:rPr>
          <w:color w:val="2B3953"/>
        </w:rPr>
        <w:t xml:space="preserve"> právní jistot</w:t>
      </w:r>
      <w:r w:rsidR="00E36C69" w:rsidRPr="00852A7E">
        <w:rPr>
          <w:color w:val="2B3953"/>
        </w:rPr>
        <w:t>y</w:t>
      </w:r>
      <w:r w:rsidRPr="00E36C69">
        <w:rPr>
          <w:i/>
          <w:iCs/>
          <w:color w:val="2B3953"/>
        </w:rPr>
        <w:t xml:space="preserve"> </w:t>
      </w:r>
    </w:p>
    <w:p w:rsidR="0016654D" w:rsidRPr="00E36C69" w:rsidRDefault="000865D6" w:rsidP="0016654D">
      <w:pPr>
        <w:pStyle w:val="Text-Normaln"/>
        <w:widowControl w:val="0"/>
        <w:rPr>
          <w:b/>
        </w:rPr>
      </w:pPr>
      <w:r w:rsidRPr="00E36C69">
        <w:rPr>
          <w:b/>
        </w:rPr>
        <w:t>Návrh variant řešení:</w:t>
      </w:r>
    </w:p>
    <w:p w:rsidR="0016654D" w:rsidRPr="00E36C69" w:rsidRDefault="000865D6" w:rsidP="0016654D">
      <w:pPr>
        <w:pStyle w:val="Text-Normaln"/>
        <w:widowControl w:val="0"/>
        <w:rPr>
          <w:i/>
        </w:rPr>
      </w:pPr>
      <w:r w:rsidRPr="00E36C69">
        <w:rPr>
          <w:b/>
          <w:i/>
        </w:rPr>
        <w:t>Varianta 0:</w:t>
      </w:r>
      <w:r w:rsidRPr="00E36C69">
        <w:rPr>
          <w:i/>
        </w:rPr>
        <w:t xml:space="preserve"> Zachování současného stavu</w:t>
      </w:r>
    </w:p>
    <w:p w:rsidR="005B7C07" w:rsidRPr="006E3DFF" w:rsidRDefault="000865D6" w:rsidP="006E3DFF">
      <w:pPr>
        <w:pStyle w:val="Normln-tun"/>
        <w:rPr>
          <w:i/>
          <w:iCs/>
        </w:rPr>
      </w:pPr>
      <w:r w:rsidRPr="006E3DFF">
        <w:rPr>
          <w:b/>
          <w:i/>
          <w:iCs/>
        </w:rPr>
        <w:t xml:space="preserve">Varianta </w:t>
      </w:r>
      <w:r w:rsidR="00E36C69" w:rsidRPr="006E3DFF">
        <w:rPr>
          <w:b/>
          <w:i/>
          <w:iCs/>
        </w:rPr>
        <w:t>1</w:t>
      </w:r>
      <w:r w:rsidR="006A50ED" w:rsidRPr="006E3DFF">
        <w:rPr>
          <w:b/>
          <w:i/>
          <w:iCs/>
        </w:rPr>
        <w:t>:</w:t>
      </w:r>
      <w:r w:rsidRPr="006E3DFF">
        <w:rPr>
          <w:i/>
          <w:iCs/>
        </w:rPr>
        <w:t xml:space="preserve"> </w:t>
      </w:r>
      <w:r w:rsidR="00F8033E" w:rsidRPr="006E3DFF">
        <w:rPr>
          <w:i/>
          <w:iCs/>
        </w:rPr>
        <w:t>Úprava případů</w:t>
      </w:r>
      <w:r w:rsidR="00E36C69" w:rsidRPr="006E3DFF">
        <w:rPr>
          <w:i/>
          <w:iCs/>
        </w:rPr>
        <w:t xml:space="preserve"> souběhu </w:t>
      </w:r>
      <w:r w:rsidR="00F85DA9">
        <w:rPr>
          <w:i/>
          <w:iCs/>
        </w:rPr>
        <w:t xml:space="preserve">vybraných </w:t>
      </w:r>
      <w:r w:rsidR="006E3DFF" w:rsidRPr="006E3DFF">
        <w:rPr>
          <w:i/>
          <w:iCs/>
        </w:rPr>
        <w:t>řízení</w:t>
      </w:r>
    </w:p>
    <w:p w:rsidR="0016654D" w:rsidRPr="00E36C69" w:rsidRDefault="000865D6" w:rsidP="0016654D">
      <w:pPr>
        <w:pStyle w:val="Text-Normaln"/>
        <w:widowControl w:val="0"/>
        <w:rPr>
          <w:b/>
          <w:szCs w:val="24"/>
        </w:rPr>
      </w:pPr>
      <w:r w:rsidRPr="00E36C69">
        <w:rPr>
          <w:b/>
          <w:szCs w:val="24"/>
        </w:rPr>
        <w:t>Identifikace a kvantifikace nákladů a přínosů</w:t>
      </w:r>
    </w:p>
    <w:p w:rsidR="00461AD8" w:rsidRPr="00E36C69" w:rsidRDefault="000865D6" w:rsidP="00461AD8">
      <w:pPr>
        <w:pStyle w:val="Titulek"/>
      </w:pPr>
      <w:r w:rsidRPr="00E36C69">
        <w:t xml:space="preserve">Tabulka </w:t>
      </w:r>
      <w:r w:rsidRPr="00E36C69">
        <w:rPr>
          <w:noProof/>
        </w:rPr>
        <w:fldChar w:fldCharType="begin"/>
      </w:r>
      <w:r w:rsidRPr="00E36C69">
        <w:rPr>
          <w:noProof/>
        </w:rPr>
        <w:instrText xml:space="preserve"> SEQ Tabulka \* ARABIC </w:instrText>
      </w:r>
      <w:r w:rsidRPr="00E36C69">
        <w:rPr>
          <w:noProof/>
        </w:rPr>
        <w:fldChar w:fldCharType="separate"/>
      </w:r>
      <w:r w:rsidRPr="00E36C69">
        <w:rPr>
          <w:noProof/>
        </w:rPr>
        <w:t>30</w:t>
      </w:r>
      <w:r w:rsidRPr="00E36C69">
        <w:rPr>
          <w:noProof/>
        </w:rPr>
        <w:fldChar w:fldCharType="end"/>
      </w:r>
      <w:r w:rsidRPr="00E36C69">
        <w:t xml:space="preserve">: Identifikace nákladů a přínosů: </w:t>
      </w:r>
    </w:p>
    <w:tbl>
      <w:tblPr>
        <w:tblStyle w:val="Tabulkaseznamu21"/>
        <w:tblW w:w="9072" w:type="dxa"/>
        <w:tblInd w:w="108" w:type="dxa"/>
        <w:tblLook w:val="04A0" w:firstRow="1" w:lastRow="0" w:firstColumn="1" w:lastColumn="0" w:noHBand="0" w:noVBand="1"/>
      </w:tblPr>
      <w:tblGrid>
        <w:gridCol w:w="2268"/>
        <w:gridCol w:w="6804"/>
      </w:tblGrid>
      <w:tr w:rsidR="00FC72A1" w:rsidTr="00FC72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461AD8" w:rsidRPr="006E3DFF" w:rsidRDefault="000865D6" w:rsidP="007B3D7E">
            <w:pPr>
              <w:widowControl w:val="0"/>
              <w:tabs>
                <w:tab w:val="left" w:pos="142"/>
              </w:tabs>
              <w:spacing w:before="60" w:after="60"/>
              <w:rPr>
                <w:rFonts w:asciiTheme="minorHAnsi" w:hAnsiTheme="minorHAnsi" w:cstheme="minorHAnsi"/>
                <w:spacing w:val="-4"/>
                <w:sz w:val="20"/>
                <w:szCs w:val="20"/>
              </w:rPr>
            </w:pPr>
            <w:r w:rsidRPr="006E3DFF">
              <w:rPr>
                <w:rFonts w:asciiTheme="minorHAnsi" w:hAnsiTheme="minorHAnsi" w:cstheme="minorHAnsi"/>
                <w:spacing w:val="-4"/>
                <w:sz w:val="20"/>
                <w:szCs w:val="20"/>
              </w:rPr>
              <w:t>Dotčená strana</w:t>
            </w:r>
          </w:p>
        </w:tc>
        <w:tc>
          <w:tcPr>
            <w:tcW w:w="6804" w:type="dxa"/>
            <w:vAlign w:val="center"/>
          </w:tcPr>
          <w:p w:rsidR="00461AD8" w:rsidRPr="006E3DFF" w:rsidRDefault="000865D6" w:rsidP="007B3D7E">
            <w:pPr>
              <w:widowControl w:val="0"/>
              <w:tabs>
                <w:tab w:val="left" w:pos="142"/>
              </w:tabs>
              <w:spacing w:before="60" w:after="60"/>
              <w:ind w:right="3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6E3DFF">
              <w:rPr>
                <w:rFonts w:asciiTheme="minorHAnsi" w:hAnsiTheme="minorHAnsi" w:cstheme="minorHAnsi"/>
                <w:spacing w:val="-4"/>
                <w:sz w:val="20"/>
                <w:szCs w:val="20"/>
              </w:rPr>
              <w:t xml:space="preserve">Náklady a přínosy </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2020CE" w:rsidRPr="006E3DFF" w:rsidRDefault="000865D6" w:rsidP="007B3D7E">
            <w:pPr>
              <w:widowControl w:val="0"/>
              <w:tabs>
                <w:tab w:val="left" w:pos="142"/>
              </w:tabs>
              <w:spacing w:before="60" w:after="60"/>
              <w:jc w:val="left"/>
              <w:rPr>
                <w:rFonts w:asciiTheme="minorHAnsi" w:hAnsiTheme="minorHAnsi" w:cstheme="minorHAnsi"/>
                <w:spacing w:val="-4"/>
                <w:sz w:val="20"/>
                <w:szCs w:val="20"/>
              </w:rPr>
            </w:pPr>
            <w:r w:rsidRPr="006E3DFF">
              <w:rPr>
                <w:rFonts w:asciiTheme="minorHAnsi" w:hAnsiTheme="minorHAnsi" w:cstheme="minorHAnsi"/>
                <w:spacing w:val="-4"/>
                <w:sz w:val="20"/>
                <w:szCs w:val="20"/>
              </w:rPr>
              <w:t>Vyvlastnitelé</w:t>
            </w:r>
          </w:p>
        </w:tc>
        <w:tc>
          <w:tcPr>
            <w:tcW w:w="6804" w:type="dxa"/>
            <w:vAlign w:val="center"/>
          </w:tcPr>
          <w:p w:rsidR="00373BD9" w:rsidRPr="006E3DFF" w:rsidRDefault="000865D6" w:rsidP="007548EC">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6E3DFF">
              <w:rPr>
                <w:rFonts w:asciiTheme="minorHAnsi" w:hAnsiTheme="minorHAnsi" w:cstheme="minorHAnsi"/>
                <w:i/>
                <w:sz w:val="20"/>
                <w:szCs w:val="20"/>
              </w:rPr>
              <w:t xml:space="preserve">Varianta </w:t>
            </w:r>
            <w:r w:rsidR="001801B9" w:rsidRPr="006E3DFF">
              <w:rPr>
                <w:rFonts w:asciiTheme="minorHAnsi" w:hAnsiTheme="minorHAnsi" w:cstheme="minorHAnsi"/>
                <w:i/>
                <w:sz w:val="20"/>
                <w:szCs w:val="20"/>
              </w:rPr>
              <w:t>1</w:t>
            </w:r>
            <w:r w:rsidRPr="006E3DFF">
              <w:rPr>
                <w:rFonts w:asciiTheme="minorHAnsi" w:hAnsiTheme="minorHAnsi" w:cstheme="minorHAnsi"/>
                <w:i/>
                <w:sz w:val="20"/>
                <w:szCs w:val="20"/>
              </w:rPr>
              <w:t xml:space="preserve"> –</w:t>
            </w:r>
            <w:r w:rsidR="00347CCB" w:rsidRPr="006E3DFF">
              <w:t xml:space="preserve"> </w:t>
            </w:r>
            <w:r w:rsidR="00347CCB" w:rsidRPr="006E3DFF">
              <w:rPr>
                <w:rFonts w:asciiTheme="minorHAnsi" w:hAnsiTheme="minorHAnsi" w:cstheme="minorHAnsi"/>
                <w:i/>
                <w:sz w:val="20"/>
                <w:szCs w:val="20"/>
              </w:rPr>
              <w:t>Rychlejší realizace veřejně prospěšných staveb</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vAlign w:val="center"/>
          </w:tcPr>
          <w:p w:rsidR="002020CE" w:rsidRPr="006E3DFF" w:rsidRDefault="000865D6" w:rsidP="007B3D7E">
            <w:pPr>
              <w:widowControl w:val="0"/>
              <w:tabs>
                <w:tab w:val="left" w:pos="142"/>
              </w:tabs>
              <w:spacing w:before="60" w:after="60"/>
              <w:jc w:val="left"/>
              <w:rPr>
                <w:rFonts w:asciiTheme="minorHAnsi" w:hAnsiTheme="minorHAnsi" w:cstheme="minorHAnsi"/>
                <w:spacing w:val="-4"/>
                <w:sz w:val="20"/>
                <w:szCs w:val="20"/>
              </w:rPr>
            </w:pPr>
            <w:r w:rsidRPr="006E3DFF">
              <w:rPr>
                <w:rFonts w:asciiTheme="minorHAnsi" w:hAnsiTheme="minorHAnsi" w:cstheme="minorHAnsi"/>
                <w:spacing w:val="-4"/>
                <w:sz w:val="20"/>
                <w:szCs w:val="20"/>
              </w:rPr>
              <w:t>Vyvlastňovaní</w:t>
            </w:r>
          </w:p>
        </w:tc>
        <w:tc>
          <w:tcPr>
            <w:tcW w:w="6804" w:type="dxa"/>
            <w:vAlign w:val="center"/>
          </w:tcPr>
          <w:p w:rsidR="00373BD9" w:rsidRPr="006E3DFF" w:rsidRDefault="000865D6" w:rsidP="00E36C69">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pacing w:val="-4"/>
                <w:sz w:val="20"/>
                <w:szCs w:val="20"/>
              </w:rPr>
            </w:pPr>
            <w:r w:rsidRPr="006E3DFF">
              <w:rPr>
                <w:rFonts w:asciiTheme="minorHAnsi" w:hAnsiTheme="minorHAnsi" w:cstheme="minorHAnsi"/>
                <w:i/>
                <w:sz w:val="20"/>
                <w:szCs w:val="20"/>
              </w:rPr>
              <w:t xml:space="preserve">Varianta </w:t>
            </w:r>
            <w:r w:rsidR="001801B9" w:rsidRPr="006E3DFF">
              <w:rPr>
                <w:rFonts w:asciiTheme="minorHAnsi" w:hAnsiTheme="minorHAnsi" w:cstheme="minorHAnsi"/>
                <w:i/>
                <w:sz w:val="20"/>
                <w:szCs w:val="20"/>
              </w:rPr>
              <w:t>1</w:t>
            </w:r>
            <w:r w:rsidRPr="006E3DFF">
              <w:rPr>
                <w:rFonts w:asciiTheme="minorHAnsi" w:hAnsiTheme="minorHAnsi" w:cstheme="minorHAnsi"/>
                <w:i/>
                <w:sz w:val="20"/>
                <w:szCs w:val="20"/>
              </w:rPr>
              <w:t xml:space="preserve"> –</w:t>
            </w:r>
            <w:r w:rsidR="00347CCB" w:rsidRPr="006E3DFF">
              <w:rPr>
                <w:rFonts w:asciiTheme="minorHAnsi" w:hAnsiTheme="minorHAnsi" w:cstheme="minorHAnsi"/>
                <w:i/>
                <w:sz w:val="20"/>
                <w:szCs w:val="20"/>
              </w:rPr>
              <w:t xml:space="preserve"> Výše nákladů/přínosů bude záviset na způsobu vypořádání</w:t>
            </w:r>
          </w:p>
        </w:tc>
      </w:tr>
      <w:tr w:rsidR="00FC72A1" w:rsidTr="00FC72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vAlign w:val="center"/>
          </w:tcPr>
          <w:p w:rsidR="002020CE" w:rsidRPr="006E3DFF" w:rsidRDefault="000865D6" w:rsidP="007B3D7E">
            <w:pPr>
              <w:widowControl w:val="0"/>
              <w:tabs>
                <w:tab w:val="left" w:pos="142"/>
              </w:tabs>
              <w:spacing w:before="60" w:after="60"/>
              <w:jc w:val="left"/>
              <w:rPr>
                <w:rFonts w:asciiTheme="minorHAnsi" w:hAnsiTheme="minorHAnsi" w:cstheme="minorHAnsi"/>
                <w:spacing w:val="-4"/>
                <w:sz w:val="20"/>
                <w:szCs w:val="20"/>
              </w:rPr>
            </w:pPr>
            <w:r w:rsidRPr="006E3DFF">
              <w:rPr>
                <w:rFonts w:asciiTheme="minorHAnsi" w:hAnsiTheme="minorHAnsi" w:cstheme="minorHAnsi"/>
                <w:spacing w:val="-4"/>
                <w:sz w:val="20"/>
                <w:szCs w:val="20"/>
              </w:rPr>
              <w:t>Vyvlastňovací úřady</w:t>
            </w:r>
          </w:p>
        </w:tc>
        <w:tc>
          <w:tcPr>
            <w:tcW w:w="6804" w:type="dxa"/>
            <w:vAlign w:val="center"/>
          </w:tcPr>
          <w:p w:rsidR="00373BD9" w:rsidRPr="006E3DFF" w:rsidRDefault="000865D6" w:rsidP="00E36C69">
            <w:pPr>
              <w:widowControl w:val="0"/>
              <w:tabs>
                <w:tab w:val="left" w:pos="142"/>
              </w:tabs>
              <w:spacing w:before="60" w:after="60"/>
              <w:ind w:right="33"/>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0"/>
              </w:rPr>
            </w:pPr>
            <w:r w:rsidRPr="006E3DFF">
              <w:rPr>
                <w:rFonts w:asciiTheme="minorHAnsi" w:hAnsiTheme="minorHAnsi" w:cstheme="minorHAnsi"/>
                <w:i/>
                <w:sz w:val="20"/>
                <w:szCs w:val="20"/>
              </w:rPr>
              <w:t xml:space="preserve">Varianta </w:t>
            </w:r>
            <w:r w:rsidR="001801B9" w:rsidRPr="006E3DFF">
              <w:rPr>
                <w:rFonts w:asciiTheme="minorHAnsi" w:hAnsiTheme="minorHAnsi" w:cstheme="minorHAnsi"/>
                <w:i/>
                <w:sz w:val="20"/>
                <w:szCs w:val="20"/>
              </w:rPr>
              <w:t>1</w:t>
            </w:r>
            <w:r w:rsidRPr="006E3DFF">
              <w:rPr>
                <w:rFonts w:asciiTheme="minorHAnsi" w:hAnsiTheme="minorHAnsi" w:cstheme="minorHAnsi"/>
                <w:i/>
                <w:sz w:val="20"/>
                <w:szCs w:val="20"/>
              </w:rPr>
              <w:t xml:space="preserve"> –</w:t>
            </w:r>
            <w:r w:rsidR="00502853" w:rsidRPr="006E3DFF">
              <w:rPr>
                <w:rFonts w:asciiTheme="minorHAnsi" w:hAnsiTheme="minorHAnsi" w:cstheme="minorHAnsi"/>
                <w:i/>
                <w:sz w:val="20"/>
                <w:szCs w:val="20"/>
              </w:rPr>
              <w:t xml:space="preserve"> Vyšší </w:t>
            </w:r>
            <w:r w:rsidR="006E3DFF">
              <w:rPr>
                <w:rFonts w:asciiTheme="minorHAnsi" w:hAnsiTheme="minorHAnsi" w:cstheme="minorHAnsi"/>
                <w:i/>
                <w:sz w:val="20"/>
                <w:szCs w:val="20"/>
              </w:rPr>
              <w:t>právní jistota, nižší administrativní náklady</w:t>
            </w:r>
            <w:r w:rsidR="00502853" w:rsidRPr="006E3DFF">
              <w:rPr>
                <w:rFonts w:asciiTheme="minorHAnsi" w:hAnsiTheme="minorHAnsi" w:cstheme="minorHAnsi"/>
                <w:i/>
                <w:sz w:val="20"/>
                <w:szCs w:val="20"/>
              </w:rPr>
              <w:t xml:space="preserve"> </w:t>
            </w:r>
          </w:p>
        </w:tc>
      </w:tr>
      <w:tr w:rsidR="00FC72A1" w:rsidTr="00FC72A1">
        <w:tc>
          <w:tcPr>
            <w:cnfStyle w:val="001000000000" w:firstRow="0" w:lastRow="0" w:firstColumn="1" w:lastColumn="0" w:oddVBand="0" w:evenVBand="0" w:oddHBand="0" w:evenHBand="0" w:firstRowFirstColumn="0" w:firstRowLastColumn="0" w:lastRowFirstColumn="0" w:lastRowLastColumn="0"/>
            <w:tcW w:w="2268" w:type="dxa"/>
            <w:shd w:val="clear" w:color="auto" w:fill="auto"/>
            <w:vAlign w:val="center"/>
          </w:tcPr>
          <w:p w:rsidR="002020CE" w:rsidRPr="006E3DFF" w:rsidRDefault="000865D6" w:rsidP="007B3D7E">
            <w:pPr>
              <w:widowControl w:val="0"/>
              <w:tabs>
                <w:tab w:val="left" w:pos="142"/>
              </w:tabs>
              <w:spacing w:before="60" w:after="60"/>
              <w:jc w:val="left"/>
              <w:rPr>
                <w:rFonts w:asciiTheme="minorHAnsi" w:hAnsiTheme="minorHAnsi" w:cstheme="minorHAnsi"/>
                <w:spacing w:val="-4"/>
                <w:sz w:val="20"/>
                <w:szCs w:val="20"/>
              </w:rPr>
            </w:pPr>
            <w:r w:rsidRPr="006E3DFF">
              <w:rPr>
                <w:rFonts w:asciiTheme="minorHAnsi" w:hAnsiTheme="minorHAnsi" w:cstheme="minorHAnsi"/>
                <w:spacing w:val="-4"/>
                <w:sz w:val="20"/>
                <w:szCs w:val="20"/>
              </w:rPr>
              <w:t>Ostatní</w:t>
            </w:r>
          </w:p>
        </w:tc>
        <w:tc>
          <w:tcPr>
            <w:tcW w:w="6804" w:type="dxa"/>
            <w:shd w:val="clear" w:color="auto" w:fill="auto"/>
            <w:vAlign w:val="center"/>
          </w:tcPr>
          <w:p w:rsidR="00373BD9" w:rsidRPr="00E36C69" w:rsidRDefault="000865D6" w:rsidP="00E36C69">
            <w:pPr>
              <w:widowControl w:val="0"/>
              <w:tabs>
                <w:tab w:val="left" w:pos="142"/>
              </w:tabs>
              <w:spacing w:before="60" w:after="60"/>
              <w:ind w:right="3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0"/>
              </w:rPr>
            </w:pPr>
            <w:r w:rsidRPr="006E3DFF">
              <w:rPr>
                <w:rFonts w:asciiTheme="minorHAnsi" w:hAnsiTheme="minorHAnsi" w:cstheme="minorHAnsi"/>
                <w:i/>
                <w:sz w:val="20"/>
                <w:szCs w:val="20"/>
              </w:rPr>
              <w:t xml:space="preserve">Varianta </w:t>
            </w:r>
            <w:r w:rsidR="001801B9" w:rsidRPr="006E3DFF">
              <w:rPr>
                <w:rFonts w:asciiTheme="minorHAnsi" w:hAnsiTheme="minorHAnsi" w:cstheme="minorHAnsi"/>
                <w:i/>
                <w:sz w:val="20"/>
                <w:szCs w:val="20"/>
              </w:rPr>
              <w:t>1</w:t>
            </w:r>
            <w:r w:rsidRPr="006E3DFF">
              <w:rPr>
                <w:rFonts w:asciiTheme="minorHAnsi" w:hAnsiTheme="minorHAnsi" w:cstheme="minorHAnsi"/>
                <w:i/>
                <w:sz w:val="20"/>
                <w:szCs w:val="20"/>
              </w:rPr>
              <w:t xml:space="preserve"> –</w:t>
            </w:r>
            <w:r w:rsidR="000E6202" w:rsidRPr="006E3DFF">
              <w:rPr>
                <w:rFonts w:asciiTheme="minorHAnsi" w:hAnsiTheme="minorHAnsi" w:cstheme="minorHAnsi"/>
                <w:i/>
                <w:sz w:val="20"/>
                <w:szCs w:val="20"/>
              </w:rPr>
              <w:t xml:space="preserve"> Rychlejší realizace veřejně prospěšných staveb</w:t>
            </w:r>
          </w:p>
        </w:tc>
      </w:tr>
    </w:tbl>
    <w:p w:rsidR="0016654D" w:rsidRPr="006E3DFF" w:rsidRDefault="000865D6" w:rsidP="004D738E">
      <w:pPr>
        <w:pStyle w:val="Text-Normaln"/>
        <w:widowControl w:val="0"/>
        <w:spacing w:before="360"/>
        <w:rPr>
          <w:b/>
        </w:rPr>
      </w:pPr>
      <w:r w:rsidRPr="006E3DFF">
        <w:rPr>
          <w:b/>
        </w:rPr>
        <w:t>Volba varianty a její implementace</w:t>
      </w:r>
    </w:p>
    <w:p w:rsidR="00A62977" w:rsidRPr="006E3DFF" w:rsidRDefault="000865D6" w:rsidP="006E3DFF">
      <w:pPr>
        <w:pStyle w:val="Normln-tun"/>
        <w:rPr>
          <w:b/>
          <w:bCs/>
        </w:rPr>
      </w:pPr>
      <w:r w:rsidRPr="006E3DFF">
        <w:rPr>
          <w:b/>
          <w:bCs/>
        </w:rPr>
        <w:tab/>
        <w:t>Souběh vyvlastnění a exekuce a soudního výkonu rozhodnutí</w:t>
      </w:r>
      <w:r w:rsidR="00D04240" w:rsidRPr="006E3DFF">
        <w:rPr>
          <w:b/>
          <w:bCs/>
        </w:rPr>
        <w:t xml:space="preserve"> </w:t>
      </w:r>
    </w:p>
    <w:p w:rsidR="00BF4D81" w:rsidRPr="006E3DFF" w:rsidRDefault="000865D6" w:rsidP="006E3DFF">
      <w:pPr>
        <w:pStyle w:val="Normln-tun"/>
      </w:pPr>
      <w:r w:rsidRPr="006E3DFF">
        <w:t>D</w:t>
      </w:r>
      <w:r w:rsidR="0088404D" w:rsidRPr="006E3DFF">
        <w:t>le konzultací</w:t>
      </w:r>
      <w:r w:rsidR="00FA2A98" w:rsidRPr="006E3DFF">
        <w:t xml:space="preserve"> a získaných dat </w:t>
      </w:r>
      <w:r w:rsidR="0088404D" w:rsidRPr="006E3DFF">
        <w:t>jsou</w:t>
      </w:r>
      <w:r w:rsidRPr="006E3DFF">
        <w:t xml:space="preserve"> případy, kdy je pozemek vyvlastňovaného zatížen nařízením exekuce</w:t>
      </w:r>
      <w:r w:rsidR="0088404D" w:rsidRPr="006E3DFF">
        <w:t>, velmi problematické a zdržují proces vyvlastňování</w:t>
      </w:r>
      <w:r w:rsidRPr="006E3DFF">
        <w:t xml:space="preserve">. Obecně lze konstatovat, že oba instituty, tj. jak vyvlastnění, tak exekuce, </w:t>
      </w:r>
      <w:r w:rsidR="0088404D" w:rsidRPr="006E3DFF">
        <w:t>stojí</w:t>
      </w:r>
      <w:r w:rsidRPr="006E3DFF">
        <w:t xml:space="preserve"> </w:t>
      </w:r>
      <w:r w:rsidR="0088404D" w:rsidRPr="006E3DFF">
        <w:t>v opozici</w:t>
      </w:r>
      <w:r w:rsidRPr="006E3DFF">
        <w:t xml:space="preserve">. Na jedné straně </w:t>
      </w:r>
      <w:r w:rsidR="0088404D" w:rsidRPr="006E3DFF">
        <w:t>je</w:t>
      </w:r>
      <w:r w:rsidRPr="006E3DFF">
        <w:t xml:space="preserve"> veřejný zájem na dosažen</w:t>
      </w:r>
      <w:r w:rsidRPr="006E3DFF">
        <w:t xml:space="preserve">í účelu vyvlastnění, který </w:t>
      </w:r>
      <w:r w:rsidR="0088404D" w:rsidRPr="006E3DFF">
        <w:t>převažuje</w:t>
      </w:r>
      <w:r w:rsidRPr="006E3DFF">
        <w:t xml:space="preserve"> nad zachováním práv vyvlastňovaného, na druhé straně zájem oprávněného z exekuce, který očekává, že jeho pohledávka bude vymožena např. prodejem </w:t>
      </w:r>
      <w:r w:rsidR="0088404D" w:rsidRPr="006E3DFF">
        <w:t>dotčené</w:t>
      </w:r>
      <w:r w:rsidRPr="006E3DFF">
        <w:t xml:space="preserve"> nemovitosti.</w:t>
      </w:r>
      <w:r w:rsidR="0081336D" w:rsidRPr="006E3DFF">
        <w:t xml:space="preserve"> </w:t>
      </w:r>
      <w:r w:rsidR="004B6842" w:rsidRPr="006E3DFF">
        <w:t xml:space="preserve">Cílem exekučního řízení je co nejrychlejší a pokud možno co nejvyšší uspokojení pohledávky oprávněného za povinným, cílem vyvlastňovacího řízení je co nejdříve a nejefektivněji nabýt vyvlastňovanou nemovitou věc do vlastnictví vyvlastnitele. </w:t>
      </w:r>
      <w:r w:rsidR="0081336D" w:rsidRPr="006E3DFF">
        <w:t>S rostoucím počtem exekucí může tato problematika získávat na významu</w:t>
      </w:r>
      <w:r w:rsidR="0072409C" w:rsidRPr="006E3DFF">
        <w:t xml:space="preserve"> (vývoj v ČR viz</w:t>
      </w:r>
      <w:r w:rsidR="00E30963" w:rsidRPr="006E3DFF">
        <w:t xml:space="preserve"> předcházející část kapitoly</w:t>
      </w:r>
      <w:r w:rsidR="0072409C" w:rsidRPr="006E3DFF">
        <w:t>)</w:t>
      </w:r>
      <w:r w:rsidR="0081336D" w:rsidRPr="006E3DFF">
        <w:t xml:space="preserve">. </w:t>
      </w:r>
    </w:p>
    <w:p w:rsidR="000565FA" w:rsidRPr="006E3DFF" w:rsidRDefault="000865D6" w:rsidP="00500581">
      <w:pPr>
        <w:pStyle w:val="Normln-tun"/>
      </w:pPr>
      <w:r w:rsidRPr="006E3DFF">
        <w:t>Je proto třeba vyřešit vliv probíhajícího exekučního řízení a soudního výkonu rozhodnutí na proces vyvlastnění</w:t>
      </w:r>
      <w:r w:rsidR="00505063" w:rsidRPr="006E3DFF">
        <w:t xml:space="preserve">, </w:t>
      </w:r>
      <w:r w:rsidRPr="006E3DFF">
        <w:t>vztah těchto řízení, kdy obě omezují vlastnické právo osoby k nemovité věci a obě mohou skonči</w:t>
      </w:r>
      <w:r w:rsidRPr="006E3DFF">
        <w:t>t jeho odnětím, vždy však z jiného důvodu (v jednom případě za účelem uspokojení oprávněného a dalších věřitelů, v druhém případě pro účel vyvlastnění stanovený zvláštním zákonem a jen jestliže převažuje veřejný zájem).</w:t>
      </w:r>
      <w:r w:rsidR="00B8442A" w:rsidRPr="006E3DFF">
        <w:t xml:space="preserve"> D</w:t>
      </w:r>
      <w:r w:rsidRPr="006E3DFF">
        <w:t xml:space="preserve">ůsledky vyvlastnění </w:t>
      </w:r>
      <w:r w:rsidR="004872C0" w:rsidRPr="006E3DFF">
        <w:t xml:space="preserve">by </w:t>
      </w:r>
      <w:r w:rsidRPr="006E3DFF">
        <w:t xml:space="preserve">neměly </w:t>
      </w:r>
      <w:r w:rsidR="004872C0" w:rsidRPr="006E3DFF">
        <w:t xml:space="preserve">mít </w:t>
      </w:r>
      <w:r w:rsidRPr="006E3DFF">
        <w:t>n</w:t>
      </w:r>
      <w:r w:rsidRPr="006E3DFF">
        <w:t>egativní dopady na oprávněného z exekučního řízen</w:t>
      </w:r>
      <w:r w:rsidR="004872C0" w:rsidRPr="006E3DFF">
        <w:t xml:space="preserve">í, tj. </w:t>
      </w:r>
      <w:r w:rsidRPr="006E3DFF">
        <w:t xml:space="preserve">v důsledku vyvlastnění </w:t>
      </w:r>
      <w:r w:rsidR="004872C0" w:rsidRPr="006E3DFF">
        <w:t xml:space="preserve">by </w:t>
      </w:r>
      <w:r w:rsidRPr="006E3DFF">
        <w:t>ne</w:t>
      </w:r>
      <w:r w:rsidR="004872C0" w:rsidRPr="006E3DFF">
        <w:t>mělo být</w:t>
      </w:r>
      <w:r w:rsidRPr="006E3DFF">
        <w:t xml:space="preserve"> ohroženo plnění, které by měl oprávněný z exekučního řízení obdržet.</w:t>
      </w:r>
    </w:p>
    <w:p w:rsidR="000565FA" w:rsidRPr="006E3DFF" w:rsidRDefault="000865D6" w:rsidP="000565FA">
      <w:pPr>
        <w:pStyle w:val="Normln-tun"/>
      </w:pPr>
      <w:r w:rsidRPr="006E3DFF">
        <w:lastRenderedPageBreak/>
        <w:t>(Z pohledu vyvlastnění je daňová exekuce a správní exekuce obdobná exekuci podle exekučního řá</w:t>
      </w:r>
      <w:r w:rsidRPr="006E3DFF">
        <w:t xml:space="preserve">du a soudnímu výkonu rozhodnutí podle občanského soudního řádu, odlišnosti nejsou pro vyvlastnění podstatné. Navrhuje se proto pro daňovou exekuci a správní exekuci obdobně použít závěry učiněné k exekuci podle exekučního řádu a soudnímu výkonu rozhodnutí </w:t>
      </w:r>
      <w:r w:rsidRPr="006E3DFF">
        <w:t xml:space="preserve">podle občanského soudního řádu). </w:t>
      </w:r>
    </w:p>
    <w:p w:rsidR="0020136C" w:rsidRPr="00AC7471" w:rsidRDefault="000865D6" w:rsidP="0020136C">
      <w:pPr>
        <w:pStyle w:val="Normln-tun"/>
        <w:rPr>
          <w:u w:val="single"/>
        </w:rPr>
      </w:pPr>
      <w:bookmarkStart w:id="141" w:name="_Toc47597870"/>
      <w:bookmarkStart w:id="142" w:name="_Toc47688662"/>
      <w:bookmarkStart w:id="143" w:name="_Toc72143437"/>
      <w:r w:rsidRPr="00AC7471">
        <w:rPr>
          <w:u w:val="single"/>
        </w:rPr>
        <w:t>Vyloučení povinnosti pokusit se o uzavření smlouvy o získání práv k nemovité věci</w:t>
      </w:r>
      <w:bookmarkEnd w:id="141"/>
      <w:bookmarkEnd w:id="142"/>
      <w:bookmarkEnd w:id="143"/>
      <w:r w:rsidRPr="00AC7471">
        <w:rPr>
          <w:u w:val="single"/>
        </w:rPr>
        <w:t xml:space="preserve"> </w:t>
      </w:r>
    </w:p>
    <w:p w:rsidR="007535E6" w:rsidRDefault="000865D6" w:rsidP="0020136C">
      <w:pPr>
        <w:pStyle w:val="Normln-tun"/>
      </w:pPr>
      <w:r>
        <w:t>J</w:t>
      </w:r>
      <w:r w:rsidR="0020136C" w:rsidRPr="0020136C">
        <w:t>edním z problémů, který v případě souběhu exekučního a vyvlastňovacího řízení vyvlastnitelé spatřují, jsou obtíže a mnohdy i úplná nemožnost dohodnout se na uzavření smlouvy. Tato nemožnost uzavřít smlouvu plyne zejména z </w:t>
      </w:r>
      <w:r>
        <w:t>faktu</w:t>
      </w:r>
      <w:r w:rsidR="0020136C" w:rsidRPr="0020136C">
        <w:t xml:space="preserve">, </w:t>
      </w:r>
      <w:r>
        <w:t xml:space="preserve">že </w:t>
      </w:r>
      <w:r w:rsidR="0020136C" w:rsidRPr="0020136C">
        <w:t xml:space="preserve">povinný (vlastník nemovité věci) </w:t>
      </w:r>
      <w:r>
        <w:t xml:space="preserve">nesmí </w:t>
      </w:r>
      <w:r w:rsidR="0020136C" w:rsidRPr="0020136C">
        <w:t>s věcí</w:t>
      </w:r>
      <w:r w:rsidRPr="007A00DE">
        <w:t xml:space="preserve"> </w:t>
      </w:r>
      <w:r>
        <w:t>nakládat</w:t>
      </w:r>
      <w:r w:rsidR="0020136C" w:rsidRPr="0020136C">
        <w:t xml:space="preserve">. </w:t>
      </w:r>
    </w:p>
    <w:p w:rsidR="00BA2FF2" w:rsidRPr="00BA2FF2" w:rsidRDefault="000865D6" w:rsidP="0020136C">
      <w:pPr>
        <w:pStyle w:val="Normln-tun"/>
        <w:rPr>
          <w:i/>
          <w:iCs/>
        </w:rPr>
      </w:pPr>
      <w:r w:rsidRPr="0020136C">
        <w:t xml:space="preserve">Jistou </w:t>
      </w:r>
      <w:r w:rsidRPr="006E3DFF">
        <w:t>možnost</w:t>
      </w:r>
      <w:r w:rsidR="007535E6" w:rsidRPr="006E3DFF">
        <w:t xml:space="preserve"> </w:t>
      </w:r>
      <w:r w:rsidRPr="006E3DFF">
        <w:t xml:space="preserve">dává § 44a odst. 4 EŘ. </w:t>
      </w:r>
      <w:r w:rsidR="00D82D2F" w:rsidRPr="006E3DFF">
        <w:rPr>
          <w:i/>
          <w:iCs/>
        </w:rPr>
        <w:t>..</w:t>
      </w:r>
      <w:r w:rsidRPr="006E3DFF">
        <w:rPr>
          <w:i/>
          <w:iCs/>
        </w:rPr>
        <w:t>.</w:t>
      </w:r>
      <w:r w:rsidR="00D82D2F" w:rsidRPr="006E3DFF">
        <w:rPr>
          <w:i/>
          <w:iCs/>
        </w:rPr>
        <w:t xml:space="preserve"> S písemným souhlasem</w:t>
      </w:r>
      <w:r w:rsidR="00D82D2F" w:rsidRPr="00D82D2F">
        <w:rPr>
          <w:i/>
          <w:iCs/>
        </w:rPr>
        <w:t xml:space="preserve"> exekutora, oprávněného a všech přihlášených věřitelů může povinný k úhradě vymáhané pohledávky, jejího příslušenství, nákladů exekuce či nákladů oprávněného zpeněžit majetek nebo jednotlivé součásti majetku, nejsou-li postiženy jinou exekucí, nejméně však za obvyklou cenu zjištěnou na základě znaleckého posudku splatnou při podpisu smlouvy k rukám exekutora.</w:t>
      </w:r>
      <w:r w:rsidR="007535E6">
        <w:rPr>
          <w:i/>
          <w:iCs/>
        </w:rPr>
        <w:t xml:space="preserve"> </w:t>
      </w:r>
    </w:p>
    <w:p w:rsidR="0020136C" w:rsidRPr="0020136C" w:rsidRDefault="000865D6" w:rsidP="008D515F">
      <w:pPr>
        <w:pStyle w:val="Normln-tun"/>
      </w:pPr>
      <w:r w:rsidRPr="0020136C">
        <w:t>T</w:t>
      </w:r>
      <w:r w:rsidR="00BA2FF2">
        <w:t>j. s</w:t>
      </w:r>
      <w:r w:rsidRPr="0020136C">
        <w:t>e zpeněžením nemovité věci musí vyslovit souhlas soudní exekutor</w:t>
      </w:r>
      <w:r w:rsidR="00BA2FF2">
        <w:t xml:space="preserve"> (p</w:t>
      </w:r>
      <w:r w:rsidRPr="0020136C">
        <w:t>odmínka sama o sobě nemusí být problematická, když soudnímu exekutorovi jde p</w:t>
      </w:r>
      <w:r w:rsidRPr="0020136C">
        <w:t>ředevším o vymožení pohledávky</w:t>
      </w:r>
      <w:r w:rsidR="00BA2FF2">
        <w:t xml:space="preserve">), </w:t>
      </w:r>
      <w:r w:rsidRPr="0020136C">
        <w:t>oprávněný v</w:t>
      </w:r>
      <w:r w:rsidR="00BA2FF2">
        <w:t> </w:t>
      </w:r>
      <w:r w:rsidRPr="0020136C">
        <w:t>exekuci</w:t>
      </w:r>
      <w:r w:rsidR="00BA2FF2">
        <w:t xml:space="preserve"> (p</w:t>
      </w:r>
      <w:r w:rsidRPr="0020136C">
        <w:t xml:space="preserve">odmínka opět nebývá zásadním problémem, jelikož nemovitá věc musí být zpeněžena </w:t>
      </w:r>
      <w:r w:rsidRPr="006E3DFF">
        <w:t>minimálně za cenu obvyklou</w:t>
      </w:r>
      <w:r w:rsidR="00BA2FF2" w:rsidRPr="006E3DFF">
        <w:t xml:space="preserve"> (viz výtěžnost</w:t>
      </w:r>
      <w:r w:rsidR="00BA2FF2">
        <w:t xml:space="preserve"> dražeb výše – dosažené ceny bývají nižší než ceny odhadní)</w:t>
      </w:r>
      <w:r w:rsidRPr="0020136C">
        <w:t>, stanovenou znalecký</w:t>
      </w:r>
      <w:r w:rsidRPr="0020136C">
        <w:t>m posudkem</w:t>
      </w:r>
      <w:r w:rsidR="00BA2FF2">
        <w:t xml:space="preserve">), </w:t>
      </w:r>
      <w:r w:rsidRPr="0020136C">
        <w:t>ostatní přihlášení věřitelé</w:t>
      </w:r>
      <w:r w:rsidR="008D515F">
        <w:t xml:space="preserve"> (ostatní</w:t>
      </w:r>
      <w:r w:rsidRPr="0020136C">
        <w:t xml:space="preserve"> přihlášen</w:t>
      </w:r>
      <w:r w:rsidR="008D515F">
        <w:t>í</w:t>
      </w:r>
      <w:r w:rsidRPr="0020136C">
        <w:t xml:space="preserve"> věřitel</w:t>
      </w:r>
      <w:r w:rsidR="008D515F">
        <w:t>é</w:t>
      </w:r>
      <w:r w:rsidRPr="0020136C">
        <w:t xml:space="preserve"> m</w:t>
      </w:r>
      <w:r w:rsidR="008D515F">
        <w:t>ohou</w:t>
      </w:r>
      <w:r w:rsidRPr="0020136C">
        <w:t xml:space="preserve"> odmítnout udělit souhlas v očekávání, že výnos z případné exekuční dražby může být vyšší než z prodeje za obvyklou cenu stanovenou znaleckým posudkem</w:t>
      </w:r>
      <w:r w:rsidR="008D515F">
        <w:t xml:space="preserve">; pokud by u nějakého </w:t>
      </w:r>
      <w:r w:rsidR="008D515F" w:rsidRPr="008D515F">
        <w:t xml:space="preserve"> </w:t>
      </w:r>
      <w:r w:rsidR="008D515F">
        <w:t>věřitele n</w:t>
      </w:r>
      <w:r w:rsidR="008D515F" w:rsidRPr="008D515F">
        <w:t xml:space="preserve">ebyla </w:t>
      </w:r>
      <w:r w:rsidR="008D515F">
        <w:t xml:space="preserve">jeho pohledávka </w:t>
      </w:r>
      <w:r w:rsidR="008D515F" w:rsidRPr="008D515F">
        <w:t xml:space="preserve">ani částečně </w:t>
      </w:r>
      <w:r w:rsidR="008D515F">
        <w:t xml:space="preserve">po uzavření dohody a </w:t>
      </w:r>
      <w:r w:rsidR="008D515F" w:rsidRPr="008D515F">
        <w:t>prodej</w:t>
      </w:r>
      <w:r w:rsidR="008D515F">
        <w:t>i</w:t>
      </w:r>
      <w:r w:rsidR="008D515F" w:rsidRPr="008D515F">
        <w:t xml:space="preserve"> uspokojena, nemůže </w:t>
      </w:r>
      <w:r w:rsidR="005058C9">
        <w:t>pro něho</w:t>
      </w:r>
      <w:r w:rsidR="008D515F" w:rsidRPr="008D515F">
        <w:t xml:space="preserve"> </w:t>
      </w:r>
      <w:r w:rsidR="005058C9">
        <w:t xml:space="preserve">nikdy </w:t>
      </w:r>
      <w:r w:rsidR="008D515F" w:rsidRPr="008D515F">
        <w:t>exekuční dražb</w:t>
      </w:r>
      <w:r w:rsidR="005058C9">
        <w:t>a dopadnout hůře než právě prodej po podpisu dohody</w:t>
      </w:r>
      <w:r w:rsidR="008D515F" w:rsidRPr="008D515F">
        <w:t xml:space="preserve">, naopak může </w:t>
      </w:r>
      <w:r w:rsidR="005058C9">
        <w:t xml:space="preserve">dojít </w:t>
      </w:r>
      <w:r w:rsidR="008D515F" w:rsidRPr="008D515F">
        <w:t>alespoň k částečnému uspokojení jeho pohledávky</w:t>
      </w:r>
      <w:r w:rsidR="005058C9">
        <w:t xml:space="preserve">, pokud by cena v dražbě náhodou převýšila </w:t>
      </w:r>
      <w:r w:rsidR="008D515F" w:rsidRPr="008D515F">
        <w:t>cenu stanovenou znaleckým posudkem.</w:t>
      </w:r>
      <w:r w:rsidR="008D515F">
        <w:t>)</w:t>
      </w:r>
      <w:r w:rsidRPr="0020136C">
        <w:t xml:space="preserve"> </w:t>
      </w:r>
    </w:p>
    <w:p w:rsidR="0020136C" w:rsidRPr="0020136C" w:rsidRDefault="000865D6" w:rsidP="00D82D2F">
      <w:pPr>
        <w:pStyle w:val="Normln-tun"/>
      </w:pPr>
      <w:r>
        <w:t>V</w:t>
      </w:r>
      <w:r w:rsidRPr="0020136C">
        <w:t xml:space="preserve">ůči povinnému </w:t>
      </w:r>
      <w:r>
        <w:t xml:space="preserve">také </w:t>
      </w:r>
      <w:r w:rsidRPr="0020136C">
        <w:t>nesmí být vedeno více exekučních řízení.</w:t>
      </w:r>
      <w:r w:rsidR="00D82D2F">
        <w:t xml:space="preserve"> Vzhledem k datům uvedeným na začátku této kapitoly se t</w:t>
      </w:r>
      <w:r w:rsidR="00614617">
        <w:t>ato podmínka jeví jako největší překážka</w:t>
      </w:r>
      <w:r>
        <w:t xml:space="preserve"> (pouze ve 24 % případů byla proti povinnému vedena pouze jedna exekuce)</w:t>
      </w:r>
      <w:r w:rsidR="00614617">
        <w:t xml:space="preserve">. K těmto hodnotám je navíc třeba připočíst ještě </w:t>
      </w:r>
      <w:r w:rsidR="00614617" w:rsidRPr="0020136C">
        <w:t>exekuce správní a daňové</w:t>
      </w:r>
      <w:r w:rsidR="00614617">
        <w:t>.</w:t>
      </w:r>
      <w:r>
        <w:t xml:space="preserve"> Procento se tak může ještě mírně snížit.</w:t>
      </w:r>
    </w:p>
    <w:p w:rsidR="007535E6" w:rsidRDefault="000865D6" w:rsidP="00C82C4F">
      <w:pPr>
        <w:pStyle w:val="Normln-tun"/>
      </w:pPr>
      <w:r>
        <w:t>S</w:t>
      </w:r>
      <w:r w:rsidR="0020136C" w:rsidRPr="0020136C">
        <w:t>oudní výkon rozhodnutí prodej mimo dražbu v případě nemovitých věcí neumožňuje</w:t>
      </w:r>
      <w:r w:rsidRPr="007535E6">
        <w:t xml:space="preserve"> </w:t>
      </w:r>
      <w:r w:rsidRPr="0020136C">
        <w:t>vůbec</w:t>
      </w:r>
      <w:r w:rsidR="0020136C" w:rsidRPr="0020136C">
        <w:t xml:space="preserve">. </w:t>
      </w:r>
    </w:p>
    <w:p w:rsidR="007A00DE" w:rsidRDefault="000865D6" w:rsidP="00DE1FCB">
      <w:pPr>
        <w:pStyle w:val="Normln-tun"/>
      </w:pPr>
      <w:r>
        <w:t xml:space="preserve">Navrhuje se tak neukládat vyvlastniteli povinnost </w:t>
      </w:r>
      <w:r w:rsidRPr="0020136C">
        <w:t>vyvinout snahu o uzavření smlouvy o získání práv k nemovité věci</w:t>
      </w:r>
      <w:r>
        <w:t xml:space="preserve">, </w:t>
      </w:r>
      <w:r w:rsidR="00DE1FCB">
        <w:t xml:space="preserve">je-li </w:t>
      </w:r>
      <w:r w:rsidR="00DE1FCB" w:rsidRPr="00C82C4F">
        <w:t xml:space="preserve">vyvlastňovaná nemovitá věc postižena v exekučním řízení. </w:t>
      </w:r>
    </w:p>
    <w:p w:rsidR="0020136C" w:rsidRPr="00AC7471" w:rsidRDefault="000865D6" w:rsidP="00C82C4F">
      <w:pPr>
        <w:pStyle w:val="Normln-tun"/>
        <w:rPr>
          <w:u w:val="single"/>
        </w:rPr>
      </w:pPr>
      <w:bookmarkStart w:id="144" w:name="_Toc47597871"/>
      <w:bookmarkStart w:id="145" w:name="_Toc47688663"/>
      <w:bookmarkStart w:id="146" w:name="_Toc72143438"/>
      <w:r w:rsidRPr="00AC7471">
        <w:rPr>
          <w:u w:val="single"/>
        </w:rPr>
        <w:t>Výplata náhrady za vyvlastnění</w:t>
      </w:r>
      <w:bookmarkEnd w:id="144"/>
      <w:bookmarkEnd w:id="145"/>
      <w:bookmarkEnd w:id="146"/>
    </w:p>
    <w:p w:rsidR="00DE1FCB" w:rsidRDefault="000865D6" w:rsidP="00C82C4F">
      <w:pPr>
        <w:pStyle w:val="Normln-tun"/>
      </w:pPr>
      <w:r w:rsidRPr="00C82C4F">
        <w:t>Zákon v současném zně</w:t>
      </w:r>
      <w:r w:rsidRPr="00C82C4F">
        <w:t xml:space="preserve">ní počítá s tím, že náhrada se může poskytnout buď vyvlastňovanému, ve specifických případech pak může být složena do úschovy soudu. Pokud by </w:t>
      </w:r>
      <w:r>
        <w:t>však</w:t>
      </w:r>
      <w:r w:rsidRPr="00C82C4F">
        <w:t xml:space="preserve"> byl</w:t>
      </w:r>
      <w:r>
        <w:t>a</w:t>
      </w:r>
      <w:r w:rsidRPr="00C82C4F">
        <w:t xml:space="preserve"> v průběhu exekučního řízení vyplácen</w:t>
      </w:r>
      <w:r>
        <w:t>a náhrada</w:t>
      </w:r>
      <w:r w:rsidRPr="00C82C4F">
        <w:t xml:space="preserve"> přímo vyvlastňovanému, může dojít k ohrožení práv oprávněn</w:t>
      </w:r>
      <w:r w:rsidRPr="00C82C4F">
        <w:t xml:space="preserve">ého. </w:t>
      </w:r>
      <w:r w:rsidR="00417B77">
        <w:t>Vyvlastňovaný může uvést účet, který není do exekuce zahrnut či dokonce účet jiné osoby. P</w:t>
      </w:r>
      <w:r w:rsidR="00417B77" w:rsidRPr="00C82C4F">
        <w:t xml:space="preserve">řijde </w:t>
      </w:r>
      <w:r w:rsidR="00417B77">
        <w:t xml:space="preserve">pak </w:t>
      </w:r>
      <w:r w:rsidR="00417B77" w:rsidRPr="00C82C4F">
        <w:t>o vlastnické právo k postiženému majetku,</w:t>
      </w:r>
      <w:r w:rsidR="00417B77">
        <w:t xml:space="preserve"> jehož prodejem</w:t>
      </w:r>
      <w:r w:rsidR="00417B77" w:rsidRPr="00C82C4F">
        <w:t xml:space="preserve"> mohla být uspokojena pohledávka oprávněného, prostředky </w:t>
      </w:r>
      <w:r w:rsidR="00417B77">
        <w:t xml:space="preserve">se však k </w:t>
      </w:r>
      <w:r w:rsidR="00417B77" w:rsidRPr="00C82C4F">
        <w:t>oprávněné</w:t>
      </w:r>
      <w:r w:rsidR="00417B77">
        <w:t>mu</w:t>
      </w:r>
      <w:r w:rsidR="00417B77" w:rsidRPr="00C82C4F">
        <w:t xml:space="preserve"> nedostanou.</w:t>
      </w:r>
    </w:p>
    <w:p w:rsidR="005434C2" w:rsidRDefault="000865D6" w:rsidP="00C82C4F">
      <w:pPr>
        <w:pStyle w:val="Normln-tun"/>
      </w:pPr>
      <w:r>
        <w:lastRenderedPageBreak/>
        <w:t>Nově</w:t>
      </w:r>
      <w:r>
        <w:t xml:space="preserve"> by tak mělo být stanoveno, že </w:t>
      </w:r>
      <w:r w:rsidRPr="00C82C4F">
        <w:t>v případě průběhu exekučního řízení, pokud je v těchto řízeních postižena vyvlastňovaná nemovitá věc, b</w:t>
      </w:r>
      <w:r>
        <w:t>ude</w:t>
      </w:r>
      <w:r w:rsidRPr="00C82C4F">
        <w:t xml:space="preserve"> náhrada za vyvlastnění vyplácena k rukám soudního exekutora</w:t>
      </w:r>
      <w:r>
        <w:t xml:space="preserve">, </w:t>
      </w:r>
      <w:r w:rsidRPr="00C82C4F">
        <w:t xml:space="preserve">případně na účet soudu, který vede výkon rozhodnutí. </w:t>
      </w:r>
    </w:p>
    <w:p w:rsidR="000A0001" w:rsidRDefault="000865D6" w:rsidP="00C82C4F">
      <w:pPr>
        <w:pStyle w:val="Normln-tun"/>
      </w:pPr>
      <w:r>
        <w:t>Pro</w:t>
      </w:r>
      <w:r>
        <w:t>tože v</w:t>
      </w:r>
      <w:r w:rsidRPr="00C82C4F">
        <w:t xml:space="preserve"> případě dražby v rámci exekučního řízení se vyvolávací cena stanovuje jako 2/3 </w:t>
      </w:r>
      <w:r>
        <w:t xml:space="preserve">z </w:t>
      </w:r>
      <w:r w:rsidRPr="00C82C4F">
        <w:t>ceny zjištěné znaleckým posudkem</w:t>
      </w:r>
      <w:r>
        <w:t xml:space="preserve">, nemělo by mít vyplacení </w:t>
      </w:r>
      <w:r w:rsidR="00DC2FF6">
        <w:t xml:space="preserve">náhrady </w:t>
      </w:r>
      <w:r w:rsidR="00DC2FF6" w:rsidRPr="00C82C4F">
        <w:t>urč</w:t>
      </w:r>
      <w:r w:rsidR="00DC2FF6">
        <w:t>ené</w:t>
      </w:r>
      <w:r w:rsidR="00DC2FF6" w:rsidRPr="00C82C4F">
        <w:t xml:space="preserve"> </w:t>
      </w:r>
      <w:r w:rsidR="00DC2FF6">
        <w:t xml:space="preserve">dle </w:t>
      </w:r>
      <w:r w:rsidR="00DC2FF6" w:rsidRPr="00C82C4F">
        <w:t>znaleck</w:t>
      </w:r>
      <w:r w:rsidR="00DC2FF6">
        <w:t>ého</w:t>
      </w:r>
      <w:r w:rsidR="00DC2FF6" w:rsidRPr="00C82C4F">
        <w:t xml:space="preserve"> posudk</w:t>
      </w:r>
      <w:r w:rsidR="00DC2FF6">
        <w:t>u v rámci vyvlastňovacího řízení v porovnání s výsledkem dražby negativní dopad na dotčen</w:t>
      </w:r>
      <w:r>
        <w:t>é</w:t>
      </w:r>
      <w:r w:rsidR="00DC2FF6">
        <w:t xml:space="preserve"> stran</w:t>
      </w:r>
      <w:r>
        <w:t>y</w:t>
      </w:r>
      <w:r w:rsidR="00DC2FF6">
        <w:t xml:space="preserve">. </w:t>
      </w:r>
    </w:p>
    <w:p w:rsidR="005434C2" w:rsidRDefault="000865D6" w:rsidP="00C82C4F">
      <w:pPr>
        <w:pStyle w:val="Normln-tun"/>
      </w:pPr>
      <w:r w:rsidRPr="006E3DFF">
        <w:t xml:space="preserve">Zároveň tato úprava neporuší základní práva povinného, jelikož omezení dispozice s majetkem je přímo spjato s exekučním řízením a je k němu legitimní důvod. Jinými slovy, v případě, že bude náhrada vyplacena soudnímu exekutorovi, </w:t>
      </w:r>
      <w:r w:rsidRPr="006E3DFF">
        <w:t>nebude tímto krokem vyvlastňovaný dotčen více, než již byl dotčen samotným exekučním řízením.</w:t>
      </w:r>
    </w:p>
    <w:p w:rsidR="0020136C" w:rsidRPr="007A2E1C" w:rsidRDefault="000865D6" w:rsidP="00C82C4F">
      <w:pPr>
        <w:pStyle w:val="Normln-tun"/>
        <w:rPr>
          <w:u w:val="single"/>
        </w:rPr>
      </w:pPr>
      <w:bookmarkStart w:id="147" w:name="_Toc47597872"/>
      <w:bookmarkStart w:id="148" w:name="_Toc47688664"/>
      <w:bookmarkStart w:id="149" w:name="_Toc72143439"/>
      <w:r w:rsidRPr="007A2E1C">
        <w:rPr>
          <w:u w:val="single"/>
        </w:rPr>
        <w:t>Vyloučení dražebního jednání</w:t>
      </w:r>
      <w:bookmarkEnd w:id="147"/>
      <w:bookmarkEnd w:id="148"/>
      <w:bookmarkEnd w:id="149"/>
    </w:p>
    <w:p w:rsidR="0020136C" w:rsidRPr="00C82C4F" w:rsidRDefault="000865D6" w:rsidP="00C82C4F">
      <w:pPr>
        <w:pStyle w:val="Normln-tun"/>
      </w:pPr>
      <w:r>
        <w:t>Je třeba</w:t>
      </w:r>
      <w:r w:rsidRPr="00C82C4F">
        <w:t xml:space="preserve"> stanovit, že po dobu, kdy probíhá řízení o vyvlastnění, nesmí proběhnout dražba nemovité věci, která je vyvlastňována.</w:t>
      </w:r>
      <w:r w:rsidR="00D44F1E">
        <w:t xml:space="preserve"> </w:t>
      </w:r>
      <w:r w:rsidRPr="00C82C4F">
        <w:t xml:space="preserve">Dražba by fakticky byla proti smyslu a účelu vyvlastňovacího řízení. </w:t>
      </w:r>
      <w:r w:rsidR="007245C1">
        <w:t>Jednak</w:t>
      </w:r>
      <w:r w:rsidRPr="00C82C4F">
        <w:t xml:space="preserve"> by nemovitost </w:t>
      </w:r>
      <w:r w:rsidR="007245C1" w:rsidRPr="00C82C4F">
        <w:t xml:space="preserve">mohl </w:t>
      </w:r>
      <w:r w:rsidRPr="00C82C4F">
        <w:t xml:space="preserve">vydražit někdo jiný než vyvlastnitel, a s touto osobou by následně musel vydražitel opět jednat či </w:t>
      </w:r>
      <w:r w:rsidR="0053788D">
        <w:t>případně s</w:t>
      </w:r>
      <w:r w:rsidRPr="00C82C4F">
        <w:t xml:space="preserve"> ní zahájit vyvlastňovací řízení. </w:t>
      </w:r>
      <w:r w:rsidR="0053788D">
        <w:t xml:space="preserve">Jednak by mohlo dojít </w:t>
      </w:r>
      <w:r w:rsidR="0053788D" w:rsidRPr="00C82C4F">
        <w:t>v rámci dražebního jednání</w:t>
      </w:r>
      <w:r w:rsidR="0053788D">
        <w:t xml:space="preserve"> ke spekulacím</w:t>
      </w:r>
      <w:r w:rsidRPr="00C82C4F">
        <w:t>, kdy by mohla být příhozy uměle navyšována cena s</w:t>
      </w:r>
      <w:r w:rsidR="00EA6860">
        <w:t xml:space="preserve"> tou </w:t>
      </w:r>
      <w:r w:rsidRPr="00C82C4F">
        <w:t xml:space="preserve">motivací, že vyvlastnitel nemovitou věc nezbytně potřebuje a bude toto navyšování ceny </w:t>
      </w:r>
      <w:r w:rsidR="00EA6860">
        <w:t>následov</w:t>
      </w:r>
      <w:r w:rsidRPr="00C82C4F">
        <w:t xml:space="preserve">at. </w:t>
      </w:r>
    </w:p>
    <w:p w:rsidR="0020136C" w:rsidRPr="00C82C4F" w:rsidRDefault="000865D6" w:rsidP="00C82C4F">
      <w:pPr>
        <w:pStyle w:val="Normln-tun"/>
      </w:pPr>
      <w:r w:rsidRPr="00C82C4F">
        <w:t xml:space="preserve">Došlo-li však již k dražbě a k udělení příklepu, exekuce </w:t>
      </w:r>
      <w:r w:rsidRPr="00C82C4F">
        <w:t>(respektive soudní výkon rozhodnutí) se nebude přerušovat a dojde k převodu vlastnického práva na vydražitele, zaplatí-li cenu vydražené nemovité věci. Účastníkem vyvlastňovacího řízení pak bude nový vlastník vydražené (vyvlastňované) nemovité věci.</w:t>
      </w:r>
    </w:p>
    <w:p w:rsidR="0020136C" w:rsidRPr="00DB7855" w:rsidRDefault="000865D6" w:rsidP="00C82C4F">
      <w:pPr>
        <w:pStyle w:val="Normln-tun"/>
        <w:rPr>
          <w:u w:val="single"/>
        </w:rPr>
      </w:pPr>
      <w:bookmarkStart w:id="150" w:name="_Toc47597873"/>
      <w:bookmarkStart w:id="151" w:name="_Toc47688665"/>
      <w:bookmarkStart w:id="152" w:name="_Toc72143440"/>
      <w:r w:rsidRPr="00DB7855">
        <w:rPr>
          <w:u w:val="single"/>
        </w:rPr>
        <w:t>Ukonče</w:t>
      </w:r>
      <w:r w:rsidRPr="00DB7855">
        <w:rPr>
          <w:u w:val="single"/>
        </w:rPr>
        <w:t xml:space="preserve">ní exekučního řízení v návaznosti na </w:t>
      </w:r>
      <w:bookmarkEnd w:id="150"/>
      <w:bookmarkEnd w:id="151"/>
      <w:r w:rsidRPr="00DB7855">
        <w:rPr>
          <w:u w:val="single"/>
        </w:rPr>
        <w:t>skončení vyvlastňovacího řízení</w:t>
      </w:r>
      <w:bookmarkEnd w:id="152"/>
    </w:p>
    <w:p w:rsidR="0020136C" w:rsidRDefault="000865D6" w:rsidP="0020136C">
      <w:pPr>
        <w:pStyle w:val="Normln-tun"/>
      </w:pPr>
      <w:r w:rsidRPr="00DB7855">
        <w:t xml:space="preserve">Došlo-li k vyvlastnění předmětu vyvlastnění, </w:t>
      </w:r>
      <w:r w:rsidR="00C13914">
        <w:t>nemělo by být možné</w:t>
      </w:r>
      <w:r w:rsidRPr="00DB7855">
        <w:t xml:space="preserve"> v exekučním řízení pokračovat. Vyvlastněním předmětu vyvlastnění </w:t>
      </w:r>
      <w:r w:rsidR="00C13914">
        <w:t>by měly zaniknout</w:t>
      </w:r>
      <w:r w:rsidRPr="00DB7855">
        <w:t xml:space="preserve"> účinky exekučních příkazů v rozsahu týk</w:t>
      </w:r>
      <w:r w:rsidRPr="00DB7855">
        <w:t>ajícím se předmětu vyvlastnění.</w:t>
      </w:r>
    </w:p>
    <w:p w:rsidR="00311D46" w:rsidRPr="007D7DF0" w:rsidRDefault="000865D6" w:rsidP="00311D46">
      <w:pPr>
        <w:pStyle w:val="Normln-tun"/>
        <w:rPr>
          <w:b/>
          <w:bCs/>
          <w:u w:val="single"/>
        </w:rPr>
      </w:pPr>
      <w:r w:rsidRPr="007D7DF0">
        <w:rPr>
          <w:b/>
          <w:bCs/>
          <w:u w:val="single"/>
        </w:rPr>
        <w:t>Souběh vyvlastnění a veřejné dražby</w:t>
      </w:r>
    </w:p>
    <w:p w:rsidR="00311D46" w:rsidRPr="007D7DF0" w:rsidRDefault="000865D6" w:rsidP="00311D46">
      <w:pPr>
        <w:pStyle w:val="Normln-tun"/>
      </w:pPr>
      <w:r w:rsidRPr="007D7DF0">
        <w:t>U veřejných dražeb je ve vztahu k vyvlastnění nezbytné upravit zejména povinnost vyvlastnitele vyvinout snahu o uzavření smlouvy o převodu vlastnického práva k nemovité věci s vyvlastňovan</w:t>
      </w:r>
      <w:r w:rsidRPr="007D7DF0">
        <w:t>ým a rovněž stanovit, jaký bude mít dopad zahájení vyvlastňovacího řízení na průběh veřejné dražby.</w:t>
      </w:r>
    </w:p>
    <w:p w:rsidR="00311D46" w:rsidRPr="006D1DE7" w:rsidRDefault="000865D6" w:rsidP="00311D46">
      <w:pPr>
        <w:pStyle w:val="Normln-tun"/>
        <w:rPr>
          <w:u w:val="single"/>
        </w:rPr>
      </w:pPr>
      <w:bookmarkStart w:id="153" w:name="_Toc72143454"/>
      <w:r w:rsidRPr="006D1DE7">
        <w:rPr>
          <w:u w:val="single"/>
        </w:rPr>
        <w:t>Vyloučení povinnosti pokusit se o uzavření smlouvy o získání práv k nemovité věci</w:t>
      </w:r>
      <w:bookmarkEnd w:id="153"/>
    </w:p>
    <w:p w:rsidR="00311D46" w:rsidRPr="00CC160D" w:rsidRDefault="000865D6" w:rsidP="00311D46">
      <w:pPr>
        <w:pStyle w:val="Normln-tun"/>
      </w:pPr>
      <w:r>
        <w:t>V</w:t>
      </w:r>
      <w:r w:rsidRPr="00CC160D">
        <w:t xml:space="preserve"> případě dobrovolné veřejné dražby není vlastník nemovité věci ze zákona </w:t>
      </w:r>
      <w:r w:rsidRPr="00CC160D">
        <w:t xml:space="preserve">omezen v nakládání s nemovitou věcí, není </w:t>
      </w:r>
      <w:r w:rsidR="001C37CE">
        <w:t xml:space="preserve">proto </w:t>
      </w:r>
      <w:r w:rsidRPr="00CC160D">
        <w:t xml:space="preserve">nezbytné speciálně upravit podrobnosti jednání mezi vyvlastňovaným a vyvlastnitelem před zahájením vyvlastňovacího řízení. </w:t>
      </w:r>
    </w:p>
    <w:p w:rsidR="00311D46" w:rsidRPr="00CC160D" w:rsidRDefault="000865D6" w:rsidP="00311D46">
      <w:pPr>
        <w:pStyle w:val="Normln-tun"/>
      </w:pPr>
      <w:r>
        <w:t>V</w:t>
      </w:r>
      <w:r w:rsidRPr="00CC160D">
        <w:t> případě nedobrovolné veřejné dražby je vlastník nemovité věci v nakládání s ní ome</w:t>
      </w:r>
      <w:r w:rsidRPr="00CC160D">
        <w:t xml:space="preserve">zen, a to </w:t>
      </w:r>
      <w:r w:rsidR="00B47A51">
        <w:t xml:space="preserve">od </w:t>
      </w:r>
      <w:r w:rsidRPr="00CC160D">
        <w:t>okamžik</w:t>
      </w:r>
      <w:r w:rsidR="00B47A51">
        <w:t>u</w:t>
      </w:r>
      <w:r w:rsidRPr="00CC160D">
        <w:t xml:space="preserve"> doručení oznámení o dražbě. </w:t>
      </w:r>
      <w:r w:rsidR="00B47A51">
        <w:t xml:space="preserve">Toto omezení nelze vyřešit </w:t>
      </w:r>
      <w:r w:rsidRPr="00CC160D">
        <w:t xml:space="preserve">souhlasem věřitele ani jiného subjektu. Proto </w:t>
      </w:r>
      <w:r w:rsidR="00B47A51">
        <w:t xml:space="preserve">je vhodné vyloučit </w:t>
      </w:r>
      <w:r w:rsidRPr="00CC160D">
        <w:t xml:space="preserve">povinnost </w:t>
      </w:r>
      <w:r w:rsidR="00B47A51" w:rsidRPr="00CC160D">
        <w:t>vyvlastnitel</w:t>
      </w:r>
      <w:r w:rsidR="00B47A51">
        <w:t>e</w:t>
      </w:r>
      <w:r w:rsidR="00B47A51" w:rsidRPr="00CC160D">
        <w:t xml:space="preserve"> </w:t>
      </w:r>
      <w:r w:rsidRPr="00CC160D">
        <w:t xml:space="preserve">pokusit se o uzavření smlouvy s vyvlastňovaným (vlastníkem předmětu dražby), neboť dohody </w:t>
      </w:r>
      <w:r w:rsidRPr="00CC160D">
        <w:t>nelze dosáhnout.</w:t>
      </w:r>
    </w:p>
    <w:p w:rsidR="00311D46" w:rsidRPr="006D1DE7" w:rsidRDefault="000865D6" w:rsidP="00311D46">
      <w:pPr>
        <w:pStyle w:val="Normln-tun"/>
        <w:rPr>
          <w:u w:val="single"/>
        </w:rPr>
      </w:pPr>
      <w:bookmarkStart w:id="154" w:name="_Toc72143455"/>
      <w:r w:rsidRPr="006D1DE7">
        <w:rPr>
          <w:u w:val="single"/>
        </w:rPr>
        <w:t>Vyloučení dražebního jednání</w:t>
      </w:r>
      <w:bookmarkEnd w:id="154"/>
    </w:p>
    <w:p w:rsidR="00311D46" w:rsidRPr="00CC160D" w:rsidRDefault="000865D6" w:rsidP="00311D46">
      <w:pPr>
        <w:pStyle w:val="Normln-tun"/>
      </w:pPr>
      <w:r w:rsidRPr="00CC160D">
        <w:lastRenderedPageBreak/>
        <w:t xml:space="preserve">Obdobně jako u soudního výkonu rozhodnutí a exekučního řízení se navrhuje vyloučení dražebního jednání. </w:t>
      </w:r>
    </w:p>
    <w:p w:rsidR="00933F2C" w:rsidRDefault="000865D6" w:rsidP="00311D46">
      <w:pPr>
        <w:pStyle w:val="Normln-tun"/>
      </w:pPr>
      <w:r w:rsidRPr="00CC160D">
        <w:t xml:space="preserve">Současně se </w:t>
      </w:r>
    </w:p>
    <w:p w:rsidR="00933F2C" w:rsidRDefault="000865D6">
      <w:pPr>
        <w:pStyle w:val="Normln-tun"/>
        <w:numPr>
          <w:ilvl w:val="0"/>
          <w:numId w:val="85"/>
        </w:numPr>
      </w:pPr>
      <w:r w:rsidRPr="00CC160D">
        <w:t xml:space="preserve">pro případ dobrovolné </w:t>
      </w:r>
      <w:r w:rsidR="008F0043">
        <w:t>i</w:t>
      </w:r>
      <w:r w:rsidRPr="00CC160D">
        <w:t xml:space="preserve"> nedobrovolné veřejné dražby nemovité věci nezapisované do katastru n</w:t>
      </w:r>
      <w:r w:rsidRPr="00CC160D">
        <w:t>emovitostí navrhuje výslovně stanovit povinnost vyvlastňovaného informovat o zahájení vyvlastňovacího řízení dražebníka, který veřejnou dražbu provádí</w:t>
      </w:r>
      <w:r>
        <w:t>;</w:t>
      </w:r>
      <w:r w:rsidRPr="00CC160D">
        <w:t xml:space="preserve"> </w:t>
      </w:r>
    </w:p>
    <w:p w:rsidR="00933F2C" w:rsidRDefault="000865D6">
      <w:pPr>
        <w:pStyle w:val="Normln-tun"/>
        <w:numPr>
          <w:ilvl w:val="0"/>
          <w:numId w:val="85"/>
        </w:numPr>
      </w:pPr>
      <w:r>
        <w:t>p</w:t>
      </w:r>
      <w:r w:rsidR="009E5781">
        <w:t xml:space="preserve">ro případ dobrovolné </w:t>
      </w:r>
      <w:r>
        <w:t xml:space="preserve">veřejné </w:t>
      </w:r>
      <w:r w:rsidR="009E5781">
        <w:t xml:space="preserve">dražby nemovité věci zapsané </w:t>
      </w:r>
      <w:r>
        <w:t>v</w:t>
      </w:r>
      <w:r w:rsidR="009E5781">
        <w:t> katastru se navrhuje obdobné</w:t>
      </w:r>
      <w:r>
        <w:t>;</w:t>
      </w:r>
    </w:p>
    <w:p w:rsidR="00311D46" w:rsidRPr="00CC160D" w:rsidRDefault="000865D6">
      <w:pPr>
        <w:pStyle w:val="Normln-tun"/>
        <w:numPr>
          <w:ilvl w:val="0"/>
          <w:numId w:val="85"/>
        </w:numPr>
      </w:pPr>
      <w:r>
        <w:t>p</w:t>
      </w:r>
      <w:r w:rsidRPr="00CC160D">
        <w:t>ro případ n</w:t>
      </w:r>
      <w:r w:rsidRPr="00CC160D">
        <w:t>edobrovolné veřejné dražby nemovité věci zapsané v katastru nemovitostí nebude tuto povinnost nezbytné stanovit, neboť informace o probíhající veřejné dražbě bude zapsána v katastru nemovitostí</w:t>
      </w:r>
      <w:r>
        <w:t>; v</w:t>
      </w:r>
      <w:r w:rsidRPr="00CC160D">
        <w:t>yvlastňovací úřad tak zašle oznámení o zahájení vyvlastňovac</w:t>
      </w:r>
      <w:r w:rsidRPr="00CC160D">
        <w:t>ího řízení přímo dražebníkovi.</w:t>
      </w:r>
    </w:p>
    <w:p w:rsidR="00311D46" w:rsidRPr="00CC160D" w:rsidRDefault="000865D6" w:rsidP="00311D46">
      <w:pPr>
        <w:pStyle w:val="Normln-tun"/>
      </w:pPr>
      <w:r w:rsidRPr="00CC160D">
        <w:t>Dražebník na základě oznámení o zahájení vyvlastňovacího řízení nebude smět vydat dražební vyhlášku, a pokud byla vydána, nebude smět veřejnou dražbu provést. Bude mít však povinnost oznámení o zahájení vyvlastňovacího řízení</w:t>
      </w:r>
      <w:r w:rsidRPr="00CC160D">
        <w:t xml:space="preserve"> zveřejnit způsobem dostupným veřejnosti.</w:t>
      </w:r>
    </w:p>
    <w:p w:rsidR="00311D46" w:rsidRPr="00CC160D" w:rsidRDefault="000865D6" w:rsidP="00311D46">
      <w:pPr>
        <w:pStyle w:val="Normln-tun"/>
      </w:pPr>
      <w:r w:rsidRPr="00CC160D">
        <w:t>Došlo-li však před zahájením vyvlastňovacího řízení k uskutečnění dražby a udělení příklepu, nebude mít zahájení vyvlastňovacího řízení vliv na převod vlastnického práva na vydražitele. Vydražitel se totiž udělením</w:t>
      </w:r>
      <w:r w:rsidRPr="00CC160D">
        <w:t xml:space="preserve"> příklepu stává vlastníkem, zaplatí-li cenu, za niž nemovitou věc vydražil. Vyvlastnitel tedy bude muset pokračovat ve vyvlastňovací řízení znovu s novým vlastníkem. Přestože tím může dojít k průtahům ve vyvlastňovacím procesu, jiná varianta se nejeví jako</w:t>
      </w:r>
      <w:r w:rsidRPr="00CC160D">
        <w:t xml:space="preserve"> přípustná. Je třeba rovněž zdůraznit, že pravděpodobnost, že by bylo vyvlastňovací řízení zahájeno v době od udělení příklepu do zaplacení ceny vydražené nemovité věci, je </w:t>
      </w:r>
      <w:r w:rsidR="006F4308">
        <w:t>velmi</w:t>
      </w:r>
      <w:r w:rsidRPr="00CC160D">
        <w:t xml:space="preserve"> malá, proto se v praktické rovině nepředpokládají podstatnější dopady na délk</w:t>
      </w:r>
      <w:r w:rsidRPr="00CC160D">
        <w:t>u vyvlastňovacího procesu.</w:t>
      </w:r>
    </w:p>
    <w:p w:rsidR="006F4308" w:rsidRDefault="000865D6" w:rsidP="00311D46">
      <w:pPr>
        <w:pStyle w:val="Normln-tun"/>
        <w:rPr>
          <w:highlight w:val="yellow"/>
        </w:rPr>
      </w:pPr>
      <w:r w:rsidRPr="006F4308">
        <w:t>Do</w:t>
      </w:r>
      <w:r>
        <w:t>jde</w:t>
      </w:r>
      <w:r w:rsidRPr="006F4308">
        <w:t>-li k vyvlastnění předmětu vyvlastnění, ne</w:t>
      </w:r>
      <w:r>
        <w:t>bude možné</w:t>
      </w:r>
      <w:r w:rsidRPr="006F4308">
        <w:t xml:space="preserve"> ve veřejné dražbě pokračovat</w:t>
      </w:r>
      <w:r w:rsidR="00AE5941">
        <w:t>.</w:t>
      </w:r>
      <w:r w:rsidRPr="006F4308">
        <w:rPr>
          <w:highlight w:val="yellow"/>
        </w:rPr>
        <w:t xml:space="preserve"> </w:t>
      </w:r>
    </w:p>
    <w:p w:rsidR="000565FA" w:rsidRPr="007D7DF0" w:rsidRDefault="000865D6" w:rsidP="000565FA">
      <w:pPr>
        <w:pStyle w:val="Normln-tun"/>
        <w:rPr>
          <w:b/>
          <w:bCs/>
          <w:u w:val="single"/>
        </w:rPr>
      </w:pPr>
      <w:r w:rsidRPr="007D7DF0">
        <w:rPr>
          <w:b/>
          <w:bCs/>
          <w:u w:val="single"/>
        </w:rPr>
        <w:t>Souběh vyvlastnění a insolvenčního řízení</w:t>
      </w:r>
    </w:p>
    <w:p w:rsidR="000565FA" w:rsidRPr="007D7DF0" w:rsidRDefault="000865D6" w:rsidP="000565FA">
      <w:pPr>
        <w:pStyle w:val="Normln-tun"/>
      </w:pPr>
      <w:r w:rsidRPr="007D7DF0">
        <w:t xml:space="preserve">V rámci rekodifikace je vhodné rovněž upravit otázku souběhu vyvlastnění a insolvenčního řízení. </w:t>
      </w:r>
      <w:r w:rsidRPr="007D7DF0">
        <w:t>Oproti souběhu vyvlastnění a exekučního řízení (respektive soudního výkonu rozhodnutí a daňové exekuce a správní exekuce), je nezbytné odlišně upravit zejména povinnost vyvlastnitele vyvinout snahu o uzavření smlouvy s vyvlastňovaným, ale i některé další o</w:t>
      </w:r>
      <w:r w:rsidRPr="007D7DF0">
        <w:t>tázky specifické pro insolvenční řízení.</w:t>
      </w:r>
    </w:p>
    <w:p w:rsidR="005708AB" w:rsidRPr="00502E74" w:rsidRDefault="000865D6" w:rsidP="005708AB">
      <w:pPr>
        <w:pStyle w:val="Normln-tun"/>
        <w:rPr>
          <w:u w:val="single"/>
        </w:rPr>
      </w:pPr>
      <w:bookmarkStart w:id="155" w:name="_Toc72143443"/>
      <w:r w:rsidRPr="00502E74">
        <w:rPr>
          <w:u w:val="single"/>
        </w:rPr>
        <w:t>Vyloučení povinnosti pokusit se o uzavření smlouvy o získání práv k nemovité věci</w:t>
      </w:r>
      <w:bookmarkEnd w:id="155"/>
    </w:p>
    <w:p w:rsidR="007510FB" w:rsidRDefault="000865D6" w:rsidP="005708AB">
      <w:pPr>
        <w:pStyle w:val="Normln-tun"/>
      </w:pPr>
      <w:r w:rsidRPr="005708AB">
        <w:t xml:space="preserve">Od zahájení insolvenčního řízení do rozhodnutí o úpadku nemůže dlužník nakládat s majetkovou podstatou </w:t>
      </w:r>
      <w:r w:rsidR="00642982">
        <w:t>(</w:t>
      </w:r>
      <w:r w:rsidRPr="005708AB">
        <w:t xml:space="preserve">přestože je osobou </w:t>
      </w:r>
      <w:r w:rsidRPr="005708AB">
        <w:t>s dispozičními oprávněními</w:t>
      </w:r>
      <w:r>
        <w:rPr>
          <w:rStyle w:val="Znakapoznpodarou"/>
        </w:rPr>
        <w:footnoteReference w:id="41"/>
      </w:r>
      <w:r w:rsidR="00642982">
        <w:t>)</w:t>
      </w:r>
      <w:r w:rsidRPr="005708AB">
        <w:t xml:space="preserve">, pokud by </w:t>
      </w:r>
      <w:r w:rsidRPr="005708AB">
        <w:lastRenderedPageBreak/>
        <w:t xml:space="preserve">mělo jít o podstatné změny ve skladbě, využití nebo určení tohoto majetku anebo o jeho nikoli zanedbatelné zmenšení. </w:t>
      </w:r>
    </w:p>
    <w:p w:rsidR="007510FB" w:rsidRPr="007D7DF0" w:rsidRDefault="000865D6" w:rsidP="007510FB">
      <w:pPr>
        <w:pStyle w:val="Normln-tun"/>
        <w:rPr>
          <w:i/>
          <w:iCs/>
        </w:rPr>
      </w:pPr>
      <w:r w:rsidRPr="007D7DF0">
        <w:rPr>
          <w:i/>
          <w:iCs/>
        </w:rPr>
        <w:t xml:space="preserve">Nerozhodne-li insolvenční soud jinak, je dlužník povinen zdržet se od okamžiku, kdy nastaly účinky </w:t>
      </w:r>
      <w:r w:rsidRPr="007D7DF0">
        <w:rPr>
          <w:i/>
          <w:iCs/>
        </w:rPr>
        <w:t>spojené se zahájením insolvenčního řízení, nakládání s majetkovou podstatou a s majetkem, který do ní může náležet, pokud by mělo jít o podstatné změny ve skladbě, využití nebo určení tohoto majetku anebo o jeho nikoli zanedbatelné zmenšení. Peněžité závaz</w:t>
      </w:r>
      <w:r w:rsidRPr="007D7DF0">
        <w:rPr>
          <w:i/>
          <w:iCs/>
        </w:rPr>
        <w:t>ky vzniklé před zahájením insolvenčního řízení je dlužník oprávněn plnit jen v rozsahu a za podmínek stanovených tímto zákonem.</w:t>
      </w:r>
    </w:p>
    <w:p w:rsidR="007510FB" w:rsidRPr="007D7DF0" w:rsidRDefault="000865D6" w:rsidP="007510FB">
      <w:pPr>
        <w:pStyle w:val="Normln-tun"/>
        <w:rPr>
          <w:i/>
          <w:iCs/>
        </w:rPr>
      </w:pPr>
      <w:r w:rsidRPr="007D7DF0">
        <w:rPr>
          <w:i/>
          <w:iCs/>
        </w:rPr>
        <w:t>Omezení podle odstavce 1 se netýká úkonů nutných ke splnění povinností stanovených zvláštními právními předpisy, k provozování p</w:t>
      </w:r>
      <w:r w:rsidRPr="007D7DF0">
        <w:rPr>
          <w:i/>
          <w:iCs/>
        </w:rPr>
        <w:t>odniku v rámci obvyklého hospodaření, k odvrácení hrozící škody, k plnění zákonné vyživovací povinnosti a ke splnění procesních sankcí. Dále se omezení podle odstavce 1 nevztahuje na uspokojování pohledávek za majetkovou podstatou a pohledávek jim postaven</w:t>
      </w:r>
      <w:r w:rsidRPr="007D7DF0">
        <w:rPr>
          <w:i/>
          <w:iCs/>
        </w:rPr>
        <w:t>ých na roveň; tyto pohledávky se uspokojují v termínech splatnosti, je-li to podle stavu majetkové podstaty možné.</w:t>
      </w:r>
    </w:p>
    <w:p w:rsidR="007510FB" w:rsidRPr="007510FB" w:rsidRDefault="000865D6" w:rsidP="007510FB">
      <w:pPr>
        <w:pStyle w:val="Normln-tun"/>
        <w:rPr>
          <w:i/>
          <w:iCs/>
        </w:rPr>
      </w:pPr>
      <w:r w:rsidRPr="007D7DF0">
        <w:rPr>
          <w:i/>
          <w:iCs/>
        </w:rPr>
        <w:t>Právní úkony, které dlužník učinil v rozporu s omezeními stanovenými v důsledku účinků spojených se zahájením insolvenčního řízení, jsou vůči</w:t>
      </w:r>
      <w:r w:rsidRPr="007D7DF0">
        <w:rPr>
          <w:i/>
          <w:iCs/>
        </w:rPr>
        <w:t xml:space="preserve"> věřitelům neúčinné, ledaže si k nim dlužník nebo jeho věřitel předem vyžádal souhlas insolvenčního soudu.</w:t>
      </w:r>
    </w:p>
    <w:p w:rsidR="005708AB" w:rsidRPr="005708AB" w:rsidRDefault="000865D6" w:rsidP="005708AB">
      <w:pPr>
        <w:pStyle w:val="Normln-tun"/>
      </w:pPr>
      <w:r w:rsidRPr="005708AB">
        <w:t>Dlužník, který je zároveň vyvlastňovaný, tedy nemůže uzavřít s vyvlastnitelem smlouvu o převodu vlastnického práva k nemovité věci, která spadá do ma</w:t>
      </w:r>
      <w:r w:rsidRPr="005708AB">
        <w:t xml:space="preserve">jetkové podstaty. Je však oprávněn požádat insolvenční soud o udělení souhlasu. Udělí-li insolvenční soud v této fázi insolvenčního řízení souhlas, není probíhající insolvenční řízení překážkou pro uzavření smlouvy mezi vyvlastňovaným a vyvlastnitelem. </w:t>
      </w:r>
      <w:r w:rsidR="00862546">
        <w:t>P</w:t>
      </w:r>
      <w:r w:rsidRPr="005708AB">
        <w:t>ov</w:t>
      </w:r>
      <w:r w:rsidRPr="005708AB">
        <w:t xml:space="preserve">innost vyvlastnitele pokusit se o uzavření smlouvy v této fázi insolvenčního řízení </w:t>
      </w:r>
      <w:r w:rsidR="00862546">
        <w:t>tak může být ponechá</w:t>
      </w:r>
      <w:r w:rsidRPr="005708AB">
        <w:t>na. Dlužník je sice omezen v nakládání s </w:t>
      </w:r>
      <w:r w:rsidRPr="007D7DF0">
        <w:t xml:space="preserve">vyvlastňovanou nemovitou věcí zákonem, nicméně uvedené omezení lze oproti exekučnímu řízení </w:t>
      </w:r>
      <w:r w:rsidR="00862546" w:rsidRPr="007D7DF0">
        <w:t>vyřeš</w:t>
      </w:r>
      <w:r w:rsidRPr="007D7DF0">
        <w:t>it.</w:t>
      </w:r>
      <w:r w:rsidRPr="005708AB">
        <w:t xml:space="preserve"> </w:t>
      </w:r>
    </w:p>
    <w:p w:rsidR="005708AB" w:rsidRPr="005708AB" w:rsidRDefault="000865D6" w:rsidP="005708AB">
      <w:pPr>
        <w:pStyle w:val="Normln-tun"/>
      </w:pPr>
      <w:r w:rsidRPr="005708AB">
        <w:t xml:space="preserve">Pro dobu </w:t>
      </w:r>
      <w:r w:rsidRPr="005708AB">
        <w:t xml:space="preserve">od rozhodnutí o úpadku do rozhodnutí o způsobu řešení úpadku platí obdobně závěry uvedené v předchozím odstavci, neboť osobou s dispozičními oprávněními je stále zpravidla dlužník. I </w:t>
      </w:r>
      <w:r w:rsidR="004C7011">
        <w:t>v</w:t>
      </w:r>
      <w:r w:rsidRPr="005708AB">
        <w:t xml:space="preserve"> t</w:t>
      </w:r>
      <w:r w:rsidR="004C7011">
        <w:t>é</w:t>
      </w:r>
      <w:r w:rsidRPr="005708AB">
        <w:t xml:space="preserve">to fázi </w:t>
      </w:r>
      <w:r w:rsidR="004C7011" w:rsidRPr="004C7011">
        <w:t xml:space="preserve">může být </w:t>
      </w:r>
      <w:r w:rsidRPr="005708AB">
        <w:t>povinnost vyvlastnitele pokusit se o uzavření smlouv</w:t>
      </w:r>
      <w:r w:rsidRPr="005708AB">
        <w:t xml:space="preserve">y </w:t>
      </w:r>
      <w:r w:rsidR="004C7011" w:rsidRPr="004C7011">
        <w:t>ponechána</w:t>
      </w:r>
      <w:r w:rsidRPr="005708AB">
        <w:t xml:space="preserve">. </w:t>
      </w:r>
    </w:p>
    <w:p w:rsidR="00A81696" w:rsidRDefault="000865D6" w:rsidP="005708AB">
      <w:pPr>
        <w:pStyle w:val="Normln-tun"/>
      </w:pPr>
      <w:r w:rsidRPr="005708AB">
        <w:t xml:space="preserve">Je-li způsobem řešení úpadku konkurz, osobou s dispozičním oprávněním k majetkové podstatě je insolvenční správce. Vyvlastnitel </w:t>
      </w:r>
      <w:r w:rsidR="00447231">
        <w:t>tak</w:t>
      </w:r>
      <w:r w:rsidRPr="005708AB">
        <w:t xml:space="preserve"> </w:t>
      </w:r>
      <w:r w:rsidR="002D4119">
        <w:t>musí</w:t>
      </w:r>
      <w:r w:rsidRPr="005708AB">
        <w:t xml:space="preserve"> jednat s insolvenčním správcem. </w:t>
      </w:r>
      <w:r w:rsidR="00447231">
        <w:t>I v</w:t>
      </w:r>
      <w:r w:rsidRPr="005708AB">
        <w:t> rámci konkurzu majetkov</w:t>
      </w:r>
      <w:r w:rsidR="002D4119">
        <w:t>ou</w:t>
      </w:r>
      <w:r w:rsidRPr="005708AB">
        <w:t xml:space="preserve"> podstat</w:t>
      </w:r>
      <w:r w:rsidR="002D4119">
        <w:t>u</w:t>
      </w:r>
      <w:r w:rsidRPr="005708AB">
        <w:t xml:space="preserve"> </w:t>
      </w:r>
      <w:r w:rsidR="002D4119" w:rsidRPr="005708AB">
        <w:t>zpeněž</w:t>
      </w:r>
      <w:r w:rsidR="002D4119">
        <w:t>it</w:t>
      </w:r>
      <w:r w:rsidR="002D4119" w:rsidRPr="005708AB">
        <w:t xml:space="preserve"> </w:t>
      </w:r>
      <w:r w:rsidRPr="005708AB">
        <w:t>prodejem mimo dražbu</w:t>
      </w:r>
      <w:r w:rsidR="00EB3CD0" w:rsidRPr="00EB3CD0">
        <w:t xml:space="preserve"> </w:t>
      </w:r>
      <w:r w:rsidR="00EB3CD0">
        <w:t>lze</w:t>
      </w:r>
      <w:r w:rsidRPr="005708AB">
        <w:t>,</w:t>
      </w:r>
      <w:r w:rsidRPr="005708AB">
        <w:t xml:space="preserve"> </w:t>
      </w:r>
      <w:r w:rsidR="002D4119">
        <w:t>tj.</w:t>
      </w:r>
      <w:r w:rsidRPr="005708AB">
        <w:t xml:space="preserve"> </w:t>
      </w:r>
      <w:r w:rsidR="00EB3CD0">
        <w:t xml:space="preserve">je možné </w:t>
      </w:r>
      <w:r w:rsidRPr="005708AB">
        <w:t>i uzavř</w:t>
      </w:r>
      <w:r w:rsidR="00EB3CD0">
        <w:t>ít</w:t>
      </w:r>
      <w:r w:rsidRPr="005708AB">
        <w:t xml:space="preserve"> smlouv</w:t>
      </w:r>
      <w:r w:rsidR="00EB3CD0">
        <w:t>u</w:t>
      </w:r>
      <w:r w:rsidRPr="005708AB">
        <w:t xml:space="preserve"> s</w:t>
      </w:r>
      <w:r w:rsidR="00D61D3C">
        <w:t> </w:t>
      </w:r>
      <w:r w:rsidRPr="005708AB">
        <w:t>vyvlastnitelem</w:t>
      </w:r>
      <w:r w:rsidR="00D61D3C">
        <w:t>.</w:t>
      </w:r>
      <w:r w:rsidRPr="005708AB">
        <w:t xml:space="preserve"> </w:t>
      </w:r>
      <w:r w:rsidR="00D61D3C">
        <w:t>Je k tomu třeba</w:t>
      </w:r>
      <w:r w:rsidRPr="005708AB">
        <w:t xml:space="preserve"> </w:t>
      </w:r>
      <w:r w:rsidR="00D61D3C">
        <w:t>získat</w:t>
      </w:r>
      <w:r w:rsidRPr="005708AB">
        <w:t xml:space="preserve"> souhlas insolvenčního soudu</w:t>
      </w:r>
      <w:r w:rsidR="00447231">
        <w:t xml:space="preserve"> a</w:t>
      </w:r>
      <w:r w:rsidRPr="005708AB">
        <w:t xml:space="preserve"> věřitelského výboru. </w:t>
      </w:r>
      <w:r w:rsidR="00857F2D">
        <w:t>Lze</w:t>
      </w:r>
      <w:r w:rsidRPr="005708AB">
        <w:t xml:space="preserve"> předpokládat, že </w:t>
      </w:r>
      <w:r w:rsidR="00857F2D">
        <w:t xml:space="preserve">jak </w:t>
      </w:r>
      <w:r w:rsidRPr="005708AB">
        <w:t>insolvenční soud</w:t>
      </w:r>
      <w:r w:rsidR="00857F2D">
        <w:t>, tak</w:t>
      </w:r>
      <w:r w:rsidRPr="005708AB">
        <w:t xml:space="preserve"> věřitelský výbor budou </w:t>
      </w:r>
      <w:r>
        <w:t>cht</w:t>
      </w:r>
      <w:r w:rsidRPr="005708AB">
        <w:t>ít souhlas</w:t>
      </w:r>
      <w:r>
        <w:t xml:space="preserve"> udělit</w:t>
      </w:r>
      <w:r w:rsidRPr="005708AB">
        <w:t xml:space="preserve">, neboť kupní cena </w:t>
      </w:r>
      <w:r>
        <w:t xml:space="preserve">ve smlouvě bude minimálně </w:t>
      </w:r>
      <w:r w:rsidRPr="005708AB">
        <w:t xml:space="preserve">ve výši ceny obvyklé. </w:t>
      </w:r>
      <w:r w:rsidRPr="00A81696">
        <w:t xml:space="preserve">Povinnost vyvlastnitele pokusit se o uzavření smlouvy v této fázi insolvenčního řízení tak může být </w:t>
      </w:r>
      <w:r>
        <w:t xml:space="preserve">opět </w:t>
      </w:r>
      <w:r w:rsidRPr="00A81696">
        <w:t xml:space="preserve">ponechána. </w:t>
      </w:r>
    </w:p>
    <w:p w:rsidR="005708AB" w:rsidRPr="005708AB" w:rsidRDefault="000865D6" w:rsidP="005708AB">
      <w:pPr>
        <w:pStyle w:val="Normln-tun"/>
      </w:pPr>
      <w:bookmarkStart w:id="156" w:name="_Hlk66896753"/>
      <w:r w:rsidRPr="005708AB">
        <w:t>Je-li způsobem řešení úpadku reorganizace, osobou s dispozičním oprávněním k majetkové pods</w:t>
      </w:r>
      <w:r w:rsidRPr="005708AB">
        <w:t xml:space="preserve">tatě je dlužník. </w:t>
      </w:r>
      <w:r w:rsidR="008541BB">
        <w:t>Jeho o</w:t>
      </w:r>
      <w:r w:rsidRPr="005708AB">
        <w:t xml:space="preserve">mezení </w:t>
      </w:r>
      <w:r w:rsidR="008541BB">
        <w:t xml:space="preserve">v </w:t>
      </w:r>
      <w:r w:rsidR="008541BB" w:rsidRPr="005708AB">
        <w:t xml:space="preserve">nakládání s nemovitou věcí v majetkové podstatě </w:t>
      </w:r>
      <w:r w:rsidRPr="005708AB">
        <w:t xml:space="preserve">může být </w:t>
      </w:r>
      <w:r w:rsidR="008541BB">
        <w:t>opět vyřešeno získáním</w:t>
      </w:r>
      <w:r w:rsidRPr="005708AB">
        <w:t xml:space="preserve"> souhlasem věřitelského výboru. Navrhuje se proto, aby povinnost vyvlastnitele pokusit se o uzavření smlouvy byla stanovena. </w:t>
      </w:r>
    </w:p>
    <w:bookmarkEnd w:id="156"/>
    <w:p w:rsidR="005708AB" w:rsidRPr="005708AB" w:rsidRDefault="000865D6" w:rsidP="005708AB">
      <w:pPr>
        <w:pStyle w:val="Normln-tun"/>
      </w:pPr>
      <w:r>
        <w:t>Pokud</w:t>
      </w:r>
      <w:r w:rsidRPr="005708AB">
        <w:t xml:space="preserve"> insolvenční s</w:t>
      </w:r>
      <w:r w:rsidRPr="005708AB">
        <w:t xml:space="preserve">oud </w:t>
      </w:r>
      <w:r w:rsidRPr="007914AF">
        <w:t>nebo jiný orgán k tomu příslušný souhlas s uzavřením dohody o získání práv</w:t>
      </w:r>
      <w:r w:rsidR="004870DB" w:rsidRPr="004870DB">
        <w:t xml:space="preserve"> k nemovité věci</w:t>
      </w:r>
      <w:r w:rsidR="004870DB">
        <w:t xml:space="preserve"> </w:t>
      </w:r>
      <w:r w:rsidRPr="005708AB">
        <w:t>neuděl</w:t>
      </w:r>
      <w:r w:rsidR="004870DB">
        <w:t>í</w:t>
      </w:r>
      <w:r w:rsidRPr="005708AB">
        <w:t xml:space="preserve">, </w:t>
      </w:r>
      <w:r w:rsidR="004870DB">
        <w:t xml:space="preserve">bude to </w:t>
      </w:r>
      <w:r w:rsidRPr="005708AB">
        <w:t>opravňova</w:t>
      </w:r>
      <w:r w:rsidR="004870DB">
        <w:t>t</w:t>
      </w:r>
      <w:r w:rsidRPr="005708AB">
        <w:t xml:space="preserve"> vyvlastnitele k zahájení vyvlastňovací řízení bez nutnosti vyvíjet další snahu o uzavření smlouvy.</w:t>
      </w:r>
    </w:p>
    <w:p w:rsidR="005708AB" w:rsidRPr="00A32AF9" w:rsidRDefault="000865D6" w:rsidP="005708AB">
      <w:pPr>
        <w:pStyle w:val="Normln-tun"/>
        <w:rPr>
          <w:u w:val="single"/>
        </w:rPr>
      </w:pPr>
      <w:bookmarkStart w:id="157" w:name="_Toc72143444"/>
      <w:r w:rsidRPr="00A32AF9">
        <w:rPr>
          <w:u w:val="single"/>
        </w:rPr>
        <w:t>Výplata náhrady za vyvlastnění</w:t>
      </w:r>
      <w:bookmarkEnd w:id="157"/>
    </w:p>
    <w:p w:rsidR="005708AB" w:rsidRPr="005708AB" w:rsidRDefault="000865D6" w:rsidP="005708AB">
      <w:pPr>
        <w:pStyle w:val="Normln-tun"/>
      </w:pPr>
      <w:r w:rsidRPr="005708AB">
        <w:lastRenderedPageBreak/>
        <w:t>Obd</w:t>
      </w:r>
      <w:r w:rsidRPr="005708AB">
        <w:t xml:space="preserve">obně jako v případě souběhu vyvlastnění a exekuce (popřípadě soudního výkonu rozhodnutí) nebude náhrada za vyvlastnění vyplácena dlužníkovi, ale insolvenčnímu správci, který s náhradou naloží podle ustanovení insolvenčního zákona. </w:t>
      </w:r>
    </w:p>
    <w:p w:rsidR="005708AB" w:rsidRPr="00A32AF9" w:rsidRDefault="000865D6" w:rsidP="005708AB">
      <w:pPr>
        <w:pStyle w:val="Normln-tun"/>
        <w:rPr>
          <w:u w:val="single"/>
        </w:rPr>
      </w:pPr>
      <w:bookmarkStart w:id="158" w:name="_Toc72143445"/>
      <w:r w:rsidRPr="00A32AF9">
        <w:rPr>
          <w:u w:val="single"/>
        </w:rPr>
        <w:t>Pokyn zajištěného věřite</w:t>
      </w:r>
      <w:r w:rsidRPr="00A32AF9">
        <w:rPr>
          <w:u w:val="single"/>
        </w:rPr>
        <w:t>le ke zpeněžení</w:t>
      </w:r>
      <w:bookmarkEnd w:id="158"/>
    </w:p>
    <w:p w:rsidR="005708AB" w:rsidRPr="005708AB" w:rsidRDefault="000865D6" w:rsidP="005708AB">
      <w:pPr>
        <w:pStyle w:val="Normln-tun"/>
      </w:pPr>
      <w:r w:rsidRPr="005708AB">
        <w:t xml:space="preserve">Pro souběh vyvlastnění a insolvenčního řízení má relevanci právo zajištěného věřitele udělovat insolvenčnímu správci pokyny směřující ke </w:t>
      </w:r>
      <w:r w:rsidR="00784A56" w:rsidRPr="005708AB">
        <w:t>zpeněžování zajištěné věci</w:t>
      </w:r>
      <w:r w:rsidRPr="005708AB">
        <w:t xml:space="preserve">, kterými je insolvenční </w:t>
      </w:r>
      <w:r w:rsidRPr="004A2401">
        <w:t xml:space="preserve">správce vázán. </w:t>
      </w:r>
      <w:r w:rsidR="00673B5B" w:rsidRPr="004A2401">
        <w:t>Je třeba upravit, že p</w:t>
      </w:r>
      <w:r w:rsidRPr="004A2401">
        <w:t>rávo udělovat i</w:t>
      </w:r>
      <w:r w:rsidRPr="004A2401">
        <w:t xml:space="preserve">nsolvenčnímu správci pokyny </w:t>
      </w:r>
      <w:r w:rsidR="00673B5B" w:rsidRPr="004A2401">
        <w:t>nelze</w:t>
      </w:r>
      <w:r w:rsidRPr="004A2401">
        <w:t xml:space="preserve"> v případě souběhu vyvlastňovacího řízení a insolvenčního řízení uplat</w:t>
      </w:r>
      <w:r w:rsidR="00673B5B" w:rsidRPr="004A2401">
        <w:t>ni</w:t>
      </w:r>
      <w:r w:rsidR="00A734A3" w:rsidRPr="004A2401">
        <w:t>t</w:t>
      </w:r>
      <w:r w:rsidRPr="004A2401">
        <w:t xml:space="preserve">. </w:t>
      </w:r>
      <w:r w:rsidR="00673B5B" w:rsidRPr="004A2401">
        <w:t>Je však možné, aby z</w:t>
      </w:r>
      <w:r w:rsidRPr="004A2401">
        <w:t>ajištěný věřitel zasahova</w:t>
      </w:r>
      <w:r w:rsidR="00673B5B" w:rsidRPr="004A2401">
        <w:t>l</w:t>
      </w:r>
      <w:r w:rsidRPr="004A2401">
        <w:t xml:space="preserve"> do jednání mezi vyvlastnitelem před zahájením vyvlastňovacího řízení</w:t>
      </w:r>
      <w:r w:rsidR="00A734A3" w:rsidRPr="004A2401">
        <w:t>, protože právo udělovat pokyny se navrhuje vyloučit pouze pro samotné vyvlastňovací řízení</w:t>
      </w:r>
      <w:r w:rsidRPr="004A2401">
        <w:t>.</w:t>
      </w:r>
    </w:p>
    <w:p w:rsidR="005708AB" w:rsidRPr="00507B5A" w:rsidRDefault="000865D6" w:rsidP="005708AB">
      <w:pPr>
        <w:pStyle w:val="Normln-tun"/>
        <w:rPr>
          <w:u w:val="single"/>
        </w:rPr>
      </w:pPr>
      <w:bookmarkStart w:id="159" w:name="_Toc72143446"/>
      <w:r w:rsidRPr="00507B5A">
        <w:rPr>
          <w:u w:val="single"/>
        </w:rPr>
        <w:t>Přerušení insolvenčního řízení</w:t>
      </w:r>
      <w:bookmarkEnd w:id="159"/>
    </w:p>
    <w:p w:rsidR="005708AB" w:rsidRPr="005708AB" w:rsidRDefault="000865D6" w:rsidP="005708AB">
      <w:pPr>
        <w:pStyle w:val="Normln-tun"/>
      </w:pPr>
      <w:r w:rsidRPr="005708AB">
        <w:t xml:space="preserve">Dojde-li k zahájení vyvlastňovacího řízení v průběhu insolvenčního řízení, </w:t>
      </w:r>
      <w:r w:rsidR="00B20056">
        <w:t>j</w:t>
      </w:r>
      <w:r w:rsidRPr="005708AB">
        <w:t xml:space="preserve">e </w:t>
      </w:r>
      <w:r w:rsidR="00B20056">
        <w:t xml:space="preserve">pro tento případ </w:t>
      </w:r>
      <w:r w:rsidRPr="005708AB">
        <w:t>nezbytné vylouč</w:t>
      </w:r>
      <w:r w:rsidR="00B20056">
        <w:t>it</w:t>
      </w:r>
      <w:r w:rsidRPr="005708AB">
        <w:t xml:space="preserve"> jakékoli zpeněžení vyvlastňované nemovité věci jina</w:t>
      </w:r>
      <w:r w:rsidRPr="005708AB">
        <w:t xml:space="preserve">k než v rámci vyvlastňovacího řízení. </w:t>
      </w:r>
      <w:r w:rsidR="00673B5B">
        <w:t>Pokud by bylo</w:t>
      </w:r>
      <w:r w:rsidRPr="005708AB">
        <w:t xml:space="preserve"> zpeněžení mimo vyvlastňovací řízení umožněno, mohlo by docházet k maření nebo prodlužování vyvlastňovacího řízení.</w:t>
      </w:r>
    </w:p>
    <w:p w:rsidR="000565FA" w:rsidRPr="004A2401" w:rsidRDefault="000865D6" w:rsidP="000565FA">
      <w:pPr>
        <w:pStyle w:val="Normln-tun"/>
        <w:rPr>
          <w:b/>
          <w:bCs/>
          <w:u w:val="single"/>
        </w:rPr>
      </w:pPr>
      <w:r w:rsidRPr="004A2401">
        <w:rPr>
          <w:b/>
          <w:bCs/>
          <w:u w:val="single"/>
        </w:rPr>
        <w:t>Souběh vyvlastnění a trestního řízení</w:t>
      </w:r>
    </w:p>
    <w:p w:rsidR="000565FA" w:rsidRPr="004A2401" w:rsidRDefault="000865D6" w:rsidP="000565FA">
      <w:pPr>
        <w:pStyle w:val="Normln-tun"/>
      </w:pPr>
      <w:r w:rsidRPr="004A2401">
        <w:t>Ke kolizi mezi vyvlastňovacím řízením a trestním ří</w:t>
      </w:r>
      <w:r w:rsidRPr="004A2401">
        <w:t>zením může docházet, pokud je vyvlastňovaná nemovitost zajištěna pro účely (i) zajištění nároku poškozeného, (ii) zajištění věcí důležitých pro trestní řízení nebo (iii) zajištění výkonu peněžitého trestu a trestu propadnutí majetku. Všechny tři účely zaji</w:t>
      </w:r>
      <w:r w:rsidRPr="004A2401">
        <w:t xml:space="preserve">štění mají však pro úpravu vyvlastnění obdobné důsledky, proto </w:t>
      </w:r>
      <w:r w:rsidR="004C1B29" w:rsidRPr="004A2401">
        <w:t>budou řešeny společně.</w:t>
      </w:r>
    </w:p>
    <w:p w:rsidR="004C1B29" w:rsidRPr="004C1B29" w:rsidRDefault="000865D6" w:rsidP="004C1B29">
      <w:pPr>
        <w:pStyle w:val="Normln-tun"/>
        <w:rPr>
          <w:u w:val="single"/>
        </w:rPr>
      </w:pPr>
      <w:bookmarkStart w:id="160" w:name="_Toc72143449"/>
      <w:r w:rsidRPr="004C1B29">
        <w:rPr>
          <w:u w:val="single"/>
        </w:rPr>
        <w:t>Vyloučení povinnosti pokusit se o uzavření smlouvy o získání práv k nemovité věci</w:t>
      </w:r>
      <w:bookmarkEnd w:id="160"/>
    </w:p>
    <w:p w:rsidR="004C1B29" w:rsidRPr="00C1786A" w:rsidRDefault="000865D6" w:rsidP="004C1B29">
      <w:pPr>
        <w:pStyle w:val="Normln-tun"/>
      </w:pPr>
      <w:r w:rsidRPr="00C1786A">
        <w:t>Dojde-li k jakémukoli zajištění v rámci trestního řízení, znamená to omezení vlastníka z</w:t>
      </w:r>
      <w:r w:rsidRPr="00C1786A">
        <w:t xml:space="preserve">ajištěné věci se zajištěnou věcí nakládat. Správu zajištěné věci </w:t>
      </w:r>
      <w:r w:rsidR="00CC5FF8">
        <w:t>pak</w:t>
      </w:r>
      <w:r w:rsidR="00216AC5">
        <w:t xml:space="preserve"> </w:t>
      </w:r>
      <w:r w:rsidRPr="00C1786A">
        <w:t xml:space="preserve">vykonává soud, Úřad pro zastupování státu ve věcech majetkových nebo soudní exekutor. O prodeji </w:t>
      </w:r>
      <w:r w:rsidR="00573356">
        <w:t xml:space="preserve">však </w:t>
      </w:r>
      <w:r w:rsidRPr="00C1786A">
        <w:t>může rozhodnout jedině soud, a to pouze s předchozím souhlasem obviněného</w:t>
      </w:r>
      <w:r w:rsidR="00573356">
        <w:t>,</w:t>
      </w:r>
      <w:r w:rsidRPr="00C1786A">
        <w:t xml:space="preserve"> </w:t>
      </w:r>
      <w:r w:rsidR="00573356">
        <w:t xml:space="preserve">tj. </w:t>
      </w:r>
      <w:r w:rsidRPr="00C1786A">
        <w:t>vlastní</w:t>
      </w:r>
      <w:r w:rsidRPr="00C1786A">
        <w:t xml:space="preserve">ka zajištěné věci. </w:t>
      </w:r>
      <w:r w:rsidR="007F44BB">
        <w:t>N</w:t>
      </w:r>
      <w:r w:rsidRPr="00C1786A">
        <w:t xml:space="preserve">avrhuje </w:t>
      </w:r>
      <w:r w:rsidR="007F44BB">
        <w:t xml:space="preserve">se tak </w:t>
      </w:r>
      <w:r w:rsidRPr="00C1786A">
        <w:t xml:space="preserve">stanovit povinnost vyvlastniteli </w:t>
      </w:r>
      <w:r w:rsidR="007F44BB" w:rsidRPr="00C1786A">
        <w:t xml:space="preserve">pokusit </w:t>
      </w:r>
      <w:r w:rsidRPr="00C1786A">
        <w:t>se o uzavření smlouvy s</w:t>
      </w:r>
      <w:r w:rsidR="00EE589D">
        <w:t> </w:t>
      </w:r>
      <w:r w:rsidRPr="00C1786A">
        <w:t>vyvlastňovaným</w:t>
      </w:r>
      <w:r w:rsidR="00EE589D">
        <w:t xml:space="preserve"> s tím, že pokud</w:t>
      </w:r>
      <w:r w:rsidRPr="00C1786A">
        <w:t xml:space="preserve"> </w:t>
      </w:r>
      <w:r w:rsidR="00EE589D" w:rsidRPr="00C1786A">
        <w:t xml:space="preserve">vyvlastňovaný </w:t>
      </w:r>
      <w:r w:rsidR="00EE589D">
        <w:t>o</w:t>
      </w:r>
      <w:r w:rsidRPr="00C1786A">
        <w:t>dmítne smlouvu uzavřít</w:t>
      </w:r>
      <w:r w:rsidR="001875F3">
        <w:t xml:space="preserve"> / </w:t>
      </w:r>
      <w:r w:rsidRPr="00C1786A">
        <w:t xml:space="preserve">navrhnout </w:t>
      </w:r>
      <w:r w:rsidR="00EE589D" w:rsidRPr="00C1786A">
        <w:t xml:space="preserve">povolení uzavření smlouvy </w:t>
      </w:r>
      <w:r w:rsidRPr="00C1786A">
        <w:t xml:space="preserve">soudu, popřípadě nepovolí-li soud uzavření </w:t>
      </w:r>
      <w:r w:rsidRPr="00C1786A">
        <w:t>smlouvy, vyvlastnitel nebude muset dále vyvíjet snahu o uzavření smlouvy a bude moci přistoupit k zahájení vyvlastňovacího řízení.</w:t>
      </w:r>
    </w:p>
    <w:p w:rsidR="004C1B29" w:rsidRPr="004C1B29" w:rsidRDefault="000865D6" w:rsidP="004C1B29">
      <w:pPr>
        <w:pStyle w:val="Normln-tun"/>
        <w:rPr>
          <w:u w:val="single"/>
        </w:rPr>
      </w:pPr>
      <w:bookmarkStart w:id="161" w:name="_Toc72143451"/>
      <w:r w:rsidRPr="004C1B29">
        <w:rPr>
          <w:u w:val="single"/>
        </w:rPr>
        <w:t>Přerušení trestního řízení</w:t>
      </w:r>
      <w:bookmarkEnd w:id="161"/>
    </w:p>
    <w:p w:rsidR="004C1B29" w:rsidRDefault="000865D6" w:rsidP="004C1B29">
      <w:pPr>
        <w:pStyle w:val="Normln-tun"/>
      </w:pPr>
      <w:r>
        <w:t>T</w:t>
      </w:r>
      <w:r w:rsidRPr="00C1786A">
        <w:t xml:space="preserve">restní řízení </w:t>
      </w:r>
      <w:r>
        <w:t xml:space="preserve">by nemělo být </w:t>
      </w:r>
      <w:r w:rsidRPr="00C1786A">
        <w:t>přerušováno, pokud bude zahájeno vyvlastňovací řízení k zajištěné věc</w:t>
      </w:r>
      <w:r w:rsidRPr="00C1786A">
        <w:t xml:space="preserve">i. Vychází se z premisy, že veřejný zájem na naplnění účelu trestního řízení převažuje nad veřejným zájem na vyvlastnění. </w:t>
      </w:r>
      <w:r>
        <w:t>Namísto toho</w:t>
      </w:r>
      <w:r w:rsidRPr="00C1786A">
        <w:t xml:space="preserve"> bude nutné přerušit vyvlastňovací řízení, a to do udělení souhlasu </w:t>
      </w:r>
      <w:r>
        <w:t xml:space="preserve">soudu nebo jiného </w:t>
      </w:r>
      <w:r w:rsidRPr="00C1786A">
        <w:t xml:space="preserve">orgánu </w:t>
      </w:r>
      <w:r>
        <w:t xml:space="preserve">k tomu </w:t>
      </w:r>
      <w:r w:rsidRPr="00C1786A">
        <w:t>příslušné</w:t>
      </w:r>
      <w:r>
        <w:t>mu</w:t>
      </w:r>
      <w:r w:rsidRPr="00C1786A">
        <w:t xml:space="preserve"> s nakládán</w:t>
      </w:r>
      <w:r w:rsidRPr="00C1786A">
        <w:t>ím s nemovitou věcí v rámci vyvlastnění</w:t>
      </w:r>
      <w:r>
        <w:t>, nebo</w:t>
      </w:r>
      <w:r w:rsidRPr="00C1786A">
        <w:t xml:space="preserve"> </w:t>
      </w:r>
      <w:r w:rsidR="00340473">
        <w:t>do</w:t>
      </w:r>
      <w:r w:rsidRPr="00C1786A">
        <w:t xml:space="preserve"> </w:t>
      </w:r>
      <w:r w:rsidR="00340473" w:rsidRPr="00340473">
        <w:t>zrušení rozhodnutí o zajištění předmětu vyvlastnění</w:t>
      </w:r>
      <w:r w:rsidRPr="00C1786A">
        <w:t>.</w:t>
      </w:r>
    </w:p>
    <w:p w:rsidR="00380063" w:rsidRPr="00C1786A" w:rsidRDefault="000865D6" w:rsidP="004C1B29">
      <w:pPr>
        <w:pStyle w:val="Normln-tun"/>
      </w:pPr>
      <w:r w:rsidRPr="00380063">
        <w:t xml:space="preserve">Vyvlastňovací řízení se </w:t>
      </w:r>
      <w:r w:rsidR="008632A2">
        <w:t xml:space="preserve">obdobně </w:t>
      </w:r>
      <w:r w:rsidRPr="00380063">
        <w:t xml:space="preserve">přeruší, </w:t>
      </w:r>
      <w:r>
        <w:t>i pokud</w:t>
      </w:r>
      <w:r w:rsidRPr="00380063">
        <w:t xml:space="preserve"> </w:t>
      </w:r>
      <w:r>
        <w:t>bude</w:t>
      </w:r>
      <w:r w:rsidRPr="00380063">
        <w:t xml:space="preserve"> předmět vyvlastnění v průběhu vyvlastňovacího řízení zajištěn pro účely trestního řízení.</w:t>
      </w:r>
    </w:p>
    <w:p w:rsidR="004C1B29" w:rsidRPr="004C1B29" w:rsidRDefault="000865D6" w:rsidP="004C1B29">
      <w:pPr>
        <w:pStyle w:val="Normln-tun"/>
        <w:rPr>
          <w:u w:val="single"/>
        </w:rPr>
      </w:pPr>
      <w:bookmarkStart w:id="162" w:name="_Toc72143452"/>
      <w:r w:rsidRPr="004C1B29">
        <w:rPr>
          <w:u w:val="single"/>
        </w:rPr>
        <w:t xml:space="preserve">Výplata </w:t>
      </w:r>
      <w:r w:rsidRPr="004C1B29">
        <w:rPr>
          <w:u w:val="single"/>
        </w:rPr>
        <w:t>náhrady za vyvlastnění</w:t>
      </w:r>
      <w:bookmarkEnd w:id="162"/>
    </w:p>
    <w:p w:rsidR="004C1B29" w:rsidRDefault="000865D6" w:rsidP="004C1B29">
      <w:pPr>
        <w:pStyle w:val="Normln-tun"/>
      </w:pPr>
      <w:r w:rsidRPr="00C1786A">
        <w:t xml:space="preserve">Náhrada za vyvlastnění </w:t>
      </w:r>
      <w:r w:rsidR="00535F16">
        <w:t>musí být</w:t>
      </w:r>
      <w:r w:rsidRPr="00C1786A">
        <w:t xml:space="preserve"> vyplácena přímo soudu, respektive </w:t>
      </w:r>
      <w:r w:rsidR="008632A2" w:rsidRPr="008632A2">
        <w:t>jiné</w:t>
      </w:r>
      <w:r w:rsidR="008632A2">
        <w:t>mu</w:t>
      </w:r>
      <w:r w:rsidR="008632A2" w:rsidRPr="008632A2">
        <w:t xml:space="preserve"> příslušné</w:t>
      </w:r>
      <w:r w:rsidR="008632A2">
        <w:t>mu</w:t>
      </w:r>
      <w:r w:rsidR="008632A2" w:rsidRPr="008632A2">
        <w:t xml:space="preserve"> orgánu v trestním řízení</w:t>
      </w:r>
      <w:r w:rsidRPr="00C1786A">
        <w:t xml:space="preserve">. Obdobně jako u soudního výkonu rozhodnutí, exekučního řízení </w:t>
      </w:r>
      <w:r w:rsidRPr="00C1786A">
        <w:lastRenderedPageBreak/>
        <w:t>a insolvenčního řízení je důvodem snaha zamezit, aby mohl obv</w:t>
      </w:r>
      <w:r w:rsidRPr="00C1786A">
        <w:t>iněný (obžalovaný) s náhradou za vyvlastnění volně nakládat, čímž by mohlo dojít ke zmaření účelu zajištění.</w:t>
      </w:r>
    </w:p>
    <w:p w:rsidR="000565FA" w:rsidRPr="004A2401" w:rsidRDefault="000865D6" w:rsidP="000565FA">
      <w:pPr>
        <w:pStyle w:val="Normln-tun"/>
        <w:rPr>
          <w:b/>
          <w:bCs/>
          <w:u w:val="single"/>
        </w:rPr>
      </w:pPr>
      <w:r w:rsidRPr="004A2401">
        <w:rPr>
          <w:b/>
          <w:bCs/>
          <w:u w:val="single"/>
        </w:rPr>
        <w:t xml:space="preserve">Souběh vyvlastnění a </w:t>
      </w:r>
      <w:r w:rsidR="00535F16" w:rsidRPr="004A2401">
        <w:rPr>
          <w:b/>
          <w:bCs/>
          <w:u w:val="single"/>
        </w:rPr>
        <w:t>dalš</w:t>
      </w:r>
      <w:r w:rsidRPr="004A2401">
        <w:rPr>
          <w:b/>
          <w:bCs/>
          <w:u w:val="single"/>
        </w:rPr>
        <w:t>ích řízení</w:t>
      </w:r>
    </w:p>
    <w:p w:rsidR="000565FA" w:rsidRDefault="000865D6" w:rsidP="000565FA">
      <w:pPr>
        <w:pStyle w:val="Normln-tun"/>
      </w:pPr>
      <w:r w:rsidRPr="004A2401">
        <w:t>Při konzultacích byla identifikována potřeba upravit vztah vyvlastňovacího a dalších řízení vedle těch uvedenýc</w:t>
      </w:r>
      <w:r w:rsidRPr="004A2401">
        <w:t>h detailněji v předchozím textu.</w:t>
      </w:r>
    </w:p>
    <w:p w:rsidR="00754076" w:rsidRPr="00754076" w:rsidRDefault="000865D6" w:rsidP="00754076">
      <w:pPr>
        <w:pStyle w:val="Normln-tun"/>
      </w:pPr>
      <w:bookmarkStart w:id="163" w:name="_Toc72143457"/>
      <w:r w:rsidRPr="00754076">
        <w:t>Řešit je třeba</w:t>
      </w:r>
    </w:p>
    <w:p w:rsidR="002878CF" w:rsidRPr="00754076" w:rsidRDefault="000865D6">
      <w:pPr>
        <w:pStyle w:val="Normln-tun"/>
        <w:numPr>
          <w:ilvl w:val="0"/>
          <w:numId w:val="86"/>
        </w:numPr>
      </w:pPr>
      <w:r>
        <w:t xml:space="preserve">pravidla </w:t>
      </w:r>
      <w:r w:rsidR="00754076">
        <w:t>p</w:t>
      </w:r>
      <w:r w:rsidRPr="00754076">
        <w:t>řerušení řízení</w:t>
      </w:r>
      <w:bookmarkEnd w:id="163"/>
    </w:p>
    <w:p w:rsidR="002878CF" w:rsidRPr="00754076" w:rsidRDefault="000865D6">
      <w:pPr>
        <w:pStyle w:val="Normln-tun"/>
        <w:numPr>
          <w:ilvl w:val="0"/>
          <w:numId w:val="86"/>
        </w:numPr>
      </w:pPr>
      <w:bookmarkStart w:id="164" w:name="_Toc72143458"/>
      <w:r w:rsidRPr="00754076">
        <w:t>výplat</w:t>
      </w:r>
      <w:r w:rsidR="00E47338">
        <w:t>u</w:t>
      </w:r>
      <w:r w:rsidRPr="00754076">
        <w:t xml:space="preserve"> náhrady za vyvlastnění</w:t>
      </w:r>
      <w:bookmarkEnd w:id="164"/>
      <w:r>
        <w:t>.</w:t>
      </w:r>
    </w:p>
    <w:p w:rsidR="005A7E29" w:rsidRPr="00754076" w:rsidRDefault="000865D6" w:rsidP="005A7E29">
      <w:pPr>
        <w:pStyle w:val="Normln-tun"/>
        <w:rPr>
          <w:b/>
          <w:bCs/>
        </w:rPr>
      </w:pPr>
      <w:r w:rsidRPr="00754076">
        <w:rPr>
          <w:b/>
          <w:bCs/>
        </w:rPr>
        <w:t>Pozemkové úpravy</w:t>
      </w:r>
    </w:p>
    <w:p w:rsidR="005A7E29" w:rsidRPr="00754076" w:rsidRDefault="000865D6" w:rsidP="005A7E29">
      <w:pPr>
        <w:pStyle w:val="Normln-tun"/>
      </w:pPr>
      <w:r>
        <w:t xml:space="preserve">Doporučuje se, aby </w:t>
      </w:r>
      <w:r w:rsidR="007E0651" w:rsidRPr="00754076">
        <w:t>ve vztahu k předmětu vyvlastnění</w:t>
      </w:r>
      <w:r w:rsidR="007E0651">
        <w:t xml:space="preserve"> </w:t>
      </w:r>
      <w:r>
        <w:t>nebylo možné p</w:t>
      </w:r>
      <w:r w:rsidRPr="00754076">
        <w:t xml:space="preserve">o dobu vyvlastňovacího řízení zahájit řízení o pozemkových </w:t>
      </w:r>
      <w:r w:rsidRPr="00754076">
        <w:t>úpravách.</w:t>
      </w:r>
      <w:r w:rsidR="007E0651">
        <w:t xml:space="preserve"> Obdobně pokud</w:t>
      </w:r>
      <w:r w:rsidRPr="00754076">
        <w:t xml:space="preserve"> došlo k zahájení vyvlastňovacího řízení před vystavením zpracovaného návrhu pozemkových úprav k veřejnému nahlédnutí, </w:t>
      </w:r>
      <w:r w:rsidR="00E4390A">
        <w:t xml:space="preserve">měl by </w:t>
      </w:r>
      <w:r w:rsidRPr="00754076">
        <w:t>pozemkový úřad zastav</w:t>
      </w:r>
      <w:r w:rsidR="00E4390A">
        <w:t>it</w:t>
      </w:r>
      <w:r w:rsidRPr="00754076">
        <w:t xml:space="preserve"> řízení o pozemkových úpravách ve vztahu k předmětu vyvlastnění.</w:t>
      </w:r>
    </w:p>
    <w:p w:rsidR="005A7E29" w:rsidRDefault="000865D6" w:rsidP="005A7E29">
      <w:pPr>
        <w:pStyle w:val="Normln-tun"/>
      </w:pPr>
      <w:r w:rsidRPr="00754076">
        <w:t>Jestliže došlo k za</w:t>
      </w:r>
      <w:r w:rsidRPr="00754076">
        <w:t>hájení vyvlastňovacího řízení</w:t>
      </w:r>
      <w:r w:rsidR="00E4390A">
        <w:t xml:space="preserve"> </w:t>
      </w:r>
      <w:r w:rsidRPr="00754076">
        <w:t xml:space="preserve">v den vystavení zpracovaného návrhu pozemkových úprav k veřejnému nahlédnutí nebo po tomto dni, </w:t>
      </w:r>
      <w:r w:rsidR="001A62B7">
        <w:t xml:space="preserve">naopak by mělo být </w:t>
      </w:r>
      <w:r w:rsidRPr="00754076">
        <w:t>přeruš</w:t>
      </w:r>
      <w:r w:rsidR="001A62B7">
        <w:t xml:space="preserve">eno </w:t>
      </w:r>
      <w:r w:rsidRPr="00754076">
        <w:t xml:space="preserve">vyvlastňovací řízení. Ve vyvlastňovacím řízení </w:t>
      </w:r>
      <w:r w:rsidR="00320015">
        <w:t>by se</w:t>
      </w:r>
      <w:r w:rsidRPr="00754076">
        <w:t xml:space="preserve"> pokračova</w:t>
      </w:r>
      <w:r w:rsidR="00320015">
        <w:t>lo</w:t>
      </w:r>
      <w:r w:rsidRPr="00754076">
        <w:t xml:space="preserve"> až po právní moci rozhodnutí pozemko</w:t>
      </w:r>
      <w:r w:rsidRPr="00754076">
        <w:t xml:space="preserve">vého úřadu o výměně nebo přechodu vlastnických práv k pozemkům dotčeným pozemkovými úpravami.   </w:t>
      </w:r>
    </w:p>
    <w:p w:rsidR="00E47338" w:rsidRDefault="000865D6" w:rsidP="005A7E29">
      <w:pPr>
        <w:pStyle w:val="Normln-tun"/>
      </w:pPr>
      <w:r w:rsidRPr="004A2401">
        <w:t xml:space="preserve">Výše uvedené rozdělení reflektuje snahu o nalezení </w:t>
      </w:r>
      <w:r w:rsidR="002F2139" w:rsidRPr="004A2401">
        <w:t xml:space="preserve">řešení, které je smysluplné z hlediska nákladové efektivnosti dohromady </w:t>
      </w:r>
      <w:r w:rsidR="00CF32B9" w:rsidRPr="004A2401">
        <w:t>s případným prodloužením doby trvání vyvlastňovacího řízení.</w:t>
      </w:r>
      <w:r w:rsidR="002F2139">
        <w:t xml:space="preserve"> </w:t>
      </w:r>
    </w:p>
    <w:p w:rsidR="003D4536" w:rsidRDefault="000865D6" w:rsidP="005A7E29">
      <w:pPr>
        <w:pStyle w:val="Normln-tun"/>
      </w:pPr>
      <w:r w:rsidRPr="004A2401">
        <w:t>Pro ilustraci, jak často může docházet ke střetům řízení o pozemkových úpravách a vyvlastňovacího řízení uveďme, že v</w:t>
      </w:r>
      <w:r w:rsidR="001151BA" w:rsidRPr="004A2401">
        <w:t xml:space="preserve"> letech 2012 a 2013 bylo v průměru za rok rozpracováno 154 komplexních pozemkových úprav, v letech 2014 až 2017 to bylo v průměru 215 komplexních pozemkových úprav ročně</w:t>
      </w:r>
      <w:r>
        <w:rPr>
          <w:rStyle w:val="Znakapoznpodarou"/>
        </w:rPr>
        <w:footnoteReference w:id="42"/>
      </w:r>
      <w:r w:rsidR="001151BA" w:rsidRPr="004A2401">
        <w:t>.</w:t>
      </w:r>
      <w:r w:rsidR="00527256" w:rsidRPr="004A2401">
        <w:t xml:space="preserve"> </w:t>
      </w:r>
    </w:p>
    <w:p w:rsidR="005A7E29" w:rsidRPr="000E0A68" w:rsidRDefault="000865D6" w:rsidP="005A7E29">
      <w:pPr>
        <w:pStyle w:val="Normln-tun"/>
      </w:pPr>
      <w:r w:rsidRPr="004A2401">
        <w:rPr>
          <w:b/>
          <w:bCs/>
        </w:rPr>
        <w:t>Vkladové řízení</w:t>
      </w:r>
    </w:p>
    <w:p w:rsidR="005A7E29" w:rsidRDefault="000865D6" w:rsidP="005A7E29">
      <w:pPr>
        <w:pStyle w:val="Normln-tun"/>
      </w:pPr>
      <w:r w:rsidRPr="003D4536">
        <w:t xml:space="preserve">Jestliže došlo k zahájení vyvlastňovacího řízení ve vztahu k předmětu vyvlastnění, který je předmětem řízení o povolení vkladu vlastnického práva do katastru nemovitostí, vyvlastňovací úřad </w:t>
      </w:r>
      <w:r w:rsidR="003D4536" w:rsidRPr="003D4536">
        <w:t xml:space="preserve">by měl </w:t>
      </w:r>
      <w:r w:rsidRPr="003D4536">
        <w:t>řízení o vyvlastnění přeru</w:t>
      </w:r>
      <w:r w:rsidR="003D4536" w:rsidRPr="003D4536">
        <w:t>šit</w:t>
      </w:r>
      <w:r w:rsidRPr="003D4536">
        <w:t xml:space="preserve">. </w:t>
      </w:r>
      <w:r w:rsidR="00192369">
        <w:t>Pokračovat v</w:t>
      </w:r>
      <w:r w:rsidRPr="003D4536">
        <w:t>e vyvlastňovacím</w:t>
      </w:r>
      <w:r w:rsidRPr="003D4536">
        <w:t xml:space="preserve"> řízení </w:t>
      </w:r>
      <w:r w:rsidR="00192369">
        <w:t>by se mělo</w:t>
      </w:r>
      <w:r w:rsidRPr="003D4536">
        <w:t xml:space="preserve"> až po právní moci rozhodnutí o povolení vkladu vlastnického práva do katastru nemovitostí.</w:t>
      </w:r>
      <w:r w:rsidR="00192369">
        <w:t xml:space="preserve"> K obdobnému by mělo dojít v případě, že </w:t>
      </w:r>
      <w:r w:rsidR="00192369" w:rsidRPr="003D4536">
        <w:t xml:space="preserve">řízení o povolení vkladu vlastnického práva do katastru nemovitostí ve vztahu k předmětu vyvlastnění </w:t>
      </w:r>
      <w:r w:rsidR="00192369">
        <w:t xml:space="preserve">bude zahájeno až </w:t>
      </w:r>
      <w:r w:rsidRPr="003D4536">
        <w:t>v průběhu vyvlastňovacího řízení.</w:t>
      </w:r>
    </w:p>
    <w:p w:rsidR="005A7E29" w:rsidRPr="004A2401" w:rsidRDefault="000865D6" w:rsidP="005A7E29">
      <w:pPr>
        <w:pStyle w:val="Normln-tun"/>
        <w:rPr>
          <w:b/>
          <w:bCs/>
        </w:rPr>
      </w:pPr>
      <w:r w:rsidRPr="004A2401">
        <w:rPr>
          <w:b/>
          <w:bCs/>
        </w:rPr>
        <w:t>Žaloba o určení</w:t>
      </w:r>
    </w:p>
    <w:p w:rsidR="00F0634B" w:rsidRDefault="000865D6" w:rsidP="002878CF">
      <w:pPr>
        <w:pStyle w:val="Normln-tun"/>
      </w:pPr>
      <w:r w:rsidRPr="000E0A68">
        <w:t xml:space="preserve">Jestliže došlo k zahájení vyvlastňovacího řízení ve vztahu k předmětu vyvlastnění, který je předmětem řízení o žalobě o určení vlastnického práva k předmětu vyvlastnění, soud </w:t>
      </w:r>
      <w:r w:rsidR="007275D9">
        <w:t xml:space="preserve">by měl </w:t>
      </w:r>
      <w:r w:rsidRPr="000E0A68">
        <w:t>přeru</w:t>
      </w:r>
      <w:r w:rsidR="007275D9">
        <w:t>šit</w:t>
      </w:r>
      <w:r w:rsidRPr="000E0A68">
        <w:t xml:space="preserve"> říz</w:t>
      </w:r>
      <w:r w:rsidRPr="000E0A68">
        <w:t>ení o žalobě o určení vlastnického práva k předmětu vyvlastnění</w:t>
      </w:r>
      <w:r w:rsidR="002E1DA6">
        <w:t xml:space="preserve"> a v</w:t>
      </w:r>
      <w:r w:rsidRPr="000E0A68">
        <w:t> řízení o žalobě o určení vlastnického práva k předmětu vyvlastnění pokračovat až po zamítnutí žádosti o vyvlastnění nebo po nabytí právních účinků výroku o vyvlastnění.</w:t>
      </w:r>
      <w:r w:rsidR="007275D9">
        <w:t xml:space="preserve"> Obdobně pokud</w:t>
      </w:r>
      <w:r w:rsidRPr="000E0A68">
        <w:t xml:space="preserve"> došlo</w:t>
      </w:r>
      <w:r w:rsidRPr="000E0A68">
        <w:t xml:space="preserve"> v průběhu vyvlastňovacího řízení k zahájení řízení o žalobě o </w:t>
      </w:r>
      <w:r w:rsidRPr="000E0A68">
        <w:lastRenderedPageBreak/>
        <w:t xml:space="preserve">určení vlastnického práva k předmětu vyvlastnění, soud </w:t>
      </w:r>
      <w:r w:rsidR="007275D9">
        <w:t>by měl přerušit</w:t>
      </w:r>
      <w:r w:rsidRPr="000E0A68">
        <w:t xml:space="preserve"> řízení o žalobě o určení vlastnického práva k předmětu vyvlastnění.</w:t>
      </w:r>
      <w:r w:rsidR="007275D9">
        <w:t xml:space="preserve"> </w:t>
      </w:r>
      <w:r w:rsidRPr="000E0A68">
        <w:t>Do</w:t>
      </w:r>
      <w:r w:rsidR="007275D9">
        <w:t>jde</w:t>
      </w:r>
      <w:r w:rsidRPr="000E0A68">
        <w:t xml:space="preserve">-li </w:t>
      </w:r>
      <w:r w:rsidR="007275D9">
        <w:t xml:space="preserve">pak </w:t>
      </w:r>
      <w:r w:rsidRPr="000E0A68">
        <w:t xml:space="preserve">k vyvlastnění předmětu vyvlastnění, </w:t>
      </w:r>
      <w:r w:rsidR="007275D9">
        <w:t>bude se</w:t>
      </w:r>
      <w:r w:rsidRPr="000E0A68">
        <w:t xml:space="preserve"> pokračovat v jiném řízení pouze za účelem rozhodnutí, komu náleží náhrada za vyvlastnění.</w:t>
      </w:r>
      <w:r w:rsidR="007275D9">
        <w:t xml:space="preserve"> </w:t>
      </w:r>
      <w:r w:rsidRPr="000E0A68">
        <w:t xml:space="preserve">Náhrada za vyvlastnění se </w:t>
      </w:r>
      <w:r w:rsidR="007275D9">
        <w:t xml:space="preserve">bude </w:t>
      </w:r>
      <w:r w:rsidRPr="000E0A68">
        <w:t>plat</w:t>
      </w:r>
      <w:r w:rsidR="007275D9">
        <w:t>it</w:t>
      </w:r>
      <w:r w:rsidRPr="000E0A68">
        <w:t xml:space="preserve"> k rukám soudu, který vede řízení o žalobě o určení vlastnického práva k předmětu vyvlastnění.</w:t>
      </w:r>
    </w:p>
    <w:p w:rsidR="00727D1E" w:rsidRDefault="00727D1E" w:rsidP="00520AD9">
      <w:pPr>
        <w:pStyle w:val="Normln-tun"/>
      </w:pPr>
    </w:p>
    <w:p w:rsidR="00C94779" w:rsidRDefault="000865D6" w:rsidP="00C94779">
      <w:pPr>
        <w:pStyle w:val="Nadpis2a"/>
      </w:pPr>
      <w:bookmarkStart w:id="165" w:name="_Toc256000021"/>
      <w:r>
        <w:t>Výjimky pro strategické stavby</w:t>
      </w:r>
      <w:bookmarkEnd w:id="165"/>
    </w:p>
    <w:p w:rsidR="00727D1E" w:rsidRPr="004A2401" w:rsidRDefault="000865D6" w:rsidP="00727D1E">
      <w:pPr>
        <w:pStyle w:val="Text-Normaln"/>
        <w:widowControl w:val="0"/>
        <w:rPr>
          <w:b/>
          <w:bCs/>
        </w:rPr>
      </w:pPr>
      <w:r w:rsidRPr="004A2401">
        <w:rPr>
          <w:b/>
          <w:bCs/>
        </w:rPr>
        <w:t>Popis současného stavu:</w:t>
      </w:r>
    </w:p>
    <w:p w:rsidR="00727D1E" w:rsidRPr="004A2401" w:rsidRDefault="000865D6" w:rsidP="00727D1E">
      <w:pPr>
        <w:pStyle w:val="Normln-tun"/>
      </w:pPr>
      <w:r w:rsidRPr="004A2401">
        <w:t>Specifická úprava pro strategické stavby je detailně popsána v kapitole</w:t>
      </w:r>
      <w:r w:rsidR="00CB46EE" w:rsidRPr="004A2401">
        <w:t xml:space="preserve"> 1.2.1.</w:t>
      </w:r>
    </w:p>
    <w:p w:rsidR="00727D1E" w:rsidRPr="004A2401" w:rsidRDefault="000865D6" w:rsidP="00727D1E">
      <w:pPr>
        <w:pStyle w:val="Text-Normaln"/>
        <w:widowControl w:val="0"/>
        <w:rPr>
          <w:b/>
          <w:bCs/>
        </w:rPr>
      </w:pPr>
      <w:r w:rsidRPr="004A2401">
        <w:rPr>
          <w:b/>
          <w:bCs/>
        </w:rPr>
        <w:t xml:space="preserve">Definice problému: </w:t>
      </w:r>
    </w:p>
    <w:p w:rsidR="00727D1E" w:rsidRPr="004A2401" w:rsidRDefault="000865D6" w:rsidP="00CB46EE">
      <w:pPr>
        <w:pStyle w:val="Text-Normaln"/>
        <w:widowControl w:val="0"/>
      </w:pPr>
      <w:r>
        <w:t>Klíčovým problémem je s</w:t>
      </w:r>
      <w:r w:rsidR="00CB46EE" w:rsidRPr="004A2401">
        <w:t xml:space="preserve">ložitost, </w:t>
      </w:r>
      <w:r>
        <w:t xml:space="preserve">nepřehlednost a </w:t>
      </w:r>
      <w:r w:rsidR="00CB46EE" w:rsidRPr="004A2401">
        <w:t>netransparentnost</w:t>
      </w:r>
      <w:r>
        <w:t xml:space="preserve"> právní úpravy</w:t>
      </w:r>
    </w:p>
    <w:p w:rsidR="00727D1E" w:rsidRPr="004A2401" w:rsidRDefault="000865D6" w:rsidP="00727D1E">
      <w:pPr>
        <w:pStyle w:val="Text-Normaln"/>
        <w:widowControl w:val="0"/>
        <w:rPr>
          <w:rFonts w:cs="Arial"/>
          <w:szCs w:val="24"/>
        </w:rPr>
      </w:pPr>
      <w:r w:rsidRPr="004A2401">
        <w:rPr>
          <w:b/>
        </w:rPr>
        <w:t>Cíl:</w:t>
      </w:r>
      <w:r w:rsidRPr="004A2401">
        <w:t xml:space="preserve"> </w:t>
      </w:r>
      <w:r w:rsidRPr="004A2401">
        <w:rPr>
          <w:rFonts w:cs="Arial"/>
          <w:szCs w:val="24"/>
        </w:rPr>
        <w:t xml:space="preserve">Zefektivnění procesu získávání potřebných </w:t>
      </w:r>
      <w:r w:rsidRPr="004A2401">
        <w:rPr>
          <w:rFonts w:cs="Arial"/>
          <w:szCs w:val="24"/>
        </w:rPr>
        <w:t>vlastnických práv vyvlastnitelem, příp. jejich omezení; zvýšení právní jistoty</w:t>
      </w:r>
    </w:p>
    <w:p w:rsidR="00727D1E" w:rsidRPr="004A2401" w:rsidRDefault="000865D6" w:rsidP="00727D1E">
      <w:pPr>
        <w:pStyle w:val="Text-Normaln"/>
        <w:widowControl w:val="0"/>
        <w:rPr>
          <w:b/>
        </w:rPr>
      </w:pPr>
      <w:r w:rsidRPr="004A2401">
        <w:rPr>
          <w:b/>
        </w:rPr>
        <w:t>Návrh variant řešení:</w:t>
      </w:r>
    </w:p>
    <w:p w:rsidR="00727D1E" w:rsidRPr="004A2401" w:rsidRDefault="000865D6" w:rsidP="00727D1E">
      <w:pPr>
        <w:pStyle w:val="Text-Normaln"/>
        <w:widowControl w:val="0"/>
        <w:rPr>
          <w:i/>
        </w:rPr>
      </w:pPr>
      <w:r w:rsidRPr="004A2401">
        <w:rPr>
          <w:b/>
          <w:i/>
        </w:rPr>
        <w:t>Varianta 0:</w:t>
      </w:r>
      <w:r w:rsidRPr="004A2401">
        <w:rPr>
          <w:i/>
        </w:rPr>
        <w:t xml:space="preserve"> Zachování současného stavu</w:t>
      </w:r>
    </w:p>
    <w:p w:rsidR="00727D1E" w:rsidRPr="004A2401" w:rsidRDefault="000865D6" w:rsidP="00CB46EE">
      <w:pPr>
        <w:pStyle w:val="Text-Normaln"/>
        <w:widowControl w:val="0"/>
        <w:rPr>
          <w:i/>
        </w:rPr>
      </w:pPr>
      <w:r w:rsidRPr="004A2401">
        <w:rPr>
          <w:b/>
          <w:i/>
        </w:rPr>
        <w:t>Varianta 1:</w:t>
      </w:r>
      <w:r w:rsidRPr="004A2401">
        <w:rPr>
          <w:i/>
        </w:rPr>
        <w:t xml:space="preserve"> Uvolnění podmínek </w:t>
      </w:r>
    </w:p>
    <w:p w:rsidR="00727D1E" w:rsidRPr="004A2401" w:rsidRDefault="000865D6" w:rsidP="00727D1E">
      <w:pPr>
        <w:pStyle w:val="Text-Normaln"/>
        <w:widowControl w:val="0"/>
        <w:rPr>
          <w:i/>
        </w:rPr>
      </w:pPr>
      <w:r w:rsidRPr="004A2401">
        <w:rPr>
          <w:b/>
          <w:i/>
        </w:rPr>
        <w:t xml:space="preserve">Varianta </w:t>
      </w:r>
      <w:r w:rsidR="00CB46EE" w:rsidRPr="004A2401">
        <w:rPr>
          <w:b/>
          <w:i/>
        </w:rPr>
        <w:t>2</w:t>
      </w:r>
      <w:r w:rsidRPr="004A2401">
        <w:rPr>
          <w:i/>
        </w:rPr>
        <w:t xml:space="preserve">: </w:t>
      </w:r>
      <w:r w:rsidR="00CB46EE" w:rsidRPr="004A2401">
        <w:rPr>
          <w:i/>
        </w:rPr>
        <w:t>Zpřísnění podmínek</w:t>
      </w:r>
    </w:p>
    <w:p w:rsidR="00727D1E" w:rsidRPr="00A27ADB" w:rsidRDefault="000865D6" w:rsidP="00727D1E">
      <w:pPr>
        <w:pStyle w:val="Text-Normaln"/>
        <w:widowControl w:val="0"/>
        <w:rPr>
          <w:b/>
          <w:szCs w:val="24"/>
        </w:rPr>
      </w:pPr>
      <w:r w:rsidRPr="00A27ADB">
        <w:rPr>
          <w:b/>
          <w:szCs w:val="24"/>
        </w:rPr>
        <w:t>Identifikace a kvantifikace nákladů a přínosů</w:t>
      </w:r>
    </w:p>
    <w:p w:rsidR="00727D1E" w:rsidRPr="00A27ADB" w:rsidRDefault="000865D6" w:rsidP="00A27ADB">
      <w:pPr>
        <w:pStyle w:val="Normln-tun"/>
      </w:pPr>
      <w:r w:rsidRPr="00A27ADB">
        <w:t>V případě uvolnění podmínek pro vyvlastňovací řízení bude hlavním přínosem rychlejší vypořádání majetkoprávních vztahů. Pokud by docházelo k chybám při správním rozhodování, újma bude samozřejmě na straně vy</w:t>
      </w:r>
      <w:r w:rsidR="00A27ADB" w:rsidRPr="00A27ADB">
        <w:t>vla</w:t>
      </w:r>
      <w:r w:rsidRPr="00A27ADB">
        <w:t>stňovaných</w:t>
      </w:r>
      <w:r w:rsidR="00A27ADB" w:rsidRPr="00A27ADB">
        <w:t>. V případě Varianty 2 bude situace přesně opačná.</w:t>
      </w:r>
    </w:p>
    <w:p w:rsidR="00727D1E" w:rsidRPr="00A27ADB" w:rsidRDefault="000865D6" w:rsidP="00A27ADB">
      <w:pPr>
        <w:pStyle w:val="Normln-tun"/>
        <w:rPr>
          <w:b/>
          <w:bCs/>
        </w:rPr>
      </w:pPr>
      <w:r w:rsidRPr="00A27ADB">
        <w:rPr>
          <w:b/>
          <w:bCs/>
        </w:rPr>
        <w:t>Volba varianty a její implementace</w:t>
      </w:r>
    </w:p>
    <w:p w:rsidR="003F2F91" w:rsidRDefault="000865D6" w:rsidP="003F2F91">
      <w:pPr>
        <w:pStyle w:val="Normln-tun"/>
      </w:pPr>
      <w:r w:rsidRPr="003F2F91">
        <w:t>Určité odlišnosti pro některé druhy staveb vyplývají nyní ze zákona č. 416/2009 Sb., o urychlení výstavby dopravní, vodní a energetické infrastruktury a infrastruktury elektronických komunikací, ve znění po</w:t>
      </w:r>
      <w:r w:rsidRPr="003F2F91">
        <w:t>zdějších předpisů. Přestože v obecné rovině není roztříštěnost právní úpravy žádoucí, odlišnosti pro vyjmenované druhy staveb dle zákona č. 416/2009 Sb. jsou podstatné a je vhodné mít je na zřeteli, a proto je v tomto bodě navrhováno variantní řešení vyvla</w:t>
      </w:r>
      <w:r w:rsidRPr="003F2F91">
        <w:t xml:space="preserve">stnění pro uvedené druhy staveb. </w:t>
      </w:r>
    </w:p>
    <w:p w:rsidR="00F55C92" w:rsidRDefault="000865D6" w:rsidP="003F2F91">
      <w:pPr>
        <w:pStyle w:val="Normln-tun"/>
      </w:pPr>
      <w:r w:rsidRPr="00A27ADB">
        <w:t xml:space="preserve">Protože </w:t>
      </w:r>
      <w:r>
        <w:t xml:space="preserve">vliv </w:t>
      </w:r>
      <w:r w:rsidRPr="00A27ADB">
        <w:t>mnoh</w:t>
      </w:r>
      <w:r>
        <w:t>a</w:t>
      </w:r>
      <w:r w:rsidRPr="00A27ADB">
        <w:t xml:space="preserve"> </w:t>
      </w:r>
      <w:r>
        <w:t>specifik pro vyvlastňovací řízení</w:t>
      </w:r>
      <w:r w:rsidRPr="00A27ADB">
        <w:t xml:space="preserve"> ze zákona o liniových stavbách</w:t>
      </w:r>
      <w:r>
        <w:t xml:space="preserve"> (speciálně pak institut mezitímního rozhodnutí) nebylo možné prozatím analyzovat, jako nejvhodnější se jeví převzetí všech výjimek z linio</w:t>
      </w:r>
      <w:r>
        <w:t xml:space="preserve">vého zákona, tj. </w:t>
      </w:r>
      <w:r w:rsidR="00660D6F">
        <w:t>Varianta 0. Tato skutečnost byla potvrzena jednak na základě provedených konzultací, jednak odpověďmi od získaných subjektů. Navrhují se pouze technické úpravy tak, aby nová regulace byla v souladu s dalšími právními akty a aby bylo upraveno znění tam, kde v praxi dochází k problémům.</w:t>
      </w:r>
    </w:p>
    <w:p w:rsidR="003F2F91" w:rsidRDefault="003F2F91" w:rsidP="00520AD9">
      <w:pPr>
        <w:pStyle w:val="Normln-tun"/>
      </w:pPr>
    </w:p>
    <w:p w:rsidR="00F2348A" w:rsidRPr="00660D6F" w:rsidRDefault="000865D6" w:rsidP="00727D1E">
      <w:pPr>
        <w:pStyle w:val="Nadpis2a"/>
      </w:pPr>
      <w:bookmarkStart w:id="166" w:name="_Toc256000022"/>
      <w:r w:rsidRPr="00660D6F">
        <w:t>Soudní přezkum</w:t>
      </w:r>
      <w:bookmarkEnd w:id="166"/>
    </w:p>
    <w:p w:rsidR="00514E5D" w:rsidRPr="00660D6F" w:rsidRDefault="000865D6" w:rsidP="00867338">
      <w:pPr>
        <w:pStyle w:val="Normln-tun"/>
      </w:pPr>
      <w:r w:rsidRPr="00660D6F">
        <w:t xml:space="preserve">Duální model byl </w:t>
      </w:r>
      <w:r w:rsidR="00660D6F" w:rsidRPr="00660D6F">
        <w:t xml:space="preserve">detailně </w:t>
      </w:r>
      <w:r w:rsidRPr="00660D6F">
        <w:t>diskutován v rámci konzultací i s LRV. Na základě této diskuze bylo zvoleno zachování současného stavu.</w:t>
      </w:r>
      <w:r w:rsidR="00660D6F" w:rsidRPr="00660D6F">
        <w:t xml:space="preserve"> Detailní popis historického vývoje lze nalézt v RIA k věcnému záměru nového zákona o vyvlastnění.</w:t>
      </w:r>
    </w:p>
    <w:p w:rsidR="00162759" w:rsidRPr="00795817" w:rsidRDefault="000865D6" w:rsidP="002357D7">
      <w:pPr>
        <w:pStyle w:val="Nadpis1"/>
        <w:numPr>
          <w:ilvl w:val="0"/>
          <w:numId w:val="25"/>
        </w:numPr>
      </w:pPr>
      <w:bookmarkStart w:id="167" w:name="_Toc256000023"/>
      <w:bookmarkStart w:id="168" w:name="_Toc5007613"/>
      <w:r w:rsidRPr="00795817">
        <w:lastRenderedPageBreak/>
        <w:t>Návrh řešení</w:t>
      </w:r>
      <w:bookmarkEnd w:id="167"/>
      <w:bookmarkEnd w:id="168"/>
    </w:p>
    <w:p w:rsidR="00593939" w:rsidRPr="00520AD9" w:rsidRDefault="000865D6" w:rsidP="00520AD9">
      <w:pPr>
        <w:pStyle w:val="Normln-tun"/>
      </w:pPr>
      <w:r w:rsidRPr="00520AD9">
        <w:t>Vyhodnocení jednotlivých variant je provedeno v rámci kapitol s příslušnými věcnými okruhy. Zde proto pouze pro přehlednost shrnujeme zvolená ře</w:t>
      </w:r>
      <w:r w:rsidRPr="00520AD9">
        <w:t>šení:</w:t>
      </w:r>
    </w:p>
    <w:p w:rsidR="00593939" w:rsidRPr="00520AD9" w:rsidRDefault="000865D6" w:rsidP="00520AD9">
      <w:pPr>
        <w:pStyle w:val="Normln-tun"/>
      </w:pPr>
      <w:r w:rsidRPr="00520AD9">
        <w:t>Na základě výsledků procesu RIA, analýzy a hodnocení jednotlivých variant a dle výstupů z konzultací byly zvoleny následující varianty:</w:t>
      </w:r>
    </w:p>
    <w:p w:rsidR="00593939" w:rsidRDefault="000865D6" w:rsidP="00593939">
      <w:pPr>
        <w:pStyle w:val="Normln-tun"/>
        <w:rPr>
          <w:b/>
        </w:rPr>
      </w:pPr>
      <w:r>
        <w:rPr>
          <w:b/>
        </w:rPr>
        <w:t>A.</w:t>
      </w:r>
      <w:r>
        <w:rPr>
          <w:b/>
        </w:rPr>
        <w:tab/>
        <w:t xml:space="preserve"> </w:t>
      </w:r>
      <w:r w:rsidRPr="00593939">
        <w:rPr>
          <w:b/>
        </w:rPr>
        <w:t>ÚČEL VYVLASTNĚNÍ</w:t>
      </w:r>
    </w:p>
    <w:p w:rsidR="00593939" w:rsidRDefault="000865D6" w:rsidP="00593939">
      <w:pPr>
        <w:pStyle w:val="Text-Normaln"/>
        <w:widowControl w:val="0"/>
        <w:rPr>
          <w:i/>
        </w:rPr>
      </w:pPr>
      <w:r w:rsidRPr="00795817">
        <w:rPr>
          <w:b/>
          <w:i/>
        </w:rPr>
        <w:t>Varianta 1:</w:t>
      </w:r>
      <w:r w:rsidRPr="00795817">
        <w:rPr>
          <w:i/>
        </w:rPr>
        <w:t xml:space="preserve"> </w:t>
      </w:r>
      <w:r w:rsidRPr="00C40D7D">
        <w:rPr>
          <w:i/>
        </w:rPr>
        <w:t>Dle konzultací s příslušnými rezorty</w:t>
      </w:r>
      <w:r>
        <w:rPr>
          <w:i/>
        </w:rPr>
        <w:t>, i</w:t>
      </w:r>
      <w:r w:rsidRPr="00C40D7D">
        <w:rPr>
          <w:i/>
        </w:rPr>
        <w:t>ndikována byla tato potřeba především u zá</w:t>
      </w:r>
      <w:r w:rsidRPr="00C40D7D">
        <w:rPr>
          <w:i/>
        </w:rPr>
        <w:t>konů v gesci MŽP a MZe</w:t>
      </w:r>
      <w:r w:rsidR="001720D2">
        <w:rPr>
          <w:i/>
        </w:rPr>
        <w:t>. K</w:t>
      </w:r>
      <w:r w:rsidR="001720D2" w:rsidRPr="001720D2">
        <w:rPr>
          <w:i/>
        </w:rPr>
        <w:t xml:space="preserve"> případné úpravě těchto jednotlivých zákonů </w:t>
      </w:r>
      <w:r w:rsidR="001720D2">
        <w:rPr>
          <w:i/>
        </w:rPr>
        <w:t xml:space="preserve">může </w:t>
      </w:r>
      <w:r w:rsidR="001720D2" w:rsidRPr="001720D2">
        <w:rPr>
          <w:i/>
        </w:rPr>
        <w:t>dojít jen po dohodě s jejich gestory, přičemž co se týče přímo zákona o vyvlastnění, může být předmětem dohody pouze to, zda úprava účelů vyvlastnění v jiných zákonech bude provedena společně s návrhem nového zákona o vyvlastnění. Je na příslušných ministerstvech a ústředních orgánech, zda zvolí tento postup nebo budou právní úpravu připravovat samostatně, v souladu s potřebami rozvoje jim svěřených odvětví řešení stěžejních otázek společenské problematiky v okruhu jejich působnosti.</w:t>
      </w:r>
    </w:p>
    <w:p w:rsidR="00593939" w:rsidRDefault="000865D6" w:rsidP="00593939">
      <w:pPr>
        <w:pStyle w:val="Normln-tun"/>
        <w:rPr>
          <w:b/>
        </w:rPr>
      </w:pPr>
      <w:r>
        <w:rPr>
          <w:b/>
        </w:rPr>
        <w:t>B.</w:t>
      </w:r>
      <w:r>
        <w:rPr>
          <w:b/>
        </w:rPr>
        <w:tab/>
      </w:r>
      <w:r w:rsidRPr="00593939">
        <w:rPr>
          <w:b/>
        </w:rPr>
        <w:tab/>
      </w:r>
      <w:r>
        <w:rPr>
          <w:b/>
        </w:rPr>
        <w:t xml:space="preserve"> </w:t>
      </w:r>
      <w:r w:rsidRPr="00593939">
        <w:rPr>
          <w:b/>
        </w:rPr>
        <w:t>VEŘEJNÝ ZÁJEM</w:t>
      </w:r>
    </w:p>
    <w:p w:rsidR="00593939" w:rsidRPr="00593939" w:rsidRDefault="000865D6" w:rsidP="00593939">
      <w:pPr>
        <w:pStyle w:val="Normln-tun"/>
        <w:rPr>
          <w:b/>
        </w:rPr>
      </w:pPr>
      <w:r w:rsidRPr="00593939">
        <w:rPr>
          <w:b/>
          <w:i/>
        </w:rPr>
        <w:t>V</w:t>
      </w:r>
      <w:r w:rsidRPr="00795817">
        <w:rPr>
          <w:b/>
          <w:i/>
        </w:rPr>
        <w:t>arianta 1:</w:t>
      </w:r>
      <w:r w:rsidRPr="00795817">
        <w:rPr>
          <w:i/>
        </w:rPr>
        <w:t xml:space="preserve"> Zpracování metodických pokynů; pravidelné školení odpovědných úředníků</w:t>
      </w:r>
    </w:p>
    <w:p w:rsidR="00593939" w:rsidRDefault="000865D6" w:rsidP="00593939">
      <w:pPr>
        <w:pStyle w:val="Normln-tun"/>
        <w:rPr>
          <w:b/>
        </w:rPr>
      </w:pPr>
      <w:r>
        <w:rPr>
          <w:b/>
        </w:rPr>
        <w:t xml:space="preserve">C. </w:t>
      </w:r>
      <w:r>
        <w:rPr>
          <w:b/>
        </w:rPr>
        <w:tab/>
      </w:r>
      <w:r w:rsidRPr="00593939">
        <w:rPr>
          <w:b/>
        </w:rPr>
        <w:tab/>
      </w:r>
      <w:r w:rsidRPr="00593939">
        <w:rPr>
          <w:b/>
        </w:rPr>
        <w:tab/>
        <w:t>ROZSAH VYVLASTNĚNÍ</w:t>
      </w:r>
    </w:p>
    <w:p w:rsidR="00593939" w:rsidRPr="00EB02FC" w:rsidRDefault="000865D6" w:rsidP="00593939">
      <w:pPr>
        <w:pStyle w:val="Normln-tun"/>
        <w:rPr>
          <w:i/>
          <w:highlight w:val="yellow"/>
        </w:rPr>
      </w:pPr>
      <w:r w:rsidRPr="00EB02FC">
        <w:rPr>
          <w:b/>
          <w:i/>
        </w:rPr>
        <w:t>Varianta 0:</w:t>
      </w:r>
      <w:r w:rsidRPr="00EB02FC">
        <w:rPr>
          <w:i/>
        </w:rPr>
        <w:t xml:space="preserve"> Zachování současného stavu</w:t>
      </w:r>
    </w:p>
    <w:p w:rsidR="00593939" w:rsidRDefault="000865D6" w:rsidP="00593939">
      <w:pPr>
        <w:pStyle w:val="Normln-tun"/>
        <w:rPr>
          <w:b/>
        </w:rPr>
      </w:pPr>
      <w:r>
        <w:rPr>
          <w:b/>
        </w:rPr>
        <w:t xml:space="preserve">D. </w:t>
      </w:r>
      <w:r w:rsidR="00A10D70">
        <w:rPr>
          <w:b/>
        </w:rPr>
        <w:t>SMĚNA</w:t>
      </w:r>
    </w:p>
    <w:p w:rsidR="00593939" w:rsidRDefault="000865D6" w:rsidP="00256D2F">
      <w:pPr>
        <w:pStyle w:val="Text-Normaln"/>
        <w:widowControl w:val="0"/>
        <w:rPr>
          <w:i/>
        </w:rPr>
      </w:pPr>
      <w:r w:rsidRPr="00F74980">
        <w:rPr>
          <w:b/>
          <w:i/>
        </w:rPr>
        <w:t>Varianta 1:</w:t>
      </w:r>
      <w:r w:rsidRPr="00F74980">
        <w:rPr>
          <w:i/>
        </w:rPr>
        <w:t xml:space="preserve"> Zpřísnění regulace ve prospěch vyvlastňovaného</w:t>
      </w:r>
    </w:p>
    <w:p w:rsidR="00993FE2" w:rsidRDefault="000865D6" w:rsidP="00993FE2">
      <w:pPr>
        <w:pStyle w:val="Normln-tun"/>
        <w:rPr>
          <w:b/>
        </w:rPr>
      </w:pPr>
      <w:r w:rsidRPr="00993FE2">
        <w:rPr>
          <w:b/>
        </w:rPr>
        <w:t>E.</w:t>
      </w:r>
      <w:r w:rsidRPr="00993FE2">
        <w:rPr>
          <w:b/>
        </w:rPr>
        <w:tab/>
      </w:r>
      <w:r>
        <w:rPr>
          <w:b/>
        </w:rPr>
        <w:t xml:space="preserve"> </w:t>
      </w:r>
      <w:r w:rsidR="00A10D70" w:rsidRPr="00A10D70">
        <w:rPr>
          <w:b/>
        </w:rPr>
        <w:tab/>
        <w:t>SMLOUVA O ZÍSKÁNÍ PRÁV K POZEMKU NEBO KE STAVBĚ</w:t>
      </w:r>
    </w:p>
    <w:p w:rsidR="00AB5182" w:rsidRDefault="000865D6" w:rsidP="00AB5182">
      <w:pPr>
        <w:pStyle w:val="Text-Normaln"/>
        <w:widowControl w:val="0"/>
        <w:rPr>
          <w:i/>
        </w:rPr>
      </w:pPr>
      <w:r w:rsidRPr="00795817">
        <w:rPr>
          <w:b/>
          <w:i/>
        </w:rPr>
        <w:t xml:space="preserve">Varianta </w:t>
      </w:r>
      <w:r>
        <w:rPr>
          <w:b/>
          <w:i/>
        </w:rPr>
        <w:t>4</w:t>
      </w:r>
      <w:r w:rsidRPr="00795817">
        <w:rPr>
          <w:b/>
          <w:i/>
        </w:rPr>
        <w:t>a</w:t>
      </w:r>
      <w:r w:rsidRPr="00795817">
        <w:rPr>
          <w:i/>
        </w:rPr>
        <w:t xml:space="preserve">: Vydání pokynů s určením základních prvků správného vyjednávání o dohodě </w:t>
      </w:r>
    </w:p>
    <w:p w:rsidR="00993FE2" w:rsidRDefault="000865D6" w:rsidP="00A10D70">
      <w:pPr>
        <w:pStyle w:val="Normln-tun"/>
        <w:rPr>
          <w:b/>
        </w:rPr>
      </w:pPr>
      <w:r w:rsidRPr="00A10D70">
        <w:rPr>
          <w:b/>
        </w:rPr>
        <w:t>F.</w:t>
      </w:r>
      <w:r>
        <w:rPr>
          <w:b/>
        </w:rPr>
        <w:t xml:space="preserve"> </w:t>
      </w:r>
      <w:r w:rsidRPr="00A10D70">
        <w:rPr>
          <w:b/>
        </w:rPr>
        <w:tab/>
        <w:t>DORUČOVÁNÍ NÁVRHU SMLOUVY</w:t>
      </w:r>
    </w:p>
    <w:p w:rsidR="00A10D70" w:rsidRDefault="000865D6" w:rsidP="00A10D70">
      <w:pPr>
        <w:pStyle w:val="Normln-tun"/>
        <w:rPr>
          <w:i/>
        </w:rPr>
      </w:pPr>
      <w:r w:rsidRPr="00775C54">
        <w:rPr>
          <w:b/>
          <w:i/>
        </w:rPr>
        <w:t>Varianta 1:</w:t>
      </w:r>
      <w:r w:rsidRPr="00775C54">
        <w:rPr>
          <w:i/>
        </w:rPr>
        <w:t xml:space="preserve"> Zpřesnění, na jakou adresu se má doručovat</w:t>
      </w:r>
    </w:p>
    <w:p w:rsidR="00A10D70" w:rsidRDefault="000865D6" w:rsidP="00A10D70">
      <w:pPr>
        <w:pStyle w:val="Normln-tun"/>
        <w:rPr>
          <w:b/>
        </w:rPr>
      </w:pPr>
      <w:r w:rsidRPr="00A10D70">
        <w:rPr>
          <w:b/>
        </w:rPr>
        <w:t>G.</w:t>
      </w:r>
      <w:r>
        <w:rPr>
          <w:b/>
        </w:rPr>
        <w:tab/>
        <w:t xml:space="preserve"> </w:t>
      </w:r>
      <w:r w:rsidRPr="00A10D70">
        <w:rPr>
          <w:b/>
        </w:rPr>
        <w:t>POSLOUPNOST ZNALECKÝCH POSUDKŮ (ZP)</w:t>
      </w:r>
    </w:p>
    <w:p w:rsidR="00A10D70" w:rsidRDefault="000865D6" w:rsidP="00A10D70">
      <w:pPr>
        <w:pStyle w:val="Normln-tun"/>
        <w:rPr>
          <w:i/>
        </w:rPr>
      </w:pPr>
      <w:r w:rsidRPr="0074313C">
        <w:rPr>
          <w:b/>
          <w:i/>
        </w:rPr>
        <w:t>Varianta 1:</w:t>
      </w:r>
      <w:r w:rsidRPr="0074313C">
        <w:rPr>
          <w:i/>
        </w:rPr>
        <w:t xml:space="preserve"> K návrhu smlouvy vyvlastnitel nebude muset předkládat </w:t>
      </w:r>
      <w:r>
        <w:rPr>
          <w:i/>
        </w:rPr>
        <w:t>ZP</w:t>
      </w:r>
      <w:r w:rsidRPr="0074313C">
        <w:rPr>
          <w:i/>
        </w:rPr>
        <w:t>, ale pouze ocenění</w:t>
      </w:r>
      <w:r>
        <w:rPr>
          <w:i/>
        </w:rPr>
        <w:t>, ZP vyvlastnitel předloží až k žádosti o vyvlastnění</w:t>
      </w:r>
    </w:p>
    <w:p w:rsidR="00A10D70" w:rsidRDefault="000865D6" w:rsidP="00A10D70">
      <w:pPr>
        <w:pStyle w:val="Normln-tun"/>
        <w:rPr>
          <w:b/>
        </w:rPr>
      </w:pPr>
      <w:r w:rsidRPr="00A10D70">
        <w:rPr>
          <w:b/>
        </w:rPr>
        <w:t>H.</w:t>
      </w:r>
      <w:r>
        <w:rPr>
          <w:b/>
        </w:rPr>
        <w:t xml:space="preserve"> </w:t>
      </w:r>
      <w:r w:rsidRPr="00A10D70">
        <w:rPr>
          <w:b/>
        </w:rPr>
        <w:tab/>
        <w:t>NÁHRADY PŘI VYVLASTNĚNÍ</w:t>
      </w:r>
    </w:p>
    <w:p w:rsidR="00A10D70" w:rsidRDefault="000865D6" w:rsidP="00520AD9">
      <w:pPr>
        <w:pStyle w:val="Normln-tun"/>
        <w:rPr>
          <w:i/>
        </w:rPr>
      </w:pPr>
      <w:r w:rsidRPr="00795817">
        <w:rPr>
          <w:b/>
          <w:i/>
        </w:rPr>
        <w:t>Var</w:t>
      </w:r>
      <w:r w:rsidRPr="00795817">
        <w:rPr>
          <w:b/>
          <w:i/>
        </w:rPr>
        <w:t xml:space="preserve">ianta </w:t>
      </w:r>
      <w:r>
        <w:rPr>
          <w:b/>
          <w:i/>
        </w:rPr>
        <w:t xml:space="preserve">2: </w:t>
      </w:r>
      <w:r w:rsidRPr="00CD4D19">
        <w:rPr>
          <w:bCs/>
          <w:i/>
        </w:rPr>
        <w:t>Z</w:t>
      </w:r>
      <w:r w:rsidRPr="00795817">
        <w:rPr>
          <w:i/>
        </w:rPr>
        <w:t>revidovat příslušné předpisy a upravit pravidla pro stanovování náhrad za jednotlivé účely a kategorie vyvlastnitelů tak, aby motivace uzavřít dohodu před započetím vyvlastňovacího řízení byla vyšší než motivace vést vyvlastňovací řízení</w:t>
      </w:r>
    </w:p>
    <w:p w:rsidR="00A10D70" w:rsidRDefault="000865D6" w:rsidP="00A10D70">
      <w:pPr>
        <w:pStyle w:val="Normln-tun"/>
        <w:rPr>
          <w:b/>
        </w:rPr>
      </w:pPr>
      <w:r w:rsidRPr="00A10D70">
        <w:rPr>
          <w:b/>
        </w:rPr>
        <w:t>I.</w:t>
      </w:r>
      <w:r>
        <w:rPr>
          <w:b/>
        </w:rPr>
        <w:tab/>
        <w:t xml:space="preserve"> </w:t>
      </w:r>
      <w:r w:rsidRPr="00A10D70">
        <w:rPr>
          <w:b/>
        </w:rPr>
        <w:t>VYVL</w:t>
      </w:r>
      <w:r w:rsidRPr="00A10D70">
        <w:rPr>
          <w:b/>
        </w:rPr>
        <w:t>ASTŇOVACÍ ÚŘADY</w:t>
      </w:r>
    </w:p>
    <w:p w:rsidR="00A10D70" w:rsidRDefault="000865D6" w:rsidP="00A10D70">
      <w:pPr>
        <w:pStyle w:val="Normln-tun"/>
        <w:rPr>
          <w:i/>
        </w:rPr>
      </w:pPr>
      <w:r w:rsidRPr="00284057">
        <w:rPr>
          <w:b/>
          <w:i/>
        </w:rPr>
        <w:t>Varianta 1:</w:t>
      </w:r>
      <w:r w:rsidRPr="00284057">
        <w:rPr>
          <w:i/>
        </w:rPr>
        <w:t xml:space="preserve"> Úprava institucionální struktury dle návrhu novely nového stavebního zákona; větší koncentrace vyvlastňovacích úřadů tak, aby bylo možné zajistit odpovídající míru kvalifikace úředníků a jejich specializaci (při 0,1 úvazku na ag</w:t>
      </w:r>
      <w:r w:rsidRPr="00284057">
        <w:rPr>
          <w:i/>
        </w:rPr>
        <w:t>endu vyvlastňování je specializace obtížná)</w:t>
      </w:r>
    </w:p>
    <w:p w:rsidR="008F2A32" w:rsidRDefault="000865D6" w:rsidP="00A10D70">
      <w:pPr>
        <w:pStyle w:val="Normln-tun"/>
        <w:rPr>
          <w:b/>
        </w:rPr>
      </w:pPr>
      <w:r w:rsidRPr="008F2A32">
        <w:rPr>
          <w:b/>
        </w:rPr>
        <w:t>J.</w:t>
      </w:r>
      <w:r w:rsidRPr="008F2A32">
        <w:rPr>
          <w:b/>
        </w:rPr>
        <w:tab/>
      </w:r>
      <w:r>
        <w:rPr>
          <w:b/>
        </w:rPr>
        <w:t xml:space="preserve"> </w:t>
      </w:r>
      <w:r w:rsidRPr="008F2A32">
        <w:rPr>
          <w:b/>
        </w:rPr>
        <w:t xml:space="preserve">VYVLASTŇOVACÍ ŘÍZENÍ </w:t>
      </w:r>
      <w:r>
        <w:rPr>
          <w:b/>
        </w:rPr>
        <w:t>–</w:t>
      </w:r>
      <w:r w:rsidRPr="008F2A32">
        <w:rPr>
          <w:b/>
        </w:rPr>
        <w:t xml:space="preserve"> PROCES</w:t>
      </w:r>
    </w:p>
    <w:p w:rsidR="00F85DA9" w:rsidRDefault="000865D6" w:rsidP="00A10D70">
      <w:pPr>
        <w:pStyle w:val="Normln-tun"/>
        <w:rPr>
          <w:i/>
        </w:rPr>
      </w:pPr>
      <w:r w:rsidRPr="000D783E">
        <w:rPr>
          <w:b/>
          <w:i/>
        </w:rPr>
        <w:t>Varianta 3:</w:t>
      </w:r>
      <w:r w:rsidRPr="000D783E">
        <w:rPr>
          <w:i/>
        </w:rPr>
        <w:t xml:space="preserve"> Úprava lhůt</w:t>
      </w:r>
    </w:p>
    <w:p w:rsidR="00F85DA9" w:rsidRDefault="000865D6" w:rsidP="00A10D70">
      <w:pPr>
        <w:pStyle w:val="Normln-tun"/>
        <w:rPr>
          <w:b/>
        </w:rPr>
      </w:pPr>
      <w:r w:rsidRPr="00F85DA9">
        <w:rPr>
          <w:b/>
        </w:rPr>
        <w:t>K.</w:t>
      </w:r>
      <w:r w:rsidRPr="00F85DA9">
        <w:rPr>
          <w:b/>
        </w:rPr>
        <w:tab/>
      </w:r>
      <w:r>
        <w:rPr>
          <w:b/>
        </w:rPr>
        <w:t xml:space="preserve"> </w:t>
      </w:r>
      <w:r w:rsidRPr="00F85DA9">
        <w:rPr>
          <w:b/>
        </w:rPr>
        <w:t>VYVLASTŇOVACÍ ŘÍZENÍ - SOUBĚH VYVLASTŇOVACÍHO A DALŠÍCH ŘÍZENÍ</w:t>
      </w:r>
    </w:p>
    <w:p w:rsidR="00F85DA9" w:rsidRDefault="000865D6" w:rsidP="00A10D70">
      <w:pPr>
        <w:pStyle w:val="Normln-tun"/>
        <w:rPr>
          <w:i/>
          <w:iCs/>
        </w:rPr>
      </w:pPr>
      <w:r w:rsidRPr="006E3DFF">
        <w:rPr>
          <w:b/>
          <w:i/>
          <w:iCs/>
        </w:rPr>
        <w:lastRenderedPageBreak/>
        <w:t>Varianta 1:</w:t>
      </w:r>
      <w:r w:rsidRPr="006E3DFF">
        <w:rPr>
          <w:i/>
          <w:iCs/>
        </w:rPr>
        <w:t xml:space="preserve"> Úprava případů souběhu</w:t>
      </w:r>
      <w:r>
        <w:rPr>
          <w:i/>
          <w:iCs/>
        </w:rPr>
        <w:t xml:space="preserve"> vybraných</w:t>
      </w:r>
      <w:r w:rsidRPr="006E3DFF">
        <w:rPr>
          <w:i/>
          <w:iCs/>
        </w:rPr>
        <w:t xml:space="preserve"> řízení</w:t>
      </w:r>
    </w:p>
    <w:p w:rsidR="00F85DA9" w:rsidRDefault="000865D6" w:rsidP="00A10D70">
      <w:pPr>
        <w:pStyle w:val="Normln-tun"/>
        <w:rPr>
          <w:b/>
        </w:rPr>
      </w:pPr>
      <w:r w:rsidRPr="00F85DA9">
        <w:rPr>
          <w:b/>
        </w:rPr>
        <w:t>L.</w:t>
      </w:r>
      <w:r w:rsidRPr="00F85DA9">
        <w:rPr>
          <w:b/>
        </w:rPr>
        <w:tab/>
      </w:r>
      <w:r>
        <w:rPr>
          <w:b/>
        </w:rPr>
        <w:t xml:space="preserve"> </w:t>
      </w:r>
      <w:r w:rsidRPr="00F85DA9">
        <w:rPr>
          <w:b/>
        </w:rPr>
        <w:t>VÝJIMKY PRO STRATEGICKÉ STAVBY</w:t>
      </w:r>
    </w:p>
    <w:p w:rsidR="00F85DA9" w:rsidRDefault="000865D6" w:rsidP="00A10D70">
      <w:pPr>
        <w:pStyle w:val="Normln-tun"/>
        <w:rPr>
          <w:i/>
        </w:rPr>
      </w:pPr>
      <w:r w:rsidRPr="004A2401">
        <w:rPr>
          <w:b/>
          <w:i/>
        </w:rPr>
        <w:t>Varianta 0:</w:t>
      </w:r>
      <w:r w:rsidRPr="004A2401">
        <w:rPr>
          <w:i/>
        </w:rPr>
        <w:t xml:space="preserve"> Zachování současného stavu</w:t>
      </w:r>
    </w:p>
    <w:p w:rsidR="00F85DA9" w:rsidRPr="00F574EC" w:rsidRDefault="000865D6" w:rsidP="00F574EC">
      <w:pPr>
        <w:pStyle w:val="Normln-tun"/>
        <w:rPr>
          <w:b/>
        </w:rPr>
      </w:pPr>
      <w:r w:rsidRPr="00F574EC">
        <w:rPr>
          <w:b/>
        </w:rPr>
        <w:t>M.</w:t>
      </w:r>
      <w:r w:rsidRPr="00F574EC">
        <w:rPr>
          <w:b/>
        </w:rPr>
        <w:tab/>
        <w:t xml:space="preserve"> SOUDNÍ PŘEZKUM</w:t>
      </w:r>
    </w:p>
    <w:p w:rsidR="00F85DA9" w:rsidRPr="00A10D70" w:rsidRDefault="000865D6" w:rsidP="00A10D70">
      <w:pPr>
        <w:pStyle w:val="Normln-tun"/>
        <w:rPr>
          <w:b/>
        </w:rPr>
      </w:pPr>
      <w:r w:rsidRPr="004A2401">
        <w:rPr>
          <w:b/>
          <w:i/>
        </w:rPr>
        <w:t>Varianta 0:</w:t>
      </w:r>
      <w:r w:rsidRPr="004A2401">
        <w:rPr>
          <w:i/>
        </w:rPr>
        <w:t xml:space="preserve"> Zachování současného stavu</w:t>
      </w:r>
    </w:p>
    <w:p w:rsidR="00C44073" w:rsidRDefault="00C44073" w:rsidP="00347CCB">
      <w:pPr>
        <w:rPr>
          <w:highlight w:val="yellow"/>
        </w:rPr>
      </w:pPr>
    </w:p>
    <w:p w:rsidR="00162759" w:rsidRPr="00795817" w:rsidRDefault="000865D6" w:rsidP="002357D7">
      <w:pPr>
        <w:pStyle w:val="Nadpis1"/>
        <w:numPr>
          <w:ilvl w:val="0"/>
          <w:numId w:val="16"/>
        </w:numPr>
        <w:rPr>
          <w:rFonts w:eastAsia="Calibri"/>
        </w:rPr>
      </w:pPr>
      <w:bookmarkStart w:id="169" w:name="_Toc256000024"/>
      <w:bookmarkStart w:id="170" w:name="_Toc5007619"/>
      <w:r w:rsidRPr="00795817">
        <w:rPr>
          <w:rFonts w:eastAsia="Calibri"/>
        </w:rPr>
        <w:t>Implementace doporučené varianty a vynucování</w:t>
      </w:r>
      <w:bookmarkEnd w:id="169"/>
      <w:bookmarkEnd w:id="170"/>
      <w:r w:rsidRPr="00795817">
        <w:rPr>
          <w:rFonts w:eastAsia="Calibri"/>
        </w:rPr>
        <w:t xml:space="preserve"> </w:t>
      </w:r>
    </w:p>
    <w:p w:rsidR="00A6072E" w:rsidRPr="00022391" w:rsidRDefault="000865D6" w:rsidP="00520AD9">
      <w:pPr>
        <w:pStyle w:val="Normln-tun"/>
      </w:pPr>
      <w:r w:rsidRPr="00022391">
        <w:t>Implementaci budou provádět žadatelé při pokusu o získání potřebných práv pro uskutečnění účelu vyvlastnění sml</w:t>
      </w:r>
      <w:r w:rsidRPr="00022391">
        <w:t>uvní cestou a v průběhu řízení vyvlastňovací úřady.</w:t>
      </w:r>
    </w:p>
    <w:p w:rsidR="005F79DE" w:rsidRPr="00022391" w:rsidRDefault="000865D6" w:rsidP="00520AD9">
      <w:pPr>
        <w:pStyle w:val="Normln-tun"/>
      </w:pPr>
      <w:r w:rsidRPr="00022391">
        <w:t>V případě změny příslušnosti vyvlastňovacích úřadů bude třeba řešit otázku, jakým způsobem pokračovat</w:t>
      </w:r>
      <w:r w:rsidR="00275250" w:rsidRPr="00022391">
        <w:t xml:space="preserve"> v</w:t>
      </w:r>
      <w:r w:rsidRPr="00022391">
        <w:t xml:space="preserve"> řízení započat</w:t>
      </w:r>
      <w:r w:rsidR="00275250" w:rsidRPr="00022391">
        <w:t>ých</w:t>
      </w:r>
      <w:r w:rsidRPr="00022391">
        <w:t xml:space="preserve"> před účinností nového zákona. Toto by mělo být upraveno v přechodných ustanoveních</w:t>
      </w:r>
      <w:r w:rsidRPr="00022391">
        <w:t>.</w:t>
      </w:r>
    </w:p>
    <w:p w:rsidR="003D4B0C" w:rsidRDefault="000865D6" w:rsidP="00520AD9">
      <w:pPr>
        <w:pStyle w:val="Normln-tun"/>
      </w:pPr>
      <w:bookmarkStart w:id="171" w:name="_Toc5007621"/>
      <w:r>
        <w:t xml:space="preserve">Při </w:t>
      </w:r>
      <w:r w:rsidR="0051350B">
        <w:t xml:space="preserve">zachování </w:t>
      </w:r>
      <w:r>
        <w:t>s</w:t>
      </w:r>
      <w:r w:rsidR="007B14AB" w:rsidRPr="00D913C9">
        <w:t>oučasné koncepc</w:t>
      </w:r>
      <w:r>
        <w:t>i</w:t>
      </w:r>
      <w:r w:rsidR="007B14AB" w:rsidRPr="00D913C9">
        <w:t xml:space="preserve"> </w:t>
      </w:r>
      <w:r w:rsidR="0051350B">
        <w:t>zůstane</w:t>
      </w:r>
      <w:r w:rsidR="007B14AB" w:rsidRPr="00D913C9">
        <w:t xml:space="preserve"> zákon o vyvlastnění obecným vyvlastňovacím předpisem upravujícím předmět vyvlastnění, podmínky vyvlastnění, principy náhrady, vyvlastňovací řízení, rozhodnutí o vyvlastnění, ale účely vyvlastnění budou nadále upravovány v jednotlivých zákonech. </w:t>
      </w:r>
    </w:p>
    <w:p w:rsidR="00E2521A" w:rsidRDefault="00E2521A">
      <w:pPr>
        <w:spacing w:before="0" w:after="0"/>
        <w:jc w:val="left"/>
      </w:pPr>
    </w:p>
    <w:p w:rsidR="00162759" w:rsidRPr="00795817" w:rsidRDefault="000865D6" w:rsidP="00C660A8">
      <w:pPr>
        <w:pStyle w:val="Nadpis1"/>
        <w:numPr>
          <w:ilvl w:val="0"/>
          <w:numId w:val="16"/>
        </w:numPr>
        <w:rPr>
          <w:rFonts w:eastAsia="Calibri"/>
        </w:rPr>
      </w:pPr>
      <w:bookmarkStart w:id="172" w:name="_Toc256000025"/>
      <w:r w:rsidRPr="00795817">
        <w:rPr>
          <w:rFonts w:eastAsia="Calibri"/>
        </w:rPr>
        <w:t>Přezkum účinnosti regulace</w:t>
      </w:r>
      <w:bookmarkEnd w:id="172"/>
      <w:bookmarkEnd w:id="171"/>
      <w:r w:rsidRPr="00795817">
        <w:rPr>
          <w:rFonts w:eastAsia="Calibri"/>
        </w:rPr>
        <w:t xml:space="preserve"> </w:t>
      </w:r>
    </w:p>
    <w:p w:rsidR="00E77D89" w:rsidRPr="00520AD9" w:rsidRDefault="000865D6" w:rsidP="00520AD9">
      <w:pPr>
        <w:pStyle w:val="Normln-tun"/>
      </w:pPr>
      <w:r w:rsidRPr="00520AD9">
        <w:t>Následující tabulky obsahují možné indikátory, které by bylo vhodné v rámci přezkumu účinnosti sledovat:</w:t>
      </w:r>
    </w:p>
    <w:p w:rsidR="00E85709" w:rsidRPr="00795817" w:rsidRDefault="000865D6" w:rsidP="00C72462">
      <w:pPr>
        <w:pStyle w:val="Titulek"/>
      </w:pPr>
      <w:r w:rsidRPr="00795817">
        <w:t xml:space="preserve">Tabulka </w:t>
      </w:r>
      <w:r w:rsidR="00377FCD" w:rsidRPr="00795817">
        <w:rPr>
          <w:noProof/>
        </w:rPr>
        <w:fldChar w:fldCharType="begin"/>
      </w:r>
      <w:r w:rsidR="00377FCD" w:rsidRPr="00795817">
        <w:rPr>
          <w:noProof/>
        </w:rPr>
        <w:instrText xml:space="preserve"> SEQ Tabulka \* ARABIC </w:instrText>
      </w:r>
      <w:r w:rsidR="00377FCD" w:rsidRPr="00795817">
        <w:rPr>
          <w:noProof/>
        </w:rPr>
        <w:fldChar w:fldCharType="separate"/>
      </w:r>
      <w:r w:rsidR="00377FCD" w:rsidRPr="00795817">
        <w:rPr>
          <w:noProof/>
        </w:rPr>
        <w:t>31</w:t>
      </w:r>
      <w:r w:rsidR="00377FCD" w:rsidRPr="00795817">
        <w:rPr>
          <w:noProof/>
        </w:rPr>
        <w:fldChar w:fldCharType="end"/>
      </w:r>
      <w:r w:rsidRPr="00795817">
        <w:t xml:space="preserve">: Indikátory pro srovnání s cíli a výkonností jiných </w:t>
      </w:r>
      <w:r w:rsidRPr="00795817">
        <w:t xml:space="preserve">zemí </w:t>
      </w:r>
    </w:p>
    <w:tbl>
      <w:tblPr>
        <w:tblStyle w:val="Tabulkaseznamu21"/>
        <w:tblW w:w="7371" w:type="dxa"/>
        <w:tblInd w:w="108" w:type="dxa"/>
        <w:tblLook w:val="04A0" w:firstRow="1" w:lastRow="0" w:firstColumn="1" w:lastColumn="0" w:noHBand="0" w:noVBand="1"/>
      </w:tblPr>
      <w:tblGrid>
        <w:gridCol w:w="7371"/>
      </w:tblGrid>
      <w:tr w:rsidR="00FC72A1" w:rsidTr="00FC72A1">
        <w:trPr>
          <w:cnfStyle w:val="100000000000" w:firstRow="1" w:lastRow="0"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1" w:type="dxa"/>
            <w:vAlign w:val="center"/>
          </w:tcPr>
          <w:p w:rsidR="00CF06BB" w:rsidRPr="00795817" w:rsidRDefault="000865D6" w:rsidP="003E2E49">
            <w:pPr>
              <w:pStyle w:val="Normln-tun"/>
              <w:spacing w:before="0" w:after="0"/>
              <w:rPr>
                <w:rFonts w:asciiTheme="minorHAnsi" w:hAnsiTheme="minorHAnsi" w:cstheme="minorHAnsi"/>
                <w:sz w:val="18"/>
                <w:szCs w:val="18"/>
              </w:rPr>
            </w:pPr>
            <w:r w:rsidRPr="00795817">
              <w:rPr>
                <w:rFonts w:asciiTheme="minorHAnsi" w:hAnsiTheme="minorHAnsi" w:cstheme="minorHAnsi"/>
                <w:sz w:val="18"/>
                <w:szCs w:val="18"/>
              </w:rPr>
              <w:t>Indikátor</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1" w:type="dxa"/>
            <w:vAlign w:val="center"/>
          </w:tcPr>
          <w:p w:rsidR="00CF06BB" w:rsidRPr="00795817" w:rsidRDefault="000865D6">
            <w:pPr>
              <w:pStyle w:val="Normln-tun"/>
              <w:numPr>
                <w:ilvl w:val="0"/>
                <w:numId w:val="75"/>
              </w:numPr>
              <w:spacing w:before="0" w:after="0"/>
              <w:rPr>
                <w:rFonts w:asciiTheme="minorHAnsi" w:hAnsiTheme="minorHAnsi" w:cstheme="minorHAnsi"/>
                <w:sz w:val="18"/>
                <w:szCs w:val="18"/>
              </w:rPr>
            </w:pPr>
            <w:r w:rsidRPr="00795817">
              <w:rPr>
                <w:rFonts w:asciiTheme="minorHAnsi" w:hAnsiTheme="minorHAnsi" w:cstheme="minorHAnsi"/>
                <w:sz w:val="18"/>
                <w:szCs w:val="18"/>
              </w:rPr>
              <w:t>délka vyvlastňovacího řízení;</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7371" w:type="dxa"/>
            <w:vAlign w:val="center"/>
          </w:tcPr>
          <w:p w:rsidR="00CF06BB" w:rsidRPr="00795817" w:rsidRDefault="000865D6">
            <w:pPr>
              <w:pStyle w:val="Normln-tun"/>
              <w:numPr>
                <w:ilvl w:val="0"/>
                <w:numId w:val="75"/>
              </w:numPr>
              <w:spacing w:before="0" w:after="0"/>
              <w:rPr>
                <w:rFonts w:asciiTheme="minorHAnsi" w:hAnsiTheme="minorHAnsi" w:cstheme="minorHAnsi"/>
                <w:sz w:val="18"/>
                <w:szCs w:val="18"/>
              </w:rPr>
            </w:pPr>
            <w:r w:rsidRPr="00795817">
              <w:rPr>
                <w:rFonts w:asciiTheme="minorHAnsi" w:hAnsiTheme="minorHAnsi" w:cstheme="minorHAnsi"/>
                <w:sz w:val="18"/>
                <w:szCs w:val="18"/>
              </w:rPr>
              <w:t xml:space="preserve">věcná náplň problémů, které musí být v rámci vyvlastňovacího řízení řešeny;  </w:t>
            </w:r>
          </w:p>
        </w:tc>
      </w:tr>
      <w:tr w:rsidR="00FC72A1" w:rsidTr="00FC72A1">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371" w:type="dxa"/>
            <w:vAlign w:val="center"/>
          </w:tcPr>
          <w:p w:rsidR="00CF06BB" w:rsidRPr="00795817" w:rsidRDefault="000865D6">
            <w:pPr>
              <w:pStyle w:val="Normln-tun"/>
              <w:numPr>
                <w:ilvl w:val="0"/>
                <w:numId w:val="75"/>
              </w:numPr>
              <w:spacing w:before="0" w:after="0"/>
              <w:rPr>
                <w:rFonts w:asciiTheme="minorHAnsi" w:hAnsiTheme="minorHAnsi" w:cstheme="minorHAnsi"/>
                <w:sz w:val="18"/>
                <w:szCs w:val="18"/>
              </w:rPr>
            </w:pPr>
            <w:r w:rsidRPr="00795817">
              <w:rPr>
                <w:rFonts w:asciiTheme="minorHAnsi" w:hAnsiTheme="minorHAnsi" w:cstheme="minorHAnsi"/>
                <w:sz w:val="18"/>
                <w:szCs w:val="18"/>
              </w:rPr>
              <w:t>počet úspěšných odvolání a délku odvolacího řízení;</w:t>
            </w:r>
          </w:p>
        </w:tc>
      </w:tr>
      <w:tr w:rsidR="00FC72A1" w:rsidTr="00FC72A1">
        <w:trPr>
          <w:trHeight w:val="397"/>
        </w:trPr>
        <w:tc>
          <w:tcPr>
            <w:cnfStyle w:val="001000000000" w:firstRow="0" w:lastRow="0" w:firstColumn="1" w:lastColumn="0" w:oddVBand="0" w:evenVBand="0" w:oddHBand="0" w:evenHBand="0" w:firstRowFirstColumn="0" w:firstRowLastColumn="0" w:lastRowFirstColumn="0" w:lastRowLastColumn="0"/>
            <w:tcW w:w="7371" w:type="dxa"/>
            <w:vAlign w:val="center"/>
          </w:tcPr>
          <w:p w:rsidR="00CF06BB" w:rsidRPr="00795817" w:rsidRDefault="000865D6">
            <w:pPr>
              <w:pStyle w:val="Normln-tun"/>
              <w:numPr>
                <w:ilvl w:val="0"/>
                <w:numId w:val="75"/>
              </w:numPr>
              <w:spacing w:before="0" w:after="0"/>
              <w:rPr>
                <w:rFonts w:asciiTheme="minorHAnsi" w:hAnsiTheme="minorHAnsi" w:cstheme="minorHAnsi"/>
                <w:sz w:val="18"/>
                <w:szCs w:val="18"/>
              </w:rPr>
            </w:pPr>
            <w:r w:rsidRPr="00795817">
              <w:rPr>
                <w:rFonts w:asciiTheme="minorHAnsi" w:hAnsiTheme="minorHAnsi" w:cstheme="minorHAnsi"/>
                <w:sz w:val="18"/>
                <w:szCs w:val="18"/>
              </w:rPr>
              <w:t>počet a délka soudních řízení</w:t>
            </w:r>
          </w:p>
        </w:tc>
      </w:tr>
    </w:tbl>
    <w:p w:rsidR="00803F49" w:rsidRPr="00520AD9" w:rsidRDefault="000865D6" w:rsidP="00520AD9">
      <w:pPr>
        <w:pStyle w:val="Normln-tun"/>
      </w:pPr>
      <w:bookmarkStart w:id="173" w:name="_Toc451517664"/>
      <w:bookmarkStart w:id="174" w:name="_Toc451517806"/>
      <w:bookmarkStart w:id="175" w:name="_Toc451518092"/>
      <w:bookmarkStart w:id="176" w:name="_Toc451518238"/>
      <w:bookmarkStart w:id="177" w:name="_Toc451518423"/>
      <w:bookmarkStart w:id="178" w:name="_Toc451518583"/>
      <w:bookmarkStart w:id="179" w:name="_Toc451518292"/>
      <w:bookmarkStart w:id="180" w:name="_Toc451518797"/>
      <w:bookmarkStart w:id="181" w:name="_Toc451518957"/>
      <w:bookmarkStart w:id="182" w:name="_Toc451519117"/>
      <w:bookmarkStart w:id="183" w:name="_Toc451519814"/>
      <w:bookmarkStart w:id="184" w:name="_Toc451520042"/>
      <w:bookmarkStart w:id="185" w:name="_Toc451520484"/>
      <w:bookmarkStart w:id="186" w:name="_Toc451520644"/>
      <w:bookmarkStart w:id="187" w:name="_Toc451520069"/>
      <w:bookmarkStart w:id="188" w:name="_Toc451520784"/>
      <w:bookmarkStart w:id="189" w:name="_Toc451520436"/>
      <w:bookmarkStart w:id="190" w:name="_Toc451521238"/>
      <w:bookmarkStart w:id="191" w:name="_Toc451521397"/>
      <w:bookmarkStart w:id="192" w:name="_Toc451519384"/>
      <w:bookmarkStart w:id="193" w:name="_Toc451521532"/>
      <w:bookmarkStart w:id="194" w:name="_Toc451521694"/>
      <w:bookmarkStart w:id="195" w:name="_Toc451521877"/>
      <w:bookmarkStart w:id="196" w:name="_Toc451521453"/>
      <w:bookmarkStart w:id="197" w:name="_Toc451522175"/>
      <w:bookmarkStart w:id="198" w:name="_Toc451522924"/>
      <w:bookmarkStart w:id="199" w:name="_Toc451523670"/>
      <w:bookmarkStart w:id="200" w:name="_Toc451523418"/>
      <w:bookmarkStart w:id="201" w:name="_Toc451522622"/>
      <w:bookmarkStart w:id="202" w:name="_Toc451522856"/>
      <w:bookmarkStart w:id="203" w:name="_Toc451523702"/>
      <w:bookmarkStart w:id="204" w:name="_Toc451524427"/>
      <w:bookmarkStart w:id="205" w:name="_Toc451524235"/>
      <w:bookmarkStart w:id="206" w:name="_Toc451524611"/>
      <w:bookmarkStart w:id="207" w:name="_Toc451524795"/>
      <w:bookmarkStart w:id="208" w:name="_Toc451525267"/>
      <w:bookmarkStart w:id="209" w:name="_Toc451525002"/>
      <w:bookmarkStart w:id="210" w:name="_Toc451525451"/>
      <w:bookmarkStart w:id="211" w:name="_Toc451525332"/>
      <w:bookmarkStart w:id="212" w:name="_Toc451525803"/>
      <w:bookmarkStart w:id="213" w:name="_Toc451525987"/>
      <w:bookmarkStart w:id="214" w:name="_Toc451526158"/>
      <w:bookmarkStart w:id="215" w:name="_Toc451524327"/>
      <w:bookmarkStart w:id="216" w:name="_Toc451526338"/>
      <w:bookmarkStart w:id="217" w:name="_Toc451526518"/>
      <w:bookmarkStart w:id="218" w:name="_Toc451525608"/>
      <w:bookmarkStart w:id="219" w:name="_Toc451526698"/>
      <w:bookmarkStart w:id="220" w:name="_Toc451526878"/>
      <w:bookmarkStart w:id="221" w:name="_Toc451527058"/>
      <w:bookmarkStart w:id="222" w:name="_Toc451525541"/>
      <w:bookmarkStart w:id="223" w:name="_Toc451526037"/>
      <w:bookmarkStart w:id="224" w:name="_Toc450745754"/>
      <w:bookmarkStart w:id="225" w:name="_Toc450746796"/>
      <w:bookmarkStart w:id="226" w:name="_Toc450746896"/>
      <w:bookmarkStart w:id="227" w:name="_Toc450747926"/>
      <w:bookmarkStart w:id="228" w:name="_Toc450748021"/>
      <w:bookmarkStart w:id="229" w:name="_Toc450748116"/>
      <w:bookmarkStart w:id="230" w:name="_Toc450752463"/>
      <w:bookmarkStart w:id="231" w:name="_Toc450756157"/>
      <w:bookmarkStart w:id="232" w:name="_Toc450756348"/>
      <w:bookmarkStart w:id="233" w:name="_Toc450756711"/>
      <w:bookmarkStart w:id="234" w:name="_Toc450756807"/>
      <w:bookmarkStart w:id="235" w:name="_Toc450757688"/>
      <w:bookmarkStart w:id="236" w:name="_Toc450757900"/>
      <w:bookmarkStart w:id="237" w:name="_Toc450759323"/>
      <w:bookmarkStart w:id="238" w:name="_Toc450835055"/>
      <w:bookmarkStart w:id="239" w:name="_Toc450824357"/>
      <w:bookmarkStart w:id="240" w:name="_Toc450831068"/>
      <w:bookmarkStart w:id="241" w:name="_Toc450835192"/>
      <w:bookmarkStart w:id="242" w:name="_Toc450835664"/>
      <w:bookmarkStart w:id="243" w:name="_Toc450837673"/>
      <w:bookmarkStart w:id="244" w:name="_Toc450838783"/>
      <w:bookmarkStart w:id="245" w:name="_Toc450840436"/>
      <w:bookmarkStart w:id="246" w:name="_Toc450842382"/>
      <w:bookmarkStart w:id="247" w:name="_Toc450842757"/>
      <w:bookmarkStart w:id="248" w:name="_Toc450843498"/>
      <w:bookmarkStart w:id="249" w:name="_Toc450843546"/>
      <w:bookmarkStart w:id="250" w:name="_Toc450844023"/>
      <w:bookmarkStart w:id="251" w:name="_Toc450844320"/>
      <w:bookmarkStart w:id="252" w:name="_Toc450844461"/>
      <w:bookmarkStart w:id="253" w:name="_Toc450844602"/>
      <w:bookmarkStart w:id="254" w:name="_Toc450844743"/>
      <w:bookmarkStart w:id="255" w:name="_Toc450845535"/>
      <w:bookmarkStart w:id="256" w:name="_Toc450846017"/>
      <w:bookmarkStart w:id="257" w:name="_Toc450846269"/>
      <w:bookmarkStart w:id="258" w:name="_Toc450846412"/>
      <w:bookmarkStart w:id="259" w:name="_Toc450846555"/>
      <w:bookmarkStart w:id="260" w:name="_Toc450846698"/>
      <w:bookmarkStart w:id="261" w:name="_Toc450846841"/>
      <w:bookmarkStart w:id="262" w:name="_Toc450847092"/>
      <w:bookmarkStart w:id="263" w:name="_Toc450847211"/>
      <w:bookmarkStart w:id="264" w:name="_Toc450847751"/>
      <w:bookmarkStart w:id="265" w:name="_Toc450848527"/>
      <w:bookmarkStart w:id="266" w:name="_Toc450850024"/>
      <w:bookmarkStart w:id="267" w:name="_Toc450851532"/>
      <w:bookmarkStart w:id="268" w:name="_Toc450893159"/>
      <w:bookmarkStart w:id="269" w:name="_Toc450893303"/>
      <w:bookmarkStart w:id="270" w:name="_Toc450893446"/>
      <w:bookmarkStart w:id="271" w:name="_Toc450893589"/>
      <w:bookmarkStart w:id="272" w:name="_Toc450893732"/>
      <w:bookmarkStart w:id="273" w:name="_Toc450897045"/>
      <w:bookmarkStart w:id="274" w:name="_Toc450898672"/>
      <w:bookmarkStart w:id="275" w:name="_Toc450899125"/>
      <w:bookmarkStart w:id="276" w:name="_Toc450899379"/>
      <w:bookmarkStart w:id="277" w:name="_Toc450899524"/>
      <w:bookmarkStart w:id="278" w:name="_Toc450899748"/>
      <w:bookmarkStart w:id="279" w:name="_Toc450899991"/>
      <w:bookmarkStart w:id="280" w:name="_Toc450900136"/>
      <w:bookmarkStart w:id="281" w:name="_Toc450900652"/>
      <w:bookmarkStart w:id="282" w:name="_Toc450900797"/>
      <w:bookmarkStart w:id="283" w:name="_Toc450901942"/>
      <w:bookmarkStart w:id="284" w:name="_Toc450902087"/>
      <w:bookmarkStart w:id="285" w:name="_Toc450902341"/>
      <w:bookmarkStart w:id="286" w:name="_Toc450902705"/>
      <w:bookmarkStart w:id="287" w:name="_Toc450902850"/>
      <w:bookmarkStart w:id="288" w:name="_Toc450903431"/>
      <w:bookmarkStart w:id="289" w:name="_Toc450903576"/>
      <w:bookmarkStart w:id="290" w:name="_Toc450903721"/>
      <w:bookmarkStart w:id="291" w:name="_Toc450904096"/>
      <w:bookmarkStart w:id="292" w:name="_Toc450904704"/>
      <w:bookmarkStart w:id="293" w:name="_Toc450905112"/>
      <w:bookmarkStart w:id="294" w:name="_Toc450905787"/>
      <w:bookmarkStart w:id="295" w:name="_Toc450906328"/>
      <w:bookmarkStart w:id="296" w:name="_Toc450906578"/>
      <w:bookmarkStart w:id="297" w:name="_Toc450906833"/>
      <w:bookmarkStart w:id="298" w:name="_Toc450908462"/>
      <w:bookmarkStart w:id="299" w:name="_Toc450908750"/>
      <w:bookmarkStart w:id="300" w:name="_Toc450909951"/>
      <w:bookmarkStart w:id="301" w:name="_Toc450910206"/>
      <w:bookmarkStart w:id="302" w:name="_Toc450910422"/>
      <w:bookmarkStart w:id="303" w:name="_Toc450912423"/>
      <w:bookmarkStart w:id="304" w:name="_Toc450912787"/>
      <w:bookmarkStart w:id="305" w:name="_Toc450913088"/>
      <w:bookmarkStart w:id="306" w:name="_Toc450913368"/>
      <w:bookmarkStart w:id="307" w:name="_Toc450913514"/>
      <w:bookmarkStart w:id="308" w:name="_Toc450914132"/>
      <w:bookmarkStart w:id="309" w:name="_Toc450914524"/>
      <w:bookmarkStart w:id="310" w:name="_Toc450915293"/>
      <w:bookmarkStart w:id="311" w:name="_Toc450915440"/>
      <w:bookmarkStart w:id="312" w:name="_Toc450915790"/>
      <w:bookmarkStart w:id="313" w:name="_Toc450916047"/>
      <w:bookmarkStart w:id="314" w:name="_Toc450907798"/>
      <w:bookmarkStart w:id="315" w:name="_Toc450916084"/>
      <w:bookmarkStart w:id="316" w:name="_Toc450916231"/>
      <w:bookmarkStart w:id="317" w:name="_Toc450916629"/>
      <w:bookmarkStart w:id="318" w:name="_Toc450916776"/>
      <w:bookmarkStart w:id="319" w:name="_Toc450916923"/>
      <w:bookmarkStart w:id="320" w:name="_Toc450917070"/>
      <w:bookmarkStart w:id="321" w:name="_Toc450917327"/>
      <w:bookmarkStart w:id="322" w:name="_Toc450917694"/>
      <w:bookmarkStart w:id="323" w:name="_Toc450917731"/>
      <w:bookmarkStart w:id="324" w:name="_Toc450917878"/>
      <w:bookmarkStart w:id="325" w:name="_Toc450918025"/>
      <w:bookmarkStart w:id="326" w:name="_Toc450918172"/>
      <w:bookmarkStart w:id="327" w:name="_Toc450918319"/>
      <w:bookmarkStart w:id="328" w:name="_Toc450918466"/>
      <w:bookmarkStart w:id="329" w:name="_Toc450918613"/>
      <w:bookmarkStart w:id="330" w:name="_Toc450918771"/>
      <w:bookmarkStart w:id="331" w:name="_Toc450918918"/>
      <w:bookmarkStart w:id="332" w:name="_Toc450919065"/>
      <w:bookmarkStart w:id="333" w:name="_Toc450919113"/>
      <w:bookmarkStart w:id="334" w:name="_Toc450919260"/>
      <w:bookmarkStart w:id="335" w:name="_Toc450919310"/>
      <w:bookmarkStart w:id="336" w:name="_Toc450919457"/>
      <w:bookmarkStart w:id="337" w:name="_Toc450919554"/>
      <w:bookmarkStart w:id="338" w:name="_Toc450919701"/>
      <w:bookmarkStart w:id="339" w:name="_Toc450919848"/>
      <w:bookmarkStart w:id="340" w:name="_Toc450919995"/>
      <w:bookmarkStart w:id="341" w:name="_Toc450920101"/>
      <w:bookmarkStart w:id="342" w:name="_Toc450920358"/>
      <w:bookmarkStart w:id="343" w:name="_Toc450921015"/>
      <w:bookmarkStart w:id="344" w:name="_Toc450921163"/>
      <w:bookmarkStart w:id="345" w:name="_Toc450921310"/>
      <w:bookmarkStart w:id="346" w:name="_Toc450921457"/>
      <w:bookmarkStart w:id="347" w:name="_Toc450921678"/>
      <w:bookmarkStart w:id="348" w:name="_Toc450922126"/>
      <w:bookmarkStart w:id="349" w:name="_Toc450922200"/>
      <w:bookmarkStart w:id="350" w:name="_Toc450922347"/>
      <w:bookmarkStart w:id="351" w:name="_Toc450922623"/>
      <w:bookmarkStart w:id="352" w:name="_Toc450922827"/>
      <w:bookmarkStart w:id="353" w:name="_Toc450922974"/>
      <w:bookmarkStart w:id="354" w:name="_Toc450923121"/>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520AD9">
        <w:t>Přezkum účinnosti novelizovaných ustanovení b</w:t>
      </w:r>
      <w:r w:rsidRPr="00520AD9">
        <w:t>ude v působnosti Ministerstva pro místní rozvoj v součinnosti s krajskými úřady. Z hlediska vyhodnocení nákladů a přínosů se jako lhůta vhodná k získání podkladů pro hodnocení jeví doba 3 let od nabytí účinnosti novely zákona.</w:t>
      </w:r>
    </w:p>
    <w:p w:rsidR="00A6072E" w:rsidRPr="00A6072E" w:rsidRDefault="00A6072E" w:rsidP="00E245E3">
      <w:pPr>
        <w:pStyle w:val="Normln-tun"/>
      </w:pPr>
    </w:p>
    <w:p w:rsidR="00162759" w:rsidRPr="00795817" w:rsidRDefault="000865D6" w:rsidP="00C660A8">
      <w:pPr>
        <w:pStyle w:val="Nadpis1"/>
        <w:numPr>
          <w:ilvl w:val="0"/>
          <w:numId w:val="16"/>
        </w:numPr>
        <w:rPr>
          <w:rFonts w:eastAsia="Calibri"/>
        </w:rPr>
      </w:pPr>
      <w:bookmarkStart w:id="355" w:name="_Toc256000026"/>
      <w:bookmarkStart w:id="356" w:name="_Toc5007622"/>
      <w:r w:rsidRPr="00795817">
        <w:rPr>
          <w:rFonts w:eastAsia="Calibri"/>
        </w:rPr>
        <w:t>Konzultace a zdroje dat</w:t>
      </w:r>
      <w:bookmarkEnd w:id="355"/>
      <w:bookmarkEnd w:id="356"/>
      <w:r w:rsidRPr="00795817">
        <w:rPr>
          <w:rFonts w:eastAsia="Calibri"/>
        </w:rPr>
        <w:t xml:space="preserve"> </w:t>
      </w:r>
    </w:p>
    <w:p w:rsidR="00397458" w:rsidRPr="00520AD9" w:rsidRDefault="000865D6" w:rsidP="00520AD9">
      <w:pPr>
        <w:pStyle w:val="Normln-tun"/>
      </w:pPr>
      <w:r w:rsidRPr="00520AD9">
        <w:t xml:space="preserve">Řešená problematika byla projednávána v rámci pracovních skupin k návrhu </w:t>
      </w:r>
      <w:r w:rsidR="00803F49" w:rsidRPr="00520AD9">
        <w:t>V</w:t>
      </w:r>
      <w:r w:rsidR="00263002" w:rsidRPr="00520AD9">
        <w:t>yvl</w:t>
      </w:r>
      <w:r w:rsidR="00803F49" w:rsidRPr="00520AD9">
        <w:t>Z</w:t>
      </w:r>
      <w:r w:rsidRPr="00520AD9">
        <w:t xml:space="preserve">. V rámci uvedených pracovních skupin bylo spolupracováno a byla vyslechnuta stanoviska zástupců dotčených odvětví, relevantních veřejných subjektů a zástupců státní správy. </w:t>
      </w:r>
    </w:p>
    <w:p w:rsidR="00397458" w:rsidRPr="00520AD9" w:rsidRDefault="000865D6" w:rsidP="00520AD9">
      <w:pPr>
        <w:pStyle w:val="Normln-tun"/>
      </w:pPr>
      <w:r w:rsidRPr="00520AD9">
        <w:t>V r</w:t>
      </w:r>
      <w:r w:rsidRPr="00520AD9">
        <w:t xml:space="preserve">ámci samotného zpracování RIA k návrhu </w:t>
      </w:r>
      <w:r w:rsidR="007513A1" w:rsidRPr="00520AD9">
        <w:t>b</w:t>
      </w:r>
      <w:r w:rsidR="00263002" w:rsidRPr="00520AD9">
        <w:t>y</w:t>
      </w:r>
      <w:r w:rsidR="005C6EE8" w:rsidRPr="00520AD9">
        <w:t>l</w:t>
      </w:r>
      <w:r w:rsidR="00263002" w:rsidRPr="00520AD9">
        <w:t>i</w:t>
      </w:r>
      <w:r w:rsidRPr="00520AD9">
        <w:t xml:space="preserve"> osloveni zástupci následujících dotčených stran:</w:t>
      </w:r>
    </w:p>
    <w:p w:rsidR="00803F49" w:rsidRPr="00795817" w:rsidRDefault="000865D6">
      <w:pPr>
        <w:pStyle w:val="Odstavecseseznamem"/>
        <w:widowControl w:val="0"/>
        <w:numPr>
          <w:ilvl w:val="0"/>
          <w:numId w:val="72"/>
        </w:numPr>
        <w:ind w:hanging="357"/>
      </w:pPr>
      <w:r w:rsidRPr="00795817">
        <w:t>MPO</w:t>
      </w:r>
    </w:p>
    <w:p w:rsidR="00803F49" w:rsidRPr="00795817" w:rsidRDefault="000865D6">
      <w:pPr>
        <w:pStyle w:val="Odstavecseseznamem"/>
        <w:widowControl w:val="0"/>
        <w:numPr>
          <w:ilvl w:val="0"/>
          <w:numId w:val="72"/>
        </w:numPr>
        <w:ind w:hanging="357"/>
      </w:pPr>
      <w:r w:rsidRPr="00795817">
        <w:t>MZe</w:t>
      </w:r>
    </w:p>
    <w:p w:rsidR="00803F49" w:rsidRPr="00795817" w:rsidRDefault="000865D6">
      <w:pPr>
        <w:pStyle w:val="Odstavecseseznamem"/>
        <w:widowControl w:val="0"/>
        <w:numPr>
          <w:ilvl w:val="0"/>
          <w:numId w:val="72"/>
        </w:numPr>
        <w:ind w:hanging="357"/>
      </w:pPr>
      <w:r w:rsidRPr="00795817">
        <w:lastRenderedPageBreak/>
        <w:t>MD</w:t>
      </w:r>
    </w:p>
    <w:p w:rsidR="00803F49" w:rsidRPr="00795817" w:rsidRDefault="000865D6">
      <w:pPr>
        <w:pStyle w:val="Odstavecseseznamem"/>
        <w:widowControl w:val="0"/>
        <w:numPr>
          <w:ilvl w:val="0"/>
          <w:numId w:val="72"/>
        </w:numPr>
        <w:ind w:hanging="357"/>
      </w:pPr>
      <w:r w:rsidRPr="00795817">
        <w:t>MŽP</w:t>
      </w:r>
    </w:p>
    <w:p w:rsidR="00803F49" w:rsidRPr="00795817" w:rsidRDefault="000865D6">
      <w:pPr>
        <w:pStyle w:val="Odstavecseseznamem"/>
        <w:widowControl w:val="0"/>
        <w:numPr>
          <w:ilvl w:val="0"/>
          <w:numId w:val="72"/>
        </w:numPr>
        <w:ind w:hanging="357"/>
      </w:pPr>
      <w:r w:rsidRPr="00795817">
        <w:t>ŘSD</w:t>
      </w:r>
    </w:p>
    <w:p w:rsidR="00803F49" w:rsidRPr="00795817" w:rsidRDefault="000865D6">
      <w:pPr>
        <w:pStyle w:val="Odstavecseseznamem"/>
        <w:widowControl w:val="0"/>
        <w:numPr>
          <w:ilvl w:val="0"/>
          <w:numId w:val="72"/>
        </w:numPr>
        <w:ind w:hanging="357"/>
      </w:pPr>
      <w:r w:rsidRPr="00795817">
        <w:t>SŽ</w:t>
      </w:r>
    </w:p>
    <w:p w:rsidR="0068460E" w:rsidRPr="00795817" w:rsidRDefault="000865D6">
      <w:pPr>
        <w:pStyle w:val="Odstavecseseznamem"/>
        <w:widowControl w:val="0"/>
        <w:numPr>
          <w:ilvl w:val="0"/>
          <w:numId w:val="72"/>
        </w:numPr>
        <w:ind w:hanging="357"/>
      </w:pPr>
      <w:r w:rsidRPr="00795817">
        <w:t>Další vlastníci technické infrastruktury, příp. zastupující asociace</w:t>
      </w:r>
    </w:p>
    <w:p w:rsidR="00803F49" w:rsidRPr="00795817" w:rsidRDefault="000865D6">
      <w:pPr>
        <w:pStyle w:val="Odstavecseseznamem"/>
        <w:widowControl w:val="0"/>
        <w:numPr>
          <w:ilvl w:val="1"/>
          <w:numId w:val="72"/>
        </w:numPr>
        <w:ind w:hanging="357"/>
      </w:pPr>
      <w:r w:rsidRPr="00795817">
        <w:t>ČEPS a.s</w:t>
      </w:r>
    </w:p>
    <w:p w:rsidR="0068460E" w:rsidRPr="00795817" w:rsidRDefault="000865D6">
      <w:pPr>
        <w:pStyle w:val="Odstavecseseznamem"/>
        <w:widowControl w:val="0"/>
        <w:numPr>
          <w:ilvl w:val="1"/>
          <w:numId w:val="72"/>
        </w:numPr>
        <w:ind w:hanging="357"/>
      </w:pPr>
      <w:r w:rsidRPr="00795817">
        <w:t>NET4GAS, s.r.o.</w:t>
      </w:r>
    </w:p>
    <w:p w:rsidR="0068460E" w:rsidRPr="00795817" w:rsidRDefault="000865D6">
      <w:pPr>
        <w:pStyle w:val="Odstavecseseznamem"/>
        <w:widowControl w:val="0"/>
        <w:numPr>
          <w:ilvl w:val="1"/>
          <w:numId w:val="72"/>
        </w:numPr>
        <w:ind w:hanging="357"/>
      </w:pPr>
      <w:r w:rsidRPr="00795817">
        <w:t>CETIN</w:t>
      </w:r>
    </w:p>
    <w:p w:rsidR="00803F49" w:rsidRPr="00795817" w:rsidRDefault="000865D6">
      <w:pPr>
        <w:pStyle w:val="Odstavecseseznamem"/>
        <w:widowControl w:val="0"/>
        <w:numPr>
          <w:ilvl w:val="1"/>
          <w:numId w:val="72"/>
        </w:numPr>
        <w:ind w:hanging="357"/>
      </w:pPr>
      <w:r w:rsidRPr="00795817">
        <w:t>ČEZ a.s.</w:t>
      </w:r>
    </w:p>
    <w:p w:rsidR="00803F49" w:rsidRPr="00795817" w:rsidRDefault="000865D6">
      <w:pPr>
        <w:pStyle w:val="Odstavecseseznamem"/>
        <w:widowControl w:val="0"/>
        <w:numPr>
          <w:ilvl w:val="1"/>
          <w:numId w:val="72"/>
        </w:numPr>
        <w:ind w:hanging="357"/>
      </w:pPr>
      <w:r w:rsidRPr="00795817">
        <w:t xml:space="preserve">EON Česká republika, s.r.o. </w:t>
      </w:r>
    </w:p>
    <w:p w:rsidR="00803F49" w:rsidRPr="00795817" w:rsidRDefault="000865D6">
      <w:pPr>
        <w:pStyle w:val="Odstavecseseznamem"/>
        <w:widowControl w:val="0"/>
        <w:numPr>
          <w:ilvl w:val="1"/>
          <w:numId w:val="72"/>
        </w:numPr>
        <w:ind w:hanging="357"/>
      </w:pPr>
      <w:r w:rsidRPr="00795817">
        <w:t>ICT</w:t>
      </w:r>
      <w:r w:rsidRPr="00795817">
        <w:t xml:space="preserve"> UNIE z.s.</w:t>
      </w:r>
    </w:p>
    <w:p w:rsidR="0068460E" w:rsidRPr="00795817" w:rsidRDefault="000865D6">
      <w:pPr>
        <w:pStyle w:val="Odstavecseseznamem"/>
        <w:widowControl w:val="0"/>
        <w:numPr>
          <w:ilvl w:val="1"/>
          <w:numId w:val="72"/>
        </w:numPr>
        <w:ind w:hanging="357"/>
      </w:pPr>
      <w:r w:rsidRPr="00795817">
        <w:t xml:space="preserve">aj. dle výstupu konzultací a příp. doporučení </w:t>
      </w:r>
      <w:r w:rsidR="007513A1" w:rsidRPr="00795817">
        <w:t>konzultovaných stran</w:t>
      </w:r>
    </w:p>
    <w:p w:rsidR="00AA46DA" w:rsidRDefault="000865D6" w:rsidP="00520AD9">
      <w:pPr>
        <w:pStyle w:val="Normln-tun"/>
      </w:pPr>
      <w:r w:rsidRPr="00795817">
        <w:t>Zároveň byly využity komentáře a stanoviska dotčených stran k řešené problematice, výstupy z konferencí či závěry teoretických studií apod.</w:t>
      </w:r>
    </w:p>
    <w:p w:rsidR="00405454" w:rsidRDefault="00405454" w:rsidP="00405454">
      <w:pPr>
        <w:widowControl w:val="0"/>
        <w:spacing w:before="100" w:after="100"/>
      </w:pPr>
    </w:p>
    <w:p w:rsidR="005E5B33" w:rsidRDefault="000865D6" w:rsidP="008A03F7">
      <w:pPr>
        <w:pStyle w:val="Nadpis1"/>
        <w:numPr>
          <w:ilvl w:val="0"/>
          <w:numId w:val="16"/>
        </w:numPr>
        <w:rPr>
          <w:rFonts w:eastAsia="Calibri"/>
        </w:rPr>
      </w:pPr>
      <w:bookmarkStart w:id="357" w:name="_Toc256000027"/>
      <w:bookmarkStart w:id="358" w:name="_Toc413742965"/>
      <w:bookmarkStart w:id="359" w:name="_Toc43729445"/>
      <w:r w:rsidRPr="005E5B33">
        <w:rPr>
          <w:rFonts w:eastAsia="Calibri"/>
        </w:rPr>
        <w:t>Kontakt na zpracovatele RIA</w:t>
      </w:r>
      <w:bookmarkEnd w:id="357"/>
      <w:bookmarkEnd w:id="358"/>
      <w:bookmarkEnd w:id="359"/>
    </w:p>
    <w:p w:rsidR="005E5B33" w:rsidRDefault="005E5B33" w:rsidP="005E5B33">
      <w:pPr>
        <w:pStyle w:val="Normln-tun"/>
      </w:pPr>
    </w:p>
    <w:p w:rsidR="005E5B33" w:rsidRDefault="000865D6" w:rsidP="005E5B33">
      <w:pPr>
        <w:pStyle w:val="Normln-tun"/>
        <w:contextualSpacing/>
      </w:pPr>
      <w:r>
        <w:t>PhDr. Di</w:t>
      </w:r>
      <w:r>
        <w:t>ta Tesárková</w:t>
      </w:r>
    </w:p>
    <w:p w:rsidR="005E5B33" w:rsidRDefault="000865D6" w:rsidP="005E5B33">
      <w:pPr>
        <w:pStyle w:val="Normln-tun"/>
        <w:contextualSpacing/>
      </w:pPr>
      <w:r>
        <w:t>mob: +420 606 657 580</w:t>
      </w:r>
    </w:p>
    <w:p w:rsidR="005E5B33" w:rsidRDefault="000865D6" w:rsidP="005E5B33">
      <w:pPr>
        <w:pStyle w:val="Normln-tun"/>
        <w:contextualSpacing/>
      </w:pPr>
      <w:r>
        <w:t xml:space="preserve">e-mail: </w:t>
      </w:r>
      <w:r w:rsidRPr="005E5B33">
        <w:rPr>
          <w:szCs w:val="20"/>
        </w:rPr>
        <w:t>dita.tesarkova@eeip.cz</w:t>
      </w:r>
    </w:p>
    <w:p w:rsidR="005E5B33" w:rsidRDefault="005E5B33" w:rsidP="005E5B33">
      <w:pPr>
        <w:pStyle w:val="Normln-tun"/>
      </w:pPr>
    </w:p>
    <w:p w:rsidR="005E5B33" w:rsidRDefault="000865D6" w:rsidP="005E5B33">
      <w:pPr>
        <w:pStyle w:val="Normln-tun"/>
        <w:contextualSpacing/>
      </w:pPr>
      <w:r>
        <w:t>Mgr. Daniel Džmuráň</w:t>
      </w:r>
    </w:p>
    <w:p w:rsidR="005E5B33" w:rsidRDefault="000865D6" w:rsidP="005E5B33">
      <w:pPr>
        <w:pStyle w:val="Normln-tun"/>
        <w:contextualSpacing/>
      </w:pPr>
      <w:r>
        <w:t>mob: +420 725 183 482</w:t>
      </w:r>
    </w:p>
    <w:p w:rsidR="005E5B33" w:rsidRDefault="000865D6" w:rsidP="005E5B33">
      <w:pPr>
        <w:pStyle w:val="Normln-tun"/>
        <w:contextualSpacing/>
      </w:pPr>
      <w:r>
        <w:t xml:space="preserve">e-mail: daniel.dzmuran@eeip.cz </w:t>
      </w:r>
    </w:p>
    <w:p w:rsidR="004A4B8E" w:rsidRDefault="004A4B8E" w:rsidP="00B517CD">
      <w:pPr>
        <w:widowControl w:val="0"/>
        <w:spacing w:before="100" w:after="100"/>
      </w:pPr>
    </w:p>
    <w:sectPr w:rsidR="004A4B8E" w:rsidSect="00880E0B">
      <w:pgSz w:w="11906" w:h="16838" w:code="9"/>
      <w:pgMar w:top="1276" w:right="1418" w:bottom="99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0865D6">
      <w:pPr>
        <w:spacing w:before="0" w:after="0"/>
      </w:pPr>
      <w:r>
        <w:separator/>
      </w:r>
    </w:p>
  </w:endnote>
  <w:endnote w:type="continuationSeparator" w:id="0">
    <w:p w:rsidR="00000000" w:rsidRDefault="000865D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altName w:val="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AT*Switzerland">
    <w:altName w:val="Times New Roman"/>
    <w:charset w:val="00"/>
    <w:family w:val="auto"/>
    <w:pitch w:val="variable"/>
    <w:sig w:usb0="00000003" w:usb1="00000000" w:usb2="00000000" w:usb3="00000000" w:csb0="00000001" w:csb1="00000000"/>
  </w:font>
  <w:font w:name="H-Helvetica">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MS Sans Serif">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onsolas">
    <w:panose1 w:val="020B0609020204030204"/>
    <w:charset w:val="EE"/>
    <w:family w:val="modern"/>
    <w:pitch w:val="fixed"/>
    <w:sig w:usb0="E00006FF" w:usb1="0000FCFF" w:usb2="00000001" w:usb3="00000000" w:csb0="0000019F" w:csb1="00000000"/>
  </w:font>
  <w:font w:name="Frutiger Next Pro">
    <w:altName w:val="Arial"/>
    <w:panose1 w:val="00000000000000000000"/>
    <w:charset w:val="00"/>
    <w:family w:val="swiss"/>
    <w:notTrueType/>
    <w:pitch w:val="default"/>
    <w:sig w:usb0="00000003" w:usb1="00000000" w:usb2="00000000" w:usb3="00000000" w:csb0="00000001" w:csb1="00000000"/>
  </w:font>
  <w:font w:name="CMSSB X 10">
    <w:altName w:val="Arial"/>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Segoe UI">
    <w:panose1 w:val="020B0502040204020203"/>
    <w:charset w:val="EE"/>
    <w:family w:val="swiss"/>
    <w:pitch w:val="variable"/>
    <w:sig w:usb0="E4002EFF" w:usb1="C000E47F" w:usb2="00000009" w:usb3="00000000" w:csb0="000001FF" w:csb1="00000000"/>
  </w:font>
  <w:font w:name="Switzerland">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EE"/>
    <w:family w:val="swiss"/>
    <w:pitch w:val="variable"/>
    <w:sig w:usb0="00000687" w:usb1="00000000" w:usb2="00000000" w:usb3="00000000" w:csb0="0000009F" w:csb1="00000000"/>
  </w:font>
  <w:font w:name="Source Sans Pro">
    <w:charset w:val="00"/>
    <w:family w:val="swiss"/>
    <w:pitch w:val="variable"/>
    <w:sig w:usb0="600002F7" w:usb1="02000001" w:usb2="00000000" w:usb3="00000000" w:csb0="0000019F" w:csb1="00000000"/>
  </w:font>
  <w:font w:name="Times">
    <w:panose1 w:val="02020603050405020304"/>
    <w:charset w:val="EE"/>
    <w:family w:val="roman"/>
    <w:pitch w:val="variable"/>
    <w:sig w:usb0="E0002EFF" w:usb1="C000785B" w:usb2="00000009" w:usb3="00000000" w:csb0="000001FF" w:csb1="00000000"/>
  </w:font>
  <w:font w:name="Helvetica">
    <w:panose1 w:val="020B0504020202020204"/>
    <w:charset w:val="EE"/>
    <w:family w:val="swiss"/>
    <w:pitch w:val="variable"/>
    <w:sig w:usb0="E0002EFF" w:usb1="C000785B" w:usb2="00000009" w:usb3="00000000" w:csb0="000001FF" w:csb1="00000000"/>
  </w:font>
  <w:font w:name="Roboto">
    <w:altName w:val="Arial"/>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0091152"/>
      <w:docPartObj>
        <w:docPartGallery w:val="Page Numbers (Bottom of Page)"/>
        <w:docPartUnique/>
      </w:docPartObj>
    </w:sdtPr>
    <w:sdtEndPr/>
    <w:sdtContent>
      <w:p w:rsidR="00482637" w:rsidRDefault="000865D6">
        <w:pPr>
          <w:pStyle w:val="Zpat"/>
          <w:jc w:val="center"/>
        </w:pPr>
        <w:r>
          <w:fldChar w:fldCharType="begin"/>
        </w:r>
        <w:r>
          <w:instrText>PAGE   \* MERGEFORMAT</w:instrText>
        </w:r>
        <w:r>
          <w:fldChar w:fldCharType="separate"/>
        </w:r>
        <w:r>
          <w:rPr>
            <w:noProof/>
          </w:rPr>
          <w:t>3</w:t>
        </w:r>
        <w:r>
          <w:fldChar w:fldCharType="end"/>
        </w:r>
      </w:p>
    </w:sdtContent>
  </w:sdt>
  <w:p w:rsidR="00CB60E4" w:rsidRPr="00D46380" w:rsidRDefault="00CB60E4">
    <w:pPr>
      <w:pStyle w:val="Zpat"/>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7069578"/>
      <w:docPartObj>
        <w:docPartGallery w:val="Page Numbers (Bottom of Page)"/>
        <w:docPartUnique/>
      </w:docPartObj>
    </w:sdtPr>
    <w:sdtEndPr/>
    <w:sdtContent>
      <w:p w:rsidR="00D22D54" w:rsidRDefault="000865D6">
        <w:pPr>
          <w:pStyle w:val="Zpat"/>
          <w:jc w:val="center"/>
        </w:pPr>
        <w:r>
          <w:fldChar w:fldCharType="begin"/>
        </w:r>
        <w:r>
          <w:instrText>PAGE   \* MERGEFORMAT</w:instrText>
        </w:r>
        <w:r>
          <w:fldChar w:fldCharType="separate"/>
        </w:r>
        <w:r>
          <w:rPr>
            <w:noProof/>
          </w:rPr>
          <w:t>88</w:t>
        </w:r>
        <w:r>
          <w:fldChar w:fldCharType="end"/>
        </w:r>
      </w:p>
    </w:sdtContent>
  </w:sdt>
  <w:p w:rsidR="00D22D54" w:rsidRPr="00D46380" w:rsidRDefault="00D22D54">
    <w:pPr>
      <w:pStyle w:val="Zpat"/>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B67" w:rsidRDefault="000865D6" w:rsidP="0030783E">
      <w:r>
        <w:separator/>
      </w:r>
    </w:p>
  </w:footnote>
  <w:footnote w:type="continuationSeparator" w:id="0">
    <w:p w:rsidR="00D85B67" w:rsidRDefault="000865D6" w:rsidP="0030783E">
      <w:r>
        <w:continuationSeparator/>
      </w:r>
    </w:p>
  </w:footnote>
  <w:footnote w:id="1">
    <w:p w:rsidR="00CB60E4" w:rsidRDefault="000865D6">
      <w:pPr>
        <w:pStyle w:val="Textpoznpodarou"/>
      </w:pPr>
      <w:r>
        <w:rPr>
          <w:rStyle w:val="Znakapoznpodarou"/>
        </w:rPr>
        <w:footnoteRef/>
      </w:r>
      <w:r>
        <w:t xml:space="preserve"> </w:t>
      </w:r>
      <w:r w:rsidRPr="00E055AC">
        <w:t>Král</w:t>
      </w:r>
      <w:r>
        <w:t>, M</w:t>
      </w:r>
      <w:r w:rsidRPr="00E055AC">
        <w:t xml:space="preserve">. </w:t>
      </w:r>
      <w:r>
        <w:t xml:space="preserve">(2017). </w:t>
      </w:r>
      <w:r w:rsidRPr="00E055AC">
        <w:t xml:space="preserve">Právní úprava vyvlastnění. Diplomová práce. Vedoucí diplomové práce: JUDr. Petra </w:t>
      </w:r>
      <w:r w:rsidRPr="00E055AC">
        <w:t>Humlíčková, Ph.D. Katedra práva životního prostředí.</w:t>
      </w:r>
      <w:r>
        <w:t xml:space="preserve"> </w:t>
      </w:r>
      <w:r w:rsidRPr="00E055AC">
        <w:t>Právnická fakulta</w:t>
      </w:r>
      <w:r>
        <w:t>.</w:t>
      </w:r>
      <w:r w:rsidRPr="00E055AC">
        <w:t xml:space="preserve"> Univerzita Karlova v Praze </w:t>
      </w:r>
    </w:p>
  </w:footnote>
  <w:footnote w:id="2">
    <w:p w:rsidR="00BF6445" w:rsidRPr="00490404" w:rsidRDefault="000865D6">
      <w:pPr>
        <w:pStyle w:val="Textpoznpodarou"/>
      </w:pPr>
      <w:r w:rsidRPr="00490404">
        <w:rPr>
          <w:rStyle w:val="Znakapoznpodarou"/>
        </w:rPr>
        <w:footnoteRef/>
      </w:r>
      <w:r w:rsidRPr="00490404">
        <w:t xml:space="preserve"> Těchto 25 řízení (2019-2021) bylo vedeno na 8 úřadech, sedm dalších úřadů vedlo 0 řízení.</w:t>
      </w:r>
    </w:p>
  </w:footnote>
  <w:footnote w:id="3">
    <w:p w:rsidR="00525BEB" w:rsidRPr="00490404" w:rsidRDefault="000865D6">
      <w:pPr>
        <w:pStyle w:val="Textpoznpodarou"/>
      </w:pPr>
      <w:r w:rsidRPr="00490404">
        <w:rPr>
          <w:rStyle w:val="Znakapoznpodarou"/>
        </w:rPr>
        <w:footnoteRef/>
      </w:r>
      <w:r w:rsidRPr="00490404">
        <w:t xml:space="preserve"> Soudně napadeno nebylo žádné z rozhodnutí.</w:t>
      </w:r>
    </w:p>
  </w:footnote>
  <w:footnote w:id="4">
    <w:p w:rsidR="00CE1CDE" w:rsidRDefault="000865D6">
      <w:pPr>
        <w:pStyle w:val="Textpoznpodarou"/>
      </w:pPr>
      <w:r w:rsidRPr="00490404">
        <w:rPr>
          <w:rStyle w:val="Znakapoznpodarou"/>
        </w:rPr>
        <w:footnoteRef/>
      </w:r>
      <w:r w:rsidRPr="00490404">
        <w:t xml:space="preserve"> Žalobou bylo napadeno pouze 1 rozhodnutí, s tím, že správní žaloba i kasační stížnost byly zamítnuty, v</w:t>
      </w:r>
      <w:r w:rsidR="00490404" w:rsidRPr="00490404">
        <w:t> době sběru dat</w:t>
      </w:r>
      <w:r w:rsidRPr="00490404">
        <w:t xml:space="preserve"> probíh</w:t>
      </w:r>
      <w:r w:rsidR="00490404" w:rsidRPr="00490404">
        <w:t>alo</w:t>
      </w:r>
      <w:r w:rsidRPr="00490404">
        <w:t xml:space="preserve"> řízení o ústavní stížnosti vyvlastňovaného.</w:t>
      </w:r>
    </w:p>
  </w:footnote>
  <w:footnote w:id="5">
    <w:p w:rsidR="00490404" w:rsidRDefault="000865D6">
      <w:pPr>
        <w:pStyle w:val="Textpoznpodarou"/>
      </w:pPr>
      <w:r>
        <w:rPr>
          <w:rStyle w:val="Znakapoznpodarou"/>
        </w:rPr>
        <w:footnoteRef/>
      </w:r>
      <w:r>
        <w:t xml:space="preserve"> V</w:t>
      </w:r>
      <w:r w:rsidRPr="00490404">
        <w:t xml:space="preserve"> měsíci listopadu 2021 </w:t>
      </w:r>
      <w:r>
        <w:t xml:space="preserve">bylo očekáváno dle předběžného avíza </w:t>
      </w:r>
      <w:r w:rsidRPr="00490404">
        <w:t>dalších cca 30 žádo</w:t>
      </w:r>
      <w:r w:rsidRPr="00490404">
        <w:t>stí o vydání rozhodnutí o vyvlastnění</w:t>
      </w:r>
      <w:r>
        <w:t>.</w:t>
      </w:r>
    </w:p>
  </w:footnote>
  <w:footnote w:id="6">
    <w:p w:rsidR="00103632" w:rsidRDefault="000865D6" w:rsidP="00103632">
      <w:pPr>
        <w:pStyle w:val="Textpoznpodarou"/>
      </w:pPr>
      <w:r>
        <w:rPr>
          <w:rStyle w:val="Znakapoznpodarou"/>
        </w:rPr>
        <w:footnoteRef/>
      </w:r>
      <w:r>
        <w:t xml:space="preserve"> Bílovec, Český Krumlov, Děčín, Hlinsko, Hlučín, Hodonín, Hořice, Hradec Králové, Cheb, Chrudim, Karlovy Vary, Kladno, Litoměřice, Orlová, Prostějov, Přeštice, Rumburk, Tachov, Tišnov, Třinec, Uherský Brod, Veselí n.</w:t>
      </w:r>
      <w:r>
        <w:t xml:space="preserve"> M., Vimperk, Vítkov </w:t>
      </w:r>
    </w:p>
  </w:footnote>
  <w:footnote w:id="7">
    <w:p w:rsidR="00CB60E4" w:rsidRPr="00CE7E60" w:rsidRDefault="000865D6" w:rsidP="00CE7E60">
      <w:pPr>
        <w:pStyle w:val="Textpoznpodarou"/>
        <w:rPr>
          <w:i/>
        </w:rPr>
      </w:pPr>
      <w:r>
        <w:rPr>
          <w:rStyle w:val="Znakapoznpodarou"/>
        </w:rPr>
        <w:footnoteRef/>
      </w:r>
      <w:r>
        <w:t xml:space="preserve"> </w:t>
      </w:r>
      <w:r w:rsidRPr="00CE7E60">
        <w:rPr>
          <w:i/>
        </w:rPr>
        <w:t>„…projekt už léta brzdí nevyřešené vlastnické vztahy na části pozemku o rozloze pouhých 300 metrů čtverečných.</w:t>
      </w:r>
      <w:r>
        <w:rPr>
          <w:i/>
        </w:rPr>
        <w:t xml:space="preserve"> </w:t>
      </w:r>
      <w:r w:rsidRPr="00CE7E60">
        <w:rPr>
          <w:i/>
        </w:rPr>
        <w:t>„Uprostřed je klín pozemků, kde městu patří ideální polovina. Když jsme začali hledat majitele, zjistili jsme, že se jedn</w:t>
      </w:r>
      <w:r w:rsidRPr="00CE7E60">
        <w:rPr>
          <w:i/>
        </w:rPr>
        <w:t>á o Čecha, který se odstěhoval do Francie, kde v polovině minulého století zemřel. Po velkém pátrání jsme se dozvěděli, že měl tři děti, které už také nežijí. Dnes by tak mohlo pozemek dědit šest vnoučat původního majitele,“ líčí starosta. Přestože radnice</w:t>
      </w:r>
      <w:r w:rsidRPr="00CE7E60">
        <w:rPr>
          <w:i/>
        </w:rPr>
        <w:t xml:space="preserve"> ještě má téměř 11 měsíců, problém neúspěšně řeší už sedmým rokem. „Věc byla přidělena jednomu notáři, který po dvou letech nepostoupil ani o píď. Podali jsme na něho stížnost, že nekoná. Takže soud to přidělil druhému notáři, který už s námi spolupracuje.</w:t>
      </w:r>
      <w:r w:rsidRPr="00CE7E60">
        <w:rPr>
          <w:i/>
        </w:rPr>
        <w:t xml:space="preserve"> Dědické řízení ale může trvat ještě léta, a tak jsme požádali s vědomím notáře těch šest potenciálních vlastníků, zda by dali komerčnímu právníkovi plnou moc, aby je zastupoval pro stavební povolení na náš terminál. Je to sice hrozně komplikované, ale je </w:t>
      </w:r>
      <w:r w:rsidRPr="00CE7E60">
        <w:rPr>
          <w:i/>
        </w:rPr>
        <w:t>to jediná možnost, kterou by měl akceptovat speciální stavební úřad v Hradci Králové, který bude o věci rozhodovat,“ popisuje peripetie Uchytil</w:t>
      </w:r>
      <w:r>
        <w:rPr>
          <w:i/>
        </w:rPr>
        <w:t xml:space="preserve">… </w:t>
      </w:r>
      <w:r w:rsidRPr="00CE7E60">
        <w:rPr>
          <w:i/>
        </w:rPr>
        <w:t>Jenže už samotné hledání dědiců byla takřka detektivní práce: „Pomohla nám Češka žijící ve Francii, která tam n</w:t>
      </w:r>
      <w:r w:rsidRPr="00CE7E60">
        <w:rPr>
          <w:i/>
        </w:rPr>
        <w:t>ahlédla do registrů, a měli jsme kontakt na první dědičku a postupně jsme dohledali další. Zdá se, že nikdo z nich s novým terminálem nemá problém, teď by nám tedy měli poskytnout plnou moc,“ věří starosta Uchytil.</w:t>
      </w:r>
    </w:p>
    <w:p w:rsidR="00CB60E4" w:rsidRPr="00CE7E60" w:rsidRDefault="000865D6" w:rsidP="00CE7E60">
      <w:pPr>
        <w:pStyle w:val="Textpoznpodarou"/>
        <w:rPr>
          <w:i/>
        </w:rPr>
      </w:pPr>
      <w:r w:rsidRPr="00CE7E60">
        <w:rPr>
          <w:i/>
        </w:rPr>
        <w:t>Stavební povolení však podle podmínek dot</w:t>
      </w:r>
      <w:r w:rsidRPr="00CE7E60">
        <w:rPr>
          <w:i/>
        </w:rPr>
        <w:t>ace musí Chlumec získat do konce roku. Jenže to je opravdový problém. Speciální stavební úřad pro dopravní stavby na hradeckém magistrátu je dlouhodobě v těžké personální krizi a nestíhá. „Žádosti se rozhodně nevyřizují v zákonných lhůtách - ty jsou pro bě</w:t>
      </w:r>
      <w:r w:rsidRPr="00CE7E60">
        <w:rPr>
          <w:i/>
        </w:rPr>
        <w:t>žné řízení 60 dní, v případě komplikovanějších staveb 90 dnů. Tyto lhůty jsou v naší personální situaci iluzorní,“ líčí situaci na magistrátu tajemnice úřadu Markéta Bartušová.</w:t>
      </w:r>
      <w:r>
        <w:rPr>
          <w:i/>
        </w:rPr>
        <w:t xml:space="preserve"> </w:t>
      </w:r>
      <w:r w:rsidRPr="00CE7E60">
        <w:rPr>
          <w:i/>
        </w:rPr>
        <w:t>Město sice chystá spojení stavebních úřadů, které by mělo situaci zlepšit, přes</w:t>
      </w:r>
      <w:r w:rsidRPr="00CE7E60">
        <w:rPr>
          <w:i/>
        </w:rPr>
        <w:t>to jsou dlouhé lhůty dalším faktorem, který může stavbu terminálu ohrozit. „Pokud se nám to nepodaří, budeme čekat další léta na vyřešení tohoto případu, který se už teď táhne sedm let. Mezitím nám samozřejmě uteče 30 milionů dotace. Pak ale také můžeme ho</w:t>
      </w:r>
      <w:r w:rsidRPr="00CE7E60">
        <w:rPr>
          <w:i/>
        </w:rPr>
        <w:t xml:space="preserve">dit do kanálu projektovou dokumentaci za milion korun,“ mračí se starosta pětitisícového města. </w:t>
      </w:r>
      <w:r>
        <w:rPr>
          <w:i/>
        </w:rPr>
        <w:t>…</w:t>
      </w:r>
      <w:r w:rsidRPr="00CE7E60">
        <w:rPr>
          <w:i/>
        </w:rPr>
        <w:t>Uchytil ale současně připomíná, že situaci komplikuje čtyři roky starý občanský zákoník. „Podle starého zákoníku stačilo vlastnit dvě třetiny pozemku a dalo se</w:t>
      </w:r>
      <w:r w:rsidRPr="00CE7E60">
        <w:rPr>
          <w:i/>
        </w:rPr>
        <w:t xml:space="preserve"> získat stavební povolení. Teď stačí jediný menšinový vlastník a nikdo s tím nic neudělá. Mrzí mě, že pro tyto případy neexistuje zrychlený mechanismus.“</w:t>
      </w:r>
      <w:r>
        <w:rPr>
          <w:i/>
        </w:rPr>
        <w:t xml:space="preserve"> </w:t>
      </w:r>
      <w:r w:rsidRPr="00CE7E60">
        <w:rPr>
          <w:i/>
        </w:rPr>
        <w:t>Zdroj: https://www.idnes.cz/hradec-kralove/zpravy/spor-o-pozemky-stavba-terminalu-chlumec-nad-cidlinou</w:t>
      </w:r>
      <w:r w:rsidRPr="00CE7E60">
        <w:rPr>
          <w:i/>
        </w:rPr>
        <w:t>.A180213_382677_hradec-zpravy_the</w:t>
      </w:r>
    </w:p>
  </w:footnote>
  <w:footnote w:id="8">
    <w:p w:rsidR="00D22D54" w:rsidRDefault="000865D6" w:rsidP="00D22D54">
      <w:pPr>
        <w:pStyle w:val="Textpoznpodarou"/>
      </w:pPr>
      <w:r>
        <w:rPr>
          <w:rStyle w:val="Znakapoznpodarou"/>
        </w:rPr>
        <w:footnoteRef/>
      </w:r>
      <w:r>
        <w:t xml:space="preserve"> </w:t>
      </w:r>
      <w:r w:rsidRPr="0090073D">
        <w:t>Za původního vlastníka celého pozemku jedná jiná osoba; nepřebírá poštu, píše zmatečné dopisy, odmítá smlouvu podepsat, požaduje nespecifikovanou náhradu za záměrně vysazené rychle rostoucí topoly, podává opakovaně žádos</w:t>
      </w:r>
      <w:r w:rsidRPr="0090073D">
        <w:t>ti podle z. č. 106/1999 Sb. jak na ŘSD, tak na VÚ, požaduje poskytnutí dopisů, které sám zaslal. Následně vlastník převádí 1/40 na tuto jinou osobu a zbylou část 39/40 prodává ŘSD.</w:t>
      </w:r>
    </w:p>
  </w:footnote>
  <w:footnote w:id="9">
    <w:p w:rsidR="00D22D54" w:rsidRDefault="000865D6" w:rsidP="00D22D54">
      <w:pPr>
        <w:pStyle w:val="Textpoznpodarou"/>
      </w:pPr>
      <w:r>
        <w:rPr>
          <w:rStyle w:val="Znakapoznpodarou"/>
        </w:rPr>
        <w:footnoteRef/>
      </w:r>
      <w:r>
        <w:t xml:space="preserve"> </w:t>
      </w:r>
      <w:r w:rsidRPr="0090073D">
        <w:t>V novém rozhodnutí na žádost vyvlastňovaného rozšířen předmět vyvlastnění</w:t>
      </w:r>
      <w:r w:rsidRPr="0090073D">
        <w:t xml:space="preserve"> o nepřístupný pozemek, i tak podal ale vyvlastňovaný i proti tomuto rozhodnutí odvolání, které bylo zamítnuto. Vyvlastňovaný nepřevzal náhradu za vyvlastnění a podal k VÚ dne 06/03/2020 žádost o zrušení vyvlastnění. Náhrada byla složena do soudní úschovy </w:t>
      </w:r>
      <w:r w:rsidRPr="0090073D">
        <w:t>a žádost zamítnuta, následně zamítnuto i odvolání.</w:t>
      </w:r>
    </w:p>
  </w:footnote>
  <w:footnote w:id="10">
    <w:p w:rsidR="00D22D54" w:rsidRDefault="000865D6" w:rsidP="00D22D54">
      <w:pPr>
        <w:pStyle w:val="Textpoznpodarou"/>
      </w:pPr>
      <w:r>
        <w:rPr>
          <w:rStyle w:val="Znakapoznpodarou"/>
        </w:rPr>
        <w:footnoteRef/>
      </w:r>
      <w:r>
        <w:t xml:space="preserve"> </w:t>
      </w:r>
      <w:r w:rsidRPr="00EE788D">
        <w:t xml:space="preserve">Vlastník dlouhodobě obstruuje – několikrát uzavření smlouvy přislíbil, potom požadoval směnu, avšak ve specifických parametrech, které nedefinuje zákon o vyvlastnění a zákon o urychlení, tj. aby mu byly </w:t>
      </w:r>
      <w:r w:rsidRPr="00EE788D">
        <w:t>poskytnuty lukrativní pozemky ve vlastnictví obce Milín, když se mu vyvlastnitel pokoušel vyjít vstříc, nespolupracoval ani ve věci příslušné směny – nedostavil se na jednání se starostou obce, vznášel různé zástupné argumenty, věc zdržoval.</w:t>
      </w:r>
    </w:p>
  </w:footnote>
  <w:footnote w:id="11">
    <w:p w:rsidR="00D22D54" w:rsidRDefault="000865D6" w:rsidP="00D22D54">
      <w:pPr>
        <w:pStyle w:val="Textpoznpodarou"/>
      </w:pPr>
      <w:r>
        <w:rPr>
          <w:rStyle w:val="Znakapoznpodarou"/>
        </w:rPr>
        <w:footnoteRef/>
      </w:r>
      <w:r>
        <w:t xml:space="preserve"> </w:t>
      </w:r>
      <w:r w:rsidRPr="00EE788D">
        <w:t>Vyvlastňovan</w:t>
      </w:r>
      <w:r w:rsidRPr="00EE788D">
        <w:t>ý obstruuje - nejprve nechával opakovaně odročit jednání z důvodu C</w:t>
      </w:r>
      <w:r>
        <w:t>ovidu</w:t>
      </w:r>
      <w:r w:rsidRPr="00EE788D">
        <w:t xml:space="preserve">, posléze </w:t>
      </w:r>
      <w:r>
        <w:t>namítal</w:t>
      </w:r>
      <w:r w:rsidRPr="00EE788D">
        <w:t xml:space="preserve"> podjatost celého rozhodujícího úřadu, následně proti rozhodnutí o nepodjatosti ředitele úřadu nadřízeným orgánem podal odvolání, když toto nevyšlo, namítal podjatost </w:t>
      </w:r>
      <w:r w:rsidRPr="00EE788D">
        <w:t>vedoucí rozhodu</w:t>
      </w:r>
      <w:r>
        <w:t>j</w:t>
      </w:r>
      <w:r w:rsidRPr="00EE788D">
        <w:t>ící osoby, opět v této věci (když byla shledána její nepodjatost) podával odvolání, nyní je rozhodnuto o nepodjatosti vedoucí rozhodu</w:t>
      </w:r>
      <w:r>
        <w:t>j</w:t>
      </w:r>
      <w:r w:rsidRPr="00EE788D">
        <w:t>ící osoby, ta pravděpodobně rozhodne, že ani rozhodující osoba není podjatá</w:t>
      </w:r>
      <w:r>
        <w:t>,</w:t>
      </w:r>
      <w:r w:rsidRPr="00EE788D">
        <w:t xml:space="preserve"> přepokládáme, že i proti tomu</w:t>
      </w:r>
      <w:r w:rsidRPr="00EE788D">
        <w:t xml:space="preserve"> bude podáváno odvolání</w:t>
      </w:r>
      <w:r>
        <w:t>.</w:t>
      </w:r>
    </w:p>
  </w:footnote>
  <w:footnote w:id="12">
    <w:p w:rsidR="00D22D54" w:rsidRDefault="000865D6" w:rsidP="00D22D54">
      <w:pPr>
        <w:pStyle w:val="Textpoznpodarou"/>
      </w:pPr>
      <w:r>
        <w:rPr>
          <w:rStyle w:val="Znakapoznpodarou"/>
        </w:rPr>
        <w:footnoteRef/>
      </w:r>
      <w:r>
        <w:t xml:space="preserve"> </w:t>
      </w:r>
      <w:r w:rsidRPr="00373557">
        <w:t>Vlastn</w:t>
      </w:r>
      <w:r>
        <w:t>ík</w:t>
      </w:r>
      <w:r w:rsidRPr="00373557">
        <w:t xml:space="preserve"> požadoval vyšší náhradu za zřízení věcného břemene než 10 </w:t>
      </w:r>
      <w:r>
        <w:t>000</w:t>
      </w:r>
      <w:r w:rsidRPr="00373557">
        <w:t xml:space="preserve"> </w:t>
      </w:r>
      <w:r>
        <w:t>Kč</w:t>
      </w:r>
      <w:r w:rsidRPr="00373557">
        <w:t xml:space="preserve"> (původně 50 </w:t>
      </w:r>
      <w:r>
        <w:t>000</w:t>
      </w:r>
      <w:r w:rsidRPr="00373557">
        <w:t xml:space="preserve"> Kč, nyní hovoří o 200</w:t>
      </w:r>
      <w:r>
        <w:t> 000 Kč</w:t>
      </w:r>
      <w:r w:rsidRPr="00373557">
        <w:t xml:space="preserve">), aniž by k tomu doložil odpovídající znalecký posudek, znalecký posudek ŘSD též nenacenil zřízení VB na </w:t>
      </w:r>
      <w:r w:rsidRPr="00373557">
        <w:t>částku, kterou by si vlastn</w:t>
      </w:r>
      <w:r>
        <w:t>ík</w:t>
      </w:r>
      <w:r w:rsidRPr="00373557">
        <w:t xml:space="preserve"> představoval (jednalo se o částku ve výši 1</w:t>
      </w:r>
      <w:r>
        <w:t xml:space="preserve"> </w:t>
      </w:r>
      <w:r w:rsidRPr="00373557">
        <w:t xml:space="preserve">700 Kč, po vynásobení koeficientem dle zákona o urychlení cena vychází na necelých 14 </w:t>
      </w:r>
      <w:r>
        <w:t>000</w:t>
      </w:r>
      <w:r w:rsidRPr="00373557">
        <w:t xml:space="preserve"> Kč). Pozemek byl dále zatížen zástavním právem, vlastn</w:t>
      </w:r>
      <w:r>
        <w:t>ík</w:t>
      </w:r>
      <w:r w:rsidRPr="00373557">
        <w:t xml:space="preserve"> nedoložil, i přes příslib, souhlas </w:t>
      </w:r>
      <w:r w:rsidRPr="00373557">
        <w:t>zástavního věřitele se zřízením VB.</w:t>
      </w:r>
    </w:p>
  </w:footnote>
  <w:footnote w:id="13">
    <w:p w:rsidR="00D22D54" w:rsidRDefault="000865D6" w:rsidP="00D22D54">
      <w:pPr>
        <w:pStyle w:val="Textpoznpodarou"/>
      </w:pPr>
      <w:r>
        <w:rPr>
          <w:rStyle w:val="Znakapoznpodarou"/>
        </w:rPr>
        <w:footnoteRef/>
      </w:r>
      <w:r>
        <w:t xml:space="preserve"> </w:t>
      </w:r>
      <w:r w:rsidRPr="00EC685A">
        <w:t>08/12/20, 17/08/21 - vydána mezitímní rozhodnutí o vyvlastnění, proti oběma podána správní žaloba, obě zrušena rozhodnutími Krajského soudu v Praze z důvodu, že vlastn</w:t>
      </w:r>
      <w:r>
        <w:t>ík</w:t>
      </w:r>
      <w:r w:rsidRPr="00EC685A">
        <w:t xml:space="preserve"> namítá, že by věcné břemeno mohlo být teoreticky</w:t>
      </w:r>
      <w:r w:rsidRPr="00EC685A">
        <w:t xml:space="preserve"> zřízeno na jiném pozemku a soud se s touto argumentací ztotož</w:t>
      </w:r>
      <w:r>
        <w:t>nil</w:t>
      </w:r>
      <w:r w:rsidRPr="00EC685A">
        <w:t>. Proti druhému rozsudku bude podána ze strany ŘSD kasační stížnost, paralelně se povede již potřetí řízení před vyvlastňovacím úřadem</w:t>
      </w:r>
      <w:r>
        <w:t>.</w:t>
      </w:r>
    </w:p>
  </w:footnote>
  <w:footnote w:id="14">
    <w:p w:rsidR="00CB60E4" w:rsidRDefault="000865D6">
      <w:pPr>
        <w:pStyle w:val="Textpoznpodarou"/>
      </w:pPr>
      <w:r>
        <w:rPr>
          <w:rStyle w:val="Znakapoznpodarou"/>
        </w:rPr>
        <w:footnoteRef/>
      </w:r>
      <w:r>
        <w:t xml:space="preserve"> </w:t>
      </w:r>
      <w:r w:rsidRPr="0032544F">
        <w:t>ANALÝZA JUDIKATURY SPRÁVNÍCH A CIVILNÍCH SOUDŮ VE VĚC</w:t>
      </w:r>
      <w:r w:rsidRPr="0032544F">
        <w:t>I VYVLASTNĚNÍ</w:t>
      </w:r>
      <w:r>
        <w:t xml:space="preserve">, </w:t>
      </w:r>
      <w:r w:rsidRPr="0032544F">
        <w:t>SEDLAKOVA LEGAL s.r.o.</w:t>
      </w:r>
      <w:r>
        <w:t xml:space="preserve"> pro MMR, 2019</w:t>
      </w:r>
    </w:p>
  </w:footnote>
  <w:footnote w:id="15">
    <w:p w:rsidR="00CB60E4" w:rsidRDefault="000865D6">
      <w:pPr>
        <w:pStyle w:val="Textpoznpodarou"/>
      </w:pPr>
      <w:r>
        <w:rPr>
          <w:rStyle w:val="Znakapoznpodarou"/>
        </w:rPr>
        <w:footnoteRef/>
      </w:r>
      <w:r>
        <w:t xml:space="preserve"> </w:t>
      </w:r>
      <w:r w:rsidRPr="002E72F2">
        <w:t xml:space="preserve">VLACHOVÁ, B. </w:t>
      </w:r>
      <w:r>
        <w:t>Zákon o vyvlastnění: komentář</w:t>
      </w:r>
      <w:r w:rsidRPr="002E72F2">
        <w:t>. V Praze: C.H. Beck, 2018. ISBN 8074000362.</w:t>
      </w:r>
    </w:p>
  </w:footnote>
  <w:footnote w:id="16">
    <w:p w:rsidR="00CB60E4" w:rsidRDefault="000865D6">
      <w:pPr>
        <w:pStyle w:val="Textpoznpodarou"/>
      </w:pPr>
      <w:r>
        <w:rPr>
          <w:rStyle w:val="Znakapoznpodarou"/>
        </w:rPr>
        <w:footnoteRef/>
      </w:r>
      <w:r>
        <w:t xml:space="preserve"> </w:t>
      </w:r>
      <w:r w:rsidRPr="00897AE7">
        <w:t xml:space="preserve">SEDLAKOVA LEGAL s.r.o. ANALÝZA JUDIKATURY SPRÁVNÍCH A CIVILNÍCH SOUDŮ VE VĚCI VYVLASTNĚNÍ. Zpracováno pro MMR, </w:t>
      </w:r>
      <w:r w:rsidRPr="00897AE7">
        <w:t>2018.</w:t>
      </w:r>
    </w:p>
  </w:footnote>
  <w:footnote w:id="17">
    <w:p w:rsidR="00CB60E4" w:rsidRDefault="000865D6">
      <w:pPr>
        <w:pStyle w:val="Textpoznpodarou"/>
      </w:pPr>
      <w:r>
        <w:rPr>
          <w:rStyle w:val="Znakapoznpodarou"/>
        </w:rPr>
        <w:footnoteRef/>
      </w:r>
      <w:r>
        <w:t xml:space="preserve"> </w:t>
      </w:r>
      <w:r w:rsidRPr="000560CF">
        <w:t>SEDLAKOVA LEGAL s.r.o. ANALÝZA JUDIKATURY SPRÁVNÍCH A CIVILNÍCH SOUDŮ VE VĚCI VYVLASTNĚNÍ. Zpracováno pro MMR, 2018.</w:t>
      </w:r>
    </w:p>
  </w:footnote>
  <w:footnote w:id="18">
    <w:p w:rsidR="00CB60E4" w:rsidRDefault="000865D6">
      <w:pPr>
        <w:pStyle w:val="Textpoznpodarou"/>
      </w:pPr>
      <w:r>
        <w:rPr>
          <w:rStyle w:val="Znakapoznpodarou"/>
        </w:rPr>
        <w:footnoteRef/>
      </w:r>
      <w:r>
        <w:t xml:space="preserve"> </w:t>
      </w:r>
      <w:r w:rsidRPr="000560CF">
        <w:t>HANÁK, J. a spol. KOMPENZACE ZA ODNĚTÍ A OMEZENÍ VLASTNICKÉHO PRÁVA DLE ZÁKONA O VYVLASTNĚNÍ. Analýza na základě objednávky Minis</w:t>
      </w:r>
      <w:r w:rsidRPr="000560CF">
        <w:t>terstva pro místní rozvoj ČR č. 1134/2018</w:t>
      </w:r>
      <w:r>
        <w:t xml:space="preserve">; </w:t>
      </w:r>
      <w:r w:rsidRPr="00791988">
        <w:t>https://www.idnes.cz/ekonomika/doprava/vystavba-rychlostni-silnice-r35.A131017_093705_eko-doprava_spi.</w:t>
      </w:r>
    </w:p>
  </w:footnote>
  <w:footnote w:id="19">
    <w:p w:rsidR="00CB60E4" w:rsidRDefault="000865D6">
      <w:pPr>
        <w:pStyle w:val="Textpoznpodarou"/>
      </w:pPr>
      <w:r>
        <w:rPr>
          <w:rStyle w:val="Znakapoznpodarou"/>
        </w:rPr>
        <w:footnoteRef/>
      </w:r>
      <w:r>
        <w:t xml:space="preserve"> </w:t>
      </w:r>
      <w:r w:rsidRPr="007B3BBE">
        <w:t>VLACHOVÁ, B. Z</w:t>
      </w:r>
      <w:r>
        <w:t>á</w:t>
      </w:r>
      <w:r w:rsidRPr="007B3BBE">
        <w:t>kon o vyvlastn</w:t>
      </w:r>
      <w:r>
        <w:t>ě</w:t>
      </w:r>
      <w:r w:rsidRPr="007B3BBE">
        <w:t>n</w:t>
      </w:r>
      <w:r>
        <w:t>í</w:t>
      </w:r>
      <w:r w:rsidRPr="007B3BBE">
        <w:t>: koment</w:t>
      </w:r>
      <w:r>
        <w:t>ář</w:t>
      </w:r>
      <w:r w:rsidRPr="007B3BBE">
        <w:t>. V Praze: C.H. Beck, 2018. ISBN 8074000362.</w:t>
      </w:r>
    </w:p>
  </w:footnote>
  <w:footnote w:id="20">
    <w:p w:rsidR="00CB60E4" w:rsidRDefault="000865D6">
      <w:pPr>
        <w:pStyle w:val="Textpoznpodarou"/>
      </w:pPr>
      <w:r>
        <w:rPr>
          <w:rStyle w:val="Znakapoznpodarou"/>
        </w:rPr>
        <w:footnoteRef/>
      </w:r>
      <w:r>
        <w:t xml:space="preserve"> </w:t>
      </w:r>
      <w:r w:rsidRPr="00F96FCF">
        <w:t>HANÁK, J. Vyvlastn</w:t>
      </w:r>
      <w:r w:rsidRPr="00F96FCF">
        <w:t>ění z environmentálních důvodů. 1. vyd. Brno: Masarykova univerzita, Právnická fakulta, 2015. 244 s. Spisy Právnické fakulty Masarykovy univerzity, řada teoretická, Edice Scientia, sv. č. 536. ISBN 978</w:t>
      </w:r>
      <w:r w:rsidRPr="00F96FCF">
        <w:rPr>
          <w:rFonts w:ascii="Times New Roman" w:hAnsi="Times New Roman"/>
        </w:rPr>
        <w:t>‐</w:t>
      </w:r>
      <w:r w:rsidRPr="00F96FCF">
        <w:t>80</w:t>
      </w:r>
      <w:r w:rsidRPr="00F96FCF">
        <w:rPr>
          <w:rFonts w:ascii="Times New Roman" w:hAnsi="Times New Roman"/>
        </w:rPr>
        <w:t>‐</w:t>
      </w:r>
      <w:r w:rsidRPr="00F96FCF">
        <w:t>210</w:t>
      </w:r>
      <w:r w:rsidRPr="00F96FCF">
        <w:rPr>
          <w:rFonts w:ascii="Times New Roman" w:hAnsi="Times New Roman"/>
        </w:rPr>
        <w:t>‐</w:t>
      </w:r>
      <w:r w:rsidRPr="00F96FCF">
        <w:t>8064</w:t>
      </w:r>
      <w:r w:rsidRPr="00F96FCF">
        <w:rPr>
          <w:rFonts w:ascii="Times New Roman" w:hAnsi="Times New Roman"/>
        </w:rPr>
        <w:t>‐</w:t>
      </w:r>
      <w:r w:rsidRPr="00F96FCF">
        <w:t>5.</w:t>
      </w:r>
    </w:p>
  </w:footnote>
  <w:footnote w:id="21">
    <w:p w:rsidR="00CB60E4" w:rsidRDefault="000865D6">
      <w:pPr>
        <w:pStyle w:val="Textpoznpodarou"/>
      </w:pPr>
      <w:r>
        <w:rPr>
          <w:rStyle w:val="Znakapoznpodarou"/>
        </w:rPr>
        <w:footnoteRef/>
      </w:r>
      <w:r>
        <w:t xml:space="preserve"> </w:t>
      </w:r>
      <w:r w:rsidRPr="000956D9">
        <w:t xml:space="preserve">HANÁK, J. Vyvlastnění z </w:t>
      </w:r>
      <w:r w:rsidRPr="000956D9">
        <w:t>environmentálních důvodů. 1. vyd. Brno: Masarykova univerzita, Právnická fakulta, 2015. 244 s. Spisy Právnické fakulty Masarykovy univerzity, řada teoretická, Edice Scientia, sv. č. 536. ISBN 978</w:t>
      </w:r>
      <w:r w:rsidRPr="000956D9">
        <w:rPr>
          <w:rFonts w:ascii="Times New Roman" w:hAnsi="Times New Roman"/>
        </w:rPr>
        <w:t>‐</w:t>
      </w:r>
      <w:r w:rsidRPr="000956D9">
        <w:t>80</w:t>
      </w:r>
      <w:r w:rsidRPr="000956D9">
        <w:rPr>
          <w:rFonts w:ascii="Times New Roman" w:hAnsi="Times New Roman"/>
        </w:rPr>
        <w:t>‐</w:t>
      </w:r>
      <w:r w:rsidRPr="000956D9">
        <w:t>210</w:t>
      </w:r>
      <w:r w:rsidRPr="000956D9">
        <w:rPr>
          <w:rFonts w:ascii="Times New Roman" w:hAnsi="Times New Roman"/>
        </w:rPr>
        <w:t>‐</w:t>
      </w:r>
      <w:r w:rsidRPr="000956D9">
        <w:t>8064</w:t>
      </w:r>
      <w:r w:rsidRPr="000956D9">
        <w:rPr>
          <w:rFonts w:ascii="Times New Roman" w:hAnsi="Times New Roman"/>
        </w:rPr>
        <w:t>‐</w:t>
      </w:r>
      <w:r w:rsidRPr="000956D9">
        <w:t>5.</w:t>
      </w:r>
    </w:p>
  </w:footnote>
  <w:footnote w:id="22">
    <w:p w:rsidR="00AD6250" w:rsidRDefault="000865D6" w:rsidP="00AD6250">
      <w:pPr>
        <w:pStyle w:val="Textpoznpodarou"/>
      </w:pPr>
      <w:r>
        <w:rPr>
          <w:rStyle w:val="Znakapoznpodarou"/>
        </w:rPr>
        <w:footnoteRef/>
      </w:r>
      <w:r>
        <w:t xml:space="preserve"> Důkaz znaleckým posudkem. Závisí-li rozhodn</w:t>
      </w:r>
      <w:r>
        <w:t>utí na posouzení skutečností, k nimž je třeba odborných znalostí, které úřední osoby nemají, a jestliže odborné posouzení skutečností nelze opatřit od jiného správního orgánu, správní orgán usnesením ustanoví znalce. Usnesení se oznamuje pouze znalci. O za</w:t>
      </w:r>
      <w:r>
        <w:t>mýšleném ustanovení znalce, popřípadě o ustanovení znalce správní orgán vhodným způsobem účastníky vyrozumí. Správní orgán znalci uloží, aby posudek vypracoval písemně a předložil mu jej ve lhůtě, kterou současně určí. Může znalce také vyslechnout.</w:t>
      </w:r>
    </w:p>
  </w:footnote>
  <w:footnote w:id="23">
    <w:p w:rsidR="000F15A0" w:rsidRDefault="000865D6" w:rsidP="000F15A0">
      <w:pPr>
        <w:pStyle w:val="Textpoznpodarou"/>
      </w:pPr>
      <w:r>
        <w:rPr>
          <w:rStyle w:val="Znakapoznpodarou"/>
        </w:rPr>
        <w:footnoteRef/>
      </w:r>
      <w:r>
        <w:t xml:space="preserve"> Navrá</w:t>
      </w:r>
      <w:r>
        <w:t>cením v předešlý stav se rozumí prominutí zmeškání úkonu, který je třeba provést nejpozději při ústním jednání nebo v určité lhůtě, nebo povolení zpětvzetí nebo změny obsahu podání, kterou by jinak nebylo možno učinit. Požádat o prominutí zmeškání úkonu úč</w:t>
      </w:r>
      <w:r>
        <w:t>astník může do 15 dnů ode dne, kdy pominula překážka, která podateli bránila úkon učinit. S požádáním je třeba spojit zmeškaný úkon, jinak se jím správní orgán nezabývá. Zmeškání úkonu nelze prominout, jestliže ode dne, kdy měl být úkon učiněn, uplynul jed</w:t>
      </w:r>
      <w:r>
        <w:t xml:space="preserve">en rok. </w:t>
      </w:r>
      <w:r w:rsidR="003630BE">
        <w:t>…</w:t>
      </w:r>
      <w:r>
        <w:t xml:space="preserve"> Správní orgán promine zmeškání úkonu, prokáže-li podatel, že překážkou byly závažné důvody, které nastaly bez jeho zavinění. Správní orgán zmeškání úkonu nepromine, je-li zjevné, že by újma, která by byla způsobena dotčením práv nabytých v dobré </w:t>
      </w:r>
      <w:r>
        <w:t>víře nebo dotčením veřejného zájmu, převýšila újmu hrozící podateli.</w:t>
      </w:r>
    </w:p>
  </w:footnote>
  <w:footnote w:id="24">
    <w:p w:rsidR="000B1EC8" w:rsidRDefault="000865D6" w:rsidP="000B1EC8">
      <w:pPr>
        <w:pStyle w:val="Textpoznpodarou"/>
      </w:pPr>
      <w:r>
        <w:rPr>
          <w:rStyle w:val="Znakapoznpodarou"/>
        </w:rPr>
        <w:footnoteRef/>
      </w:r>
      <w:r>
        <w:t xml:space="preserve"> </w:t>
      </w:r>
      <w:r w:rsidRPr="002020CE">
        <w:t>VLACHOVÁ, B. Z</w:t>
      </w:r>
      <w:r>
        <w:t>á</w:t>
      </w:r>
      <w:r w:rsidRPr="002020CE">
        <w:t>kon o vyvlastn</w:t>
      </w:r>
      <w:r>
        <w:t>ění</w:t>
      </w:r>
      <w:r w:rsidRPr="002020CE">
        <w:t>: koment</w:t>
      </w:r>
      <w:r>
        <w:t>ář</w:t>
      </w:r>
      <w:r w:rsidRPr="002020CE">
        <w:t>. V Praze: C.H. Beck, 2018. ISBN 8074000362.</w:t>
      </w:r>
    </w:p>
  </w:footnote>
  <w:footnote w:id="25">
    <w:p w:rsidR="003F78FE" w:rsidRDefault="000865D6" w:rsidP="003F78FE">
      <w:pPr>
        <w:pStyle w:val="Textpoznpodarou"/>
      </w:pPr>
      <w:r>
        <w:rPr>
          <w:rStyle w:val="Znakapoznpodarou"/>
        </w:rPr>
        <w:footnoteRef/>
      </w:r>
      <w:r>
        <w:t xml:space="preserve"> </w:t>
      </w:r>
      <w:r w:rsidRPr="0072409C">
        <w:t>Vlachová, B. (2019). Aktuální otázky vyvlastnění v režimu zákona o urychlení výstavby. Dostupné</w:t>
      </w:r>
      <w:r w:rsidRPr="0072409C">
        <w:t xml:space="preserve"> z https://advokatnidenik.cz/2019/07/15/aktualni-otazky-vyvlastneni-v-rezimu-zakona-o-urychleni-vystavby/</w:t>
      </w:r>
    </w:p>
  </w:footnote>
  <w:footnote w:id="26">
    <w:p w:rsidR="00276E23" w:rsidRDefault="000865D6">
      <w:pPr>
        <w:pStyle w:val="Textpoznpodarou"/>
      </w:pPr>
      <w:r>
        <w:rPr>
          <w:rStyle w:val="Znakapoznpodarou"/>
        </w:rPr>
        <w:footnoteRef/>
      </w:r>
      <w:r>
        <w:t xml:space="preserve"> </w:t>
      </w:r>
      <w:hyperlink r:id="rId1" w:history="1">
        <w:r w:rsidRPr="00A16AC1">
          <w:rPr>
            <w:rStyle w:val="Hypertextovodkaz"/>
          </w:rPr>
          <w:t>https://www.usoud.cz/filea</w:t>
        </w:r>
        <w:r w:rsidRPr="00A16AC1">
          <w:rPr>
            <w:rStyle w:val="Hypertextovodkaz"/>
          </w:rPr>
          <w:t>dmin/user_upload/Tiskova_mluvci/Publikovane_nalezy/2022/Pl._US_39_18_na_web.pdf</w:t>
        </w:r>
      </w:hyperlink>
      <w:r>
        <w:t xml:space="preserve">; </w:t>
      </w:r>
      <w:hyperlink r:id="rId2" w:history="1">
        <w:r w:rsidRPr="00A16AC1">
          <w:rPr>
            <w:rStyle w:val="Hypertextovodkaz"/>
          </w:rPr>
          <w:t>https://www.achourpartners.com/ustavni-soud-zamitl-navrh-na-zruseni</w:t>
        </w:r>
        <w:r w:rsidRPr="00A16AC1">
          <w:rPr>
            <w:rStyle w:val="Hypertextovodkaz"/>
          </w:rPr>
          <w:t>-casti-linioveho-zakona/</w:t>
        </w:r>
      </w:hyperlink>
      <w:r>
        <w:t xml:space="preserve"> </w:t>
      </w:r>
    </w:p>
  </w:footnote>
  <w:footnote w:id="27">
    <w:p w:rsidR="002639C3" w:rsidRDefault="000865D6" w:rsidP="002639C3">
      <w:pPr>
        <w:pStyle w:val="Textpoznpodarou"/>
      </w:pPr>
      <w:r>
        <w:rPr>
          <w:rStyle w:val="Znakapoznpodarou"/>
        </w:rPr>
        <w:footnoteRef/>
      </w:r>
      <w:r>
        <w:t xml:space="preserve"> Mezitímní rozhodnutí pro více kategorií staveb – odpovědi vyvlastňovacích úřadů, které poskytly zpětnou vazbu: ANO – 1 odpověď; NE – 3</w:t>
      </w:r>
      <w:r w:rsidRPr="00814C69">
        <w:t xml:space="preserve"> </w:t>
      </w:r>
      <w:r>
        <w:t>odpovědi; BEZ ZKUŠENOSTI, NELZE POSOUDIT – 4 odpovědi</w:t>
      </w:r>
    </w:p>
  </w:footnote>
  <w:footnote w:id="28">
    <w:p w:rsidR="00554CEA" w:rsidRDefault="000865D6">
      <w:pPr>
        <w:pStyle w:val="Textpoznpodarou"/>
      </w:pPr>
      <w:r>
        <w:rPr>
          <w:rStyle w:val="Znakapoznpodarou"/>
        </w:rPr>
        <w:footnoteRef/>
      </w:r>
      <w:r>
        <w:t xml:space="preserve"> Jednoinstanční proces </w:t>
      </w:r>
      <w:r w:rsidRPr="00554CEA">
        <w:t>pro více katego</w:t>
      </w:r>
      <w:r w:rsidRPr="00554CEA">
        <w:t xml:space="preserve">rií staveb – odpovědi vyvlastňovacích úřadů, které poskytly zpětnou vazbu: ANO – 1 odpověď; NE – </w:t>
      </w:r>
      <w:r w:rsidR="006D3DD3">
        <w:t>5</w:t>
      </w:r>
      <w:r w:rsidRPr="00554CEA">
        <w:t xml:space="preserve"> odpovědi; BEZ ZKUŠENOSTI, NELZE POSOUDIT – </w:t>
      </w:r>
      <w:r w:rsidR="006D3DD3">
        <w:t>3</w:t>
      </w:r>
      <w:r w:rsidRPr="00554CEA">
        <w:t xml:space="preserve"> odpovědi</w:t>
      </w:r>
    </w:p>
  </w:footnote>
  <w:footnote w:id="29">
    <w:p w:rsidR="00A87474" w:rsidRDefault="000865D6">
      <w:pPr>
        <w:pStyle w:val="Textpoznpodarou"/>
      </w:pPr>
      <w:r>
        <w:rPr>
          <w:rStyle w:val="Znakapoznpodarou"/>
        </w:rPr>
        <w:footnoteRef/>
      </w:r>
      <w:r>
        <w:t xml:space="preserve"> </w:t>
      </w:r>
      <w:r w:rsidRPr="00A87474">
        <w:t xml:space="preserve">Až účinností zákona č. 120/2001 Sb., o soudních exekutorech a exekuční činnosti (exekuční řád), k 1. </w:t>
      </w:r>
      <w:r w:rsidRPr="00A87474">
        <w:t>5. 2001 byla část pravomoci soudů delegována na soudní exekutory. Tím došlo k podstatnému posunu v procesu ve výkonu rozhodnutí, kdy nově nastolený dualismus si kladl za cíl zefektivnění celého procesu vymáhání pohledávky a odlehčení soudů v jejich činnost</w:t>
      </w:r>
      <w:r w:rsidRPr="00A87474">
        <w:t>i.</w:t>
      </w:r>
    </w:p>
  </w:footnote>
  <w:footnote w:id="30">
    <w:p w:rsidR="00D16102" w:rsidRDefault="000865D6">
      <w:pPr>
        <w:pStyle w:val="Textpoznpodarou"/>
      </w:pPr>
      <w:r>
        <w:rPr>
          <w:rStyle w:val="Znakapoznpodarou"/>
        </w:rPr>
        <w:footnoteRef/>
      </w:r>
      <w:r>
        <w:t xml:space="preserve"> Z</w:t>
      </w:r>
      <w:r w:rsidRPr="00D16102">
        <w:t>ákon č. 99/1963 Sb., občanský soudní řád</w:t>
      </w:r>
    </w:p>
  </w:footnote>
  <w:footnote w:id="31">
    <w:p w:rsidR="00D16102" w:rsidRDefault="000865D6" w:rsidP="00D16102">
      <w:pPr>
        <w:pStyle w:val="Textpoznpodarou"/>
      </w:pPr>
      <w:r>
        <w:rPr>
          <w:rStyle w:val="Znakapoznpodarou"/>
        </w:rPr>
        <w:footnoteRef/>
      </w:r>
      <w:r>
        <w:t xml:space="preserve"> Zákon č. 120/2001 Sb., o soudních exekutorech a exekuční činnosti (exekuční řád) a o změně dalších zákonů</w:t>
      </w:r>
    </w:p>
  </w:footnote>
  <w:footnote w:id="32">
    <w:p w:rsidR="0041605C" w:rsidRDefault="000865D6" w:rsidP="0041605C">
      <w:pPr>
        <w:pStyle w:val="Textpoznpodarou"/>
      </w:pPr>
      <w:r>
        <w:rPr>
          <w:rStyle w:val="Znakapoznpodarou"/>
        </w:rPr>
        <w:footnoteRef/>
      </w:r>
      <w:r>
        <w:t xml:space="preserve"> Jen v některých případech může dojít k odklonu, a to např. při prodeji majetku (nejčastěji nemovité</w:t>
      </w:r>
      <w:r>
        <w:t xml:space="preserve"> věci) mimo dražbu. Lze tak učinit, pokud soudní exekutor, oprávněný a všichni přihlášení věřitelé udělí písemný souhlas a zároveň majetek není postižen jinou exekucí. Způsob prodeje z volné ruky však není využíván často, neboť na nemovitých věcech většino</w:t>
      </w:r>
      <w:r>
        <w:t>u vázne více exekučních příkazů, a i v opačném případě lze předpokládat, že se povinný vynasnaží uhradit celkovou výši vymáhané pohledávky z jiných zdrojů, aby nepřišel o nemovitou věc.</w:t>
      </w:r>
    </w:p>
  </w:footnote>
  <w:footnote w:id="33">
    <w:p w:rsidR="008046A1" w:rsidRDefault="000865D6">
      <w:pPr>
        <w:pStyle w:val="Textpoznpodarou"/>
      </w:pPr>
      <w:r>
        <w:rPr>
          <w:rStyle w:val="Znakapoznpodarou"/>
        </w:rPr>
        <w:footnoteRef/>
      </w:r>
      <w:r>
        <w:t xml:space="preserve"> </w:t>
      </w:r>
      <w:r w:rsidRPr="008046A1">
        <w:t>MATERNA, Filip. Exekuce prodejem nemovitých věcí [online]. Brno, 201</w:t>
      </w:r>
      <w:r w:rsidRPr="008046A1">
        <w:t>8 [cit. 2022-04-20]. Dostupné z: https://is.muni.cz/th/riycu/. Diplomová práce. Masarykova univerzita, Právnická fakulta. Vedoucí práce Matěj DOBEŠ.</w:t>
      </w:r>
    </w:p>
  </w:footnote>
  <w:footnote w:id="34">
    <w:p w:rsidR="00F10101" w:rsidRDefault="000865D6" w:rsidP="00F10101">
      <w:pPr>
        <w:pStyle w:val="Textpoznpodarou"/>
      </w:pPr>
      <w:r>
        <w:rPr>
          <w:rStyle w:val="Znakapoznpodarou"/>
        </w:rPr>
        <w:footnoteRef/>
      </w:r>
      <w:r>
        <w:t xml:space="preserve"> Zákon č. 182/2006 Sb., o úpadku a způsobech jeho řešení (insolvenční zákon)</w:t>
      </w:r>
    </w:p>
  </w:footnote>
  <w:footnote w:id="35">
    <w:p w:rsidR="0004506D" w:rsidRDefault="000865D6">
      <w:pPr>
        <w:pStyle w:val="Textpoznpodarou"/>
      </w:pPr>
      <w:r>
        <w:rPr>
          <w:rStyle w:val="Znakapoznpodarou"/>
        </w:rPr>
        <w:footnoteRef/>
      </w:r>
      <w:r>
        <w:t xml:space="preserve"> </w:t>
      </w:r>
      <w:r w:rsidRPr="0004506D">
        <w:t>https://pravo21.cz/pravo/se</w:t>
      </w:r>
      <w:r w:rsidRPr="0004506D">
        <w:t>rial-o-insolvencich-rozdily-mezi-insolvencnim-a-exekucnim-rizenim</w:t>
      </w:r>
    </w:p>
  </w:footnote>
  <w:footnote w:id="36">
    <w:p w:rsidR="00201935" w:rsidRDefault="000865D6">
      <w:pPr>
        <w:pStyle w:val="Textpoznpodarou"/>
      </w:pPr>
      <w:r>
        <w:rPr>
          <w:rStyle w:val="Znakapoznpodarou"/>
        </w:rPr>
        <w:footnoteRef/>
      </w:r>
      <w:r>
        <w:t xml:space="preserve"> </w:t>
      </w:r>
      <w:r w:rsidRPr="00201935">
        <w:t>Údaje uveřejněné k datu 23. 10. 2016 na oficiálních stránkách Exekutorské komory</w:t>
      </w:r>
      <w:r>
        <w:t>.</w:t>
      </w:r>
      <w:r w:rsidRPr="00201935">
        <w:t xml:space="preserve"> </w:t>
      </w:r>
      <w:r>
        <w:t>H</w:t>
      </w:r>
      <w:r w:rsidRPr="00201935">
        <w:t>ttps://www.ekcr.cz/1/aktuality-pro-media/2225-jednostranne-snizeni-tarifu-bez-novely-exekucniho-radu-muze</w:t>
      </w:r>
      <w:r w:rsidRPr="00201935">
        <w:t>-vest-ke-korupci?w=</w:t>
      </w:r>
    </w:p>
  </w:footnote>
  <w:footnote w:id="37">
    <w:p w:rsidR="001A4815" w:rsidRDefault="000865D6">
      <w:pPr>
        <w:pStyle w:val="Textpoznpodarou"/>
      </w:pPr>
      <w:r>
        <w:rPr>
          <w:rStyle w:val="Znakapoznpodarou"/>
        </w:rPr>
        <w:footnoteRef/>
      </w:r>
      <w:r>
        <w:t xml:space="preserve"> </w:t>
      </w:r>
      <w:r w:rsidRPr="001A4815">
        <w:t>https://ekonom.cz/c1-66963910-pristi-rok-bude-rokem-insolvenci-v-ohrozeni-jsou-maloobchod-i-pracovni-agentury</w:t>
      </w:r>
    </w:p>
  </w:footnote>
  <w:footnote w:id="38">
    <w:p w:rsidR="00A60C64" w:rsidRDefault="000865D6">
      <w:pPr>
        <w:pStyle w:val="Textpoznpodarou"/>
      </w:pPr>
      <w:r>
        <w:rPr>
          <w:rStyle w:val="Znakapoznpodarou"/>
        </w:rPr>
        <w:footnoteRef/>
      </w:r>
      <w:r>
        <w:t xml:space="preserve"> </w:t>
      </w:r>
      <w:r w:rsidRPr="00A60C64">
        <w:t>https://www.seznamzpravy.cz/clanek/ekonomika-byznys-rozhovory-klid-pred-bouri-v-cesku-ceka-nas-vlna-insolvenci-covid-probl</w:t>
      </w:r>
      <w:r w:rsidRPr="00A60C64">
        <w:t>em-jen-oddalil-198857#source=hp&amp;seq_no=6&amp;utm_campaign=abtest189_panel_sluzeb_varD&amp;utm_medium=z-boxiku&amp;utm_source=www.seznam.cz</w:t>
      </w:r>
    </w:p>
  </w:footnote>
  <w:footnote w:id="39">
    <w:p w:rsidR="00B93412" w:rsidRDefault="000865D6">
      <w:pPr>
        <w:pStyle w:val="Textpoznpodarou"/>
      </w:pPr>
      <w:r>
        <w:rPr>
          <w:rStyle w:val="Znakapoznpodarou"/>
        </w:rPr>
        <w:footnoteRef/>
      </w:r>
      <w:r>
        <w:t xml:space="preserve"> </w:t>
      </w:r>
      <w:r w:rsidRPr="00B93412">
        <w:t>https://www.zonky.cz/zonkytimes/ctvrt-milionu-insolvenci-co-insolvence-obnasi/</w:t>
      </w:r>
    </w:p>
  </w:footnote>
  <w:footnote w:id="40">
    <w:p w:rsidR="00B93412" w:rsidRDefault="000865D6" w:rsidP="00B93412">
      <w:pPr>
        <w:pStyle w:val="Textpoznpodarou"/>
        <w:jc w:val="left"/>
      </w:pPr>
      <w:r>
        <w:rPr>
          <w:rStyle w:val="Znakapoznpodarou"/>
        </w:rPr>
        <w:footnoteRef/>
      </w:r>
      <w:r>
        <w:t xml:space="preserve"> </w:t>
      </w:r>
      <w:r w:rsidRPr="00916662">
        <w:t>https://is.ambis.cz/th/l2kez/Krystof_Termer_-_Vliv_socioekonomickeho_prostredi_na_prumerneho_dluznika_v_oddluzeni.pdf</w:t>
      </w:r>
    </w:p>
  </w:footnote>
  <w:footnote w:id="41">
    <w:p w:rsidR="00070C6E" w:rsidRDefault="000865D6" w:rsidP="00070C6E">
      <w:pPr>
        <w:pStyle w:val="Textpoznpodarou"/>
      </w:pPr>
      <w:r>
        <w:rPr>
          <w:rStyle w:val="Znakapoznpodarou"/>
        </w:rPr>
        <w:footnoteRef/>
      </w:r>
      <w:r>
        <w:t xml:space="preserve"> Ve vztahu k majetkové podstatě je osobou s dispozičními oprávněními, n</w:t>
      </w:r>
      <w:r w:rsidRPr="00070C6E">
        <w:t>estanoví-li zákon jinak</w:t>
      </w:r>
      <w:r>
        <w:t>:</w:t>
      </w:r>
    </w:p>
    <w:p w:rsidR="00070C6E" w:rsidRDefault="000865D6" w:rsidP="00070C6E">
      <w:pPr>
        <w:pStyle w:val="Textpoznpodarou"/>
      </w:pPr>
      <w:r>
        <w:t>a) dlužník v době do rozhodnutí o úpadku,</w:t>
      </w:r>
    </w:p>
    <w:p w:rsidR="00070C6E" w:rsidRDefault="000865D6" w:rsidP="00070C6E">
      <w:pPr>
        <w:pStyle w:val="Textpoznpodarou"/>
      </w:pPr>
      <w:r>
        <w:t>b) dlužník v době od rozhodnutí o úpadku do rozhodnutí o způsobu řešení úpadku,</w:t>
      </w:r>
    </w:p>
    <w:p w:rsidR="00070C6E" w:rsidRDefault="000865D6" w:rsidP="00070C6E">
      <w:pPr>
        <w:pStyle w:val="Textpoznpodarou"/>
      </w:pPr>
      <w:r>
        <w:t>c) insolvenční správce v době od prohlášení konkursu,</w:t>
      </w:r>
    </w:p>
    <w:p w:rsidR="00070C6E" w:rsidRDefault="000865D6" w:rsidP="00070C6E">
      <w:pPr>
        <w:pStyle w:val="Textpoznpodarou"/>
      </w:pPr>
      <w:r>
        <w:t>d) dlužník v době od povolení reorganizace a</w:t>
      </w:r>
    </w:p>
    <w:p w:rsidR="00070C6E" w:rsidRDefault="000865D6" w:rsidP="00070C6E">
      <w:pPr>
        <w:pStyle w:val="Textpoznpodarou"/>
      </w:pPr>
      <w:r>
        <w:t>e) dlužník v době od povolení oddlužení.</w:t>
      </w:r>
    </w:p>
  </w:footnote>
  <w:footnote w:id="42">
    <w:p w:rsidR="00527256" w:rsidRDefault="000865D6">
      <w:pPr>
        <w:pStyle w:val="Textpoznpodarou"/>
      </w:pPr>
      <w:r>
        <w:rPr>
          <w:rStyle w:val="Znakapoznpodarou"/>
        </w:rPr>
        <w:footnoteRef/>
      </w:r>
      <w:r>
        <w:t xml:space="preserve"> </w:t>
      </w:r>
      <w:r w:rsidRPr="00527256">
        <w:t>https://www.nase-voda.cz/na-pozemkove-upravy-se-loni-vynalozily-temer-2-miliardy-kc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4F06EDC4"/>
    <w:lvl w:ilvl="0">
      <w:start w:val="1"/>
      <w:numFmt w:val="decimal"/>
      <w:pStyle w:val="slovanseznam3"/>
      <w:lvlText w:val="%1."/>
      <w:lvlJc w:val="left"/>
      <w:pPr>
        <w:tabs>
          <w:tab w:val="num" w:pos="1209"/>
        </w:tabs>
        <w:ind w:left="1209" w:hanging="360"/>
      </w:pPr>
      <w:rPr>
        <w:rFonts w:cs="Times New Roman"/>
      </w:rPr>
    </w:lvl>
  </w:abstractNum>
  <w:abstractNum w:abstractNumId="1" w15:restartNumberingAfterBreak="0">
    <w:nsid w:val="FFFFFF82"/>
    <w:multiLevelType w:val="singleLevel"/>
    <w:tmpl w:val="2E0CF6AA"/>
    <w:lvl w:ilvl="0">
      <w:start w:val="1"/>
      <w:numFmt w:val="bullet"/>
      <w:pStyle w:val="Seznamsodrkami3"/>
      <w:lvlText w:val=""/>
      <w:lvlJc w:val="left"/>
      <w:pPr>
        <w:tabs>
          <w:tab w:val="num" w:pos="926"/>
        </w:tabs>
        <w:ind w:left="926" w:hanging="360"/>
      </w:pPr>
      <w:rPr>
        <w:rFonts w:ascii="Symbol" w:hAnsi="Symbol" w:hint="default"/>
      </w:rPr>
    </w:lvl>
  </w:abstractNum>
  <w:abstractNum w:abstractNumId="2" w15:restartNumberingAfterBreak="0">
    <w:nsid w:val="00000004"/>
    <w:multiLevelType w:val="multilevel"/>
    <w:tmpl w:val="00000004"/>
    <w:name w:val="WW8Num4"/>
    <w:lvl w:ilvl="0">
      <w:start w:val="1"/>
      <w:numFmt w:val="decimal"/>
      <w:lvlText w:val="(%1)"/>
      <w:lvlJc w:val="left"/>
      <w:pPr>
        <w:tabs>
          <w:tab w:val="num" w:pos="0"/>
        </w:tabs>
        <w:ind w:left="0" w:firstLine="425"/>
      </w:pPr>
    </w:lvl>
    <w:lvl w:ilvl="1">
      <w:start w:val="1"/>
      <w:numFmt w:val="lowerLetter"/>
      <w:lvlText w:val="%2)"/>
      <w:lvlJc w:val="left"/>
      <w:pPr>
        <w:tabs>
          <w:tab w:val="num" w:pos="425"/>
        </w:tabs>
        <w:ind w:left="425" w:hanging="425"/>
      </w:pPr>
    </w:lvl>
    <w:lvl w:ilvl="2">
      <w:start w:val="1"/>
      <w:numFmt w:val="decima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370017E"/>
    <w:multiLevelType w:val="hybridMultilevel"/>
    <w:tmpl w:val="0D803A10"/>
    <w:lvl w:ilvl="0" w:tplc="0D8AAD5E">
      <w:start w:val="1"/>
      <w:numFmt w:val="bullet"/>
      <w:lvlText w:val=""/>
      <w:lvlJc w:val="left"/>
      <w:pPr>
        <w:ind w:left="720" w:hanging="360"/>
      </w:pPr>
      <w:rPr>
        <w:rFonts w:ascii="Symbol" w:hAnsi="Symbol" w:hint="default"/>
      </w:rPr>
    </w:lvl>
    <w:lvl w:ilvl="1" w:tplc="93D2544E">
      <w:start w:val="1"/>
      <w:numFmt w:val="bullet"/>
      <w:pStyle w:val="Puce2"/>
      <w:lvlText w:val="­"/>
      <w:lvlJc w:val="left"/>
      <w:pPr>
        <w:ind w:left="1440" w:hanging="360"/>
      </w:pPr>
      <w:rPr>
        <w:rFonts w:ascii="Arial" w:hAnsi="Arial" w:hint="default"/>
      </w:rPr>
    </w:lvl>
    <w:lvl w:ilvl="2" w:tplc="C5669680">
      <w:start w:val="1"/>
      <w:numFmt w:val="bullet"/>
      <w:pStyle w:val="Puce3"/>
      <w:lvlText w:val="­"/>
      <w:lvlJc w:val="left"/>
      <w:pPr>
        <w:ind w:left="2160" w:hanging="360"/>
      </w:pPr>
      <w:rPr>
        <w:rFonts w:ascii="Arial" w:hAnsi="Arial" w:hint="default"/>
      </w:rPr>
    </w:lvl>
    <w:lvl w:ilvl="3" w:tplc="5B985CEA" w:tentative="1">
      <w:start w:val="1"/>
      <w:numFmt w:val="bullet"/>
      <w:lvlText w:val=""/>
      <w:lvlJc w:val="left"/>
      <w:pPr>
        <w:ind w:left="2880" w:hanging="360"/>
      </w:pPr>
      <w:rPr>
        <w:rFonts w:ascii="Symbol" w:hAnsi="Symbol" w:hint="default"/>
      </w:rPr>
    </w:lvl>
    <w:lvl w:ilvl="4" w:tplc="F1468B12" w:tentative="1">
      <w:start w:val="1"/>
      <w:numFmt w:val="bullet"/>
      <w:lvlText w:val="o"/>
      <w:lvlJc w:val="left"/>
      <w:pPr>
        <w:ind w:left="3600" w:hanging="360"/>
      </w:pPr>
      <w:rPr>
        <w:rFonts w:ascii="Courier New" w:hAnsi="Courier New" w:cs="Courier New" w:hint="default"/>
      </w:rPr>
    </w:lvl>
    <w:lvl w:ilvl="5" w:tplc="D6342122" w:tentative="1">
      <w:start w:val="1"/>
      <w:numFmt w:val="bullet"/>
      <w:lvlText w:val=""/>
      <w:lvlJc w:val="left"/>
      <w:pPr>
        <w:ind w:left="4320" w:hanging="360"/>
      </w:pPr>
      <w:rPr>
        <w:rFonts w:ascii="Wingdings" w:hAnsi="Wingdings" w:hint="default"/>
      </w:rPr>
    </w:lvl>
    <w:lvl w:ilvl="6" w:tplc="A15264BA" w:tentative="1">
      <w:start w:val="1"/>
      <w:numFmt w:val="bullet"/>
      <w:lvlText w:val=""/>
      <w:lvlJc w:val="left"/>
      <w:pPr>
        <w:ind w:left="5040" w:hanging="360"/>
      </w:pPr>
      <w:rPr>
        <w:rFonts w:ascii="Symbol" w:hAnsi="Symbol" w:hint="default"/>
      </w:rPr>
    </w:lvl>
    <w:lvl w:ilvl="7" w:tplc="D2300C4A" w:tentative="1">
      <w:start w:val="1"/>
      <w:numFmt w:val="bullet"/>
      <w:lvlText w:val="o"/>
      <w:lvlJc w:val="left"/>
      <w:pPr>
        <w:ind w:left="5760" w:hanging="360"/>
      </w:pPr>
      <w:rPr>
        <w:rFonts w:ascii="Courier New" w:hAnsi="Courier New" w:cs="Courier New" w:hint="default"/>
      </w:rPr>
    </w:lvl>
    <w:lvl w:ilvl="8" w:tplc="CBF64890" w:tentative="1">
      <w:start w:val="1"/>
      <w:numFmt w:val="bullet"/>
      <w:lvlText w:val=""/>
      <w:lvlJc w:val="left"/>
      <w:pPr>
        <w:ind w:left="6480" w:hanging="360"/>
      </w:pPr>
      <w:rPr>
        <w:rFonts w:ascii="Wingdings" w:hAnsi="Wingdings" w:hint="default"/>
      </w:rPr>
    </w:lvl>
  </w:abstractNum>
  <w:abstractNum w:abstractNumId="4" w15:restartNumberingAfterBreak="0">
    <w:nsid w:val="03F50190"/>
    <w:multiLevelType w:val="multilevel"/>
    <w:tmpl w:val="754C540C"/>
    <w:styleLink w:val="Style3import"/>
    <w:lvl w:ilvl="0">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2232" w:hanging="7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736" w:hanging="9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324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744" w:hanging="12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432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40D1B93"/>
    <w:multiLevelType w:val="multilevel"/>
    <w:tmpl w:val="E8A48D7C"/>
    <w:styleLink w:val="VariantaA-sla"/>
    <w:lvl w:ilvl="0">
      <w:start w:val="1"/>
      <w:numFmt w:val="decimal"/>
      <w:lvlText w:val="%1."/>
      <w:lvlJc w:val="left"/>
      <w:pPr>
        <w:ind w:left="357" w:hanging="357"/>
      </w:pPr>
    </w:lvl>
    <w:lvl w:ilvl="1">
      <w:start w:val="1"/>
      <w:numFmt w:val="decimal"/>
      <w:lvlText w:val="%1.%2."/>
      <w:lvlJc w:val="left"/>
      <w:pPr>
        <w:ind w:left="851" w:hanging="494"/>
      </w:pPr>
    </w:lvl>
    <w:lvl w:ilvl="2">
      <w:start w:val="1"/>
      <w:numFmt w:val="decimal"/>
      <w:lvlText w:val="%1.%2.%3."/>
      <w:lvlJc w:val="left"/>
      <w:pPr>
        <w:ind w:left="1474" w:hanging="623"/>
      </w:pPr>
    </w:lvl>
    <w:lvl w:ilvl="3">
      <w:start w:val="1"/>
      <w:numFmt w:val="decimal"/>
      <w:lvlText w:val="%1.%2.%3.%4."/>
      <w:lvlJc w:val="left"/>
      <w:pPr>
        <w:tabs>
          <w:tab w:val="num" w:pos="1474"/>
        </w:tabs>
        <w:ind w:left="2268" w:hanging="794"/>
      </w:pPr>
    </w:lvl>
    <w:lvl w:ilvl="4">
      <w:start w:val="1"/>
      <w:numFmt w:val="decimal"/>
      <w:lvlText w:val="%1.%2.%3.%4.%5."/>
      <w:lvlJc w:val="left"/>
      <w:pPr>
        <w:ind w:left="3232" w:hanging="964"/>
      </w:pPr>
    </w:lvl>
    <w:lvl w:ilvl="5">
      <w:start w:val="1"/>
      <w:numFmt w:val="decimal"/>
      <w:lvlText w:val="%1.%2.%3.%4.%5.%6."/>
      <w:lvlJc w:val="left"/>
      <w:pPr>
        <w:ind w:left="4366" w:hanging="1134"/>
      </w:pPr>
    </w:lvl>
    <w:lvl w:ilvl="6">
      <w:start w:val="1"/>
      <w:numFmt w:val="decimal"/>
      <w:lvlText w:val="%1.%2.%3.%4.%5.%6.%7."/>
      <w:lvlJc w:val="left"/>
      <w:pPr>
        <w:tabs>
          <w:tab w:val="num" w:pos="3232"/>
        </w:tabs>
        <w:ind w:left="4536" w:hanging="1304"/>
      </w:pPr>
    </w:lvl>
    <w:lvl w:ilvl="7">
      <w:start w:val="1"/>
      <w:numFmt w:val="decimal"/>
      <w:lvlText w:val="%1.%2.%3.%4.%5.%6.%7.%8."/>
      <w:lvlJc w:val="left"/>
      <w:pPr>
        <w:tabs>
          <w:tab w:val="num" w:pos="3232"/>
        </w:tabs>
        <w:ind w:left="4706" w:hanging="1474"/>
      </w:pPr>
    </w:lvl>
    <w:lvl w:ilvl="8">
      <w:start w:val="1"/>
      <w:numFmt w:val="decimal"/>
      <w:lvlText w:val="%1.%2.%3.%4.%5.%6.%7.%8.%9."/>
      <w:lvlJc w:val="left"/>
      <w:pPr>
        <w:ind w:left="4876" w:hanging="1644"/>
      </w:pPr>
    </w:lvl>
  </w:abstractNum>
  <w:abstractNum w:abstractNumId="6" w15:restartNumberingAfterBreak="0">
    <w:nsid w:val="049E608E"/>
    <w:multiLevelType w:val="hybridMultilevel"/>
    <w:tmpl w:val="93B4EDA4"/>
    <w:lvl w:ilvl="0" w:tplc="11B24292">
      <w:numFmt w:val="bullet"/>
      <w:pStyle w:val="Seznamsodrkami"/>
      <w:lvlText w:val="-"/>
      <w:lvlJc w:val="left"/>
      <w:pPr>
        <w:ind w:left="720" w:hanging="360"/>
      </w:pPr>
      <w:rPr>
        <w:rFonts w:ascii="Calibri" w:eastAsiaTheme="minorHAnsi" w:hAnsi="Calibri" w:cs="Calibri" w:hint="default"/>
      </w:rPr>
    </w:lvl>
    <w:lvl w:ilvl="1" w:tplc="35C09470">
      <w:start w:val="1"/>
      <w:numFmt w:val="bullet"/>
      <w:lvlText w:val="o"/>
      <w:lvlJc w:val="left"/>
      <w:pPr>
        <w:ind w:left="1440" w:hanging="360"/>
      </w:pPr>
      <w:rPr>
        <w:rFonts w:ascii="Courier New" w:hAnsi="Courier New" w:cs="Courier New" w:hint="default"/>
      </w:rPr>
    </w:lvl>
    <w:lvl w:ilvl="2" w:tplc="FC96AA3A" w:tentative="1">
      <w:start w:val="1"/>
      <w:numFmt w:val="bullet"/>
      <w:lvlText w:val=""/>
      <w:lvlJc w:val="left"/>
      <w:pPr>
        <w:ind w:left="2160" w:hanging="360"/>
      </w:pPr>
      <w:rPr>
        <w:rFonts w:ascii="Wingdings" w:hAnsi="Wingdings" w:hint="default"/>
      </w:rPr>
    </w:lvl>
    <w:lvl w:ilvl="3" w:tplc="FE2EEB8C" w:tentative="1">
      <w:start w:val="1"/>
      <w:numFmt w:val="bullet"/>
      <w:lvlText w:val=""/>
      <w:lvlJc w:val="left"/>
      <w:pPr>
        <w:ind w:left="2880" w:hanging="360"/>
      </w:pPr>
      <w:rPr>
        <w:rFonts w:ascii="Symbol" w:hAnsi="Symbol" w:hint="default"/>
      </w:rPr>
    </w:lvl>
    <w:lvl w:ilvl="4" w:tplc="FE30FCDA" w:tentative="1">
      <w:start w:val="1"/>
      <w:numFmt w:val="bullet"/>
      <w:lvlText w:val="o"/>
      <w:lvlJc w:val="left"/>
      <w:pPr>
        <w:ind w:left="3600" w:hanging="360"/>
      </w:pPr>
      <w:rPr>
        <w:rFonts w:ascii="Courier New" w:hAnsi="Courier New" w:cs="Courier New" w:hint="default"/>
      </w:rPr>
    </w:lvl>
    <w:lvl w:ilvl="5" w:tplc="F462117A" w:tentative="1">
      <w:start w:val="1"/>
      <w:numFmt w:val="bullet"/>
      <w:lvlText w:val=""/>
      <w:lvlJc w:val="left"/>
      <w:pPr>
        <w:ind w:left="4320" w:hanging="360"/>
      </w:pPr>
      <w:rPr>
        <w:rFonts w:ascii="Wingdings" w:hAnsi="Wingdings" w:hint="default"/>
      </w:rPr>
    </w:lvl>
    <w:lvl w:ilvl="6" w:tplc="C818E1DE" w:tentative="1">
      <w:start w:val="1"/>
      <w:numFmt w:val="bullet"/>
      <w:lvlText w:val=""/>
      <w:lvlJc w:val="left"/>
      <w:pPr>
        <w:ind w:left="5040" w:hanging="360"/>
      </w:pPr>
      <w:rPr>
        <w:rFonts w:ascii="Symbol" w:hAnsi="Symbol" w:hint="default"/>
      </w:rPr>
    </w:lvl>
    <w:lvl w:ilvl="7" w:tplc="C1FA401A" w:tentative="1">
      <w:start w:val="1"/>
      <w:numFmt w:val="bullet"/>
      <w:lvlText w:val="o"/>
      <w:lvlJc w:val="left"/>
      <w:pPr>
        <w:ind w:left="5760" w:hanging="360"/>
      </w:pPr>
      <w:rPr>
        <w:rFonts w:ascii="Courier New" w:hAnsi="Courier New" w:cs="Courier New" w:hint="default"/>
      </w:rPr>
    </w:lvl>
    <w:lvl w:ilvl="8" w:tplc="8EE8BC98" w:tentative="1">
      <w:start w:val="1"/>
      <w:numFmt w:val="bullet"/>
      <w:lvlText w:val=""/>
      <w:lvlJc w:val="left"/>
      <w:pPr>
        <w:ind w:left="6480" w:hanging="360"/>
      </w:pPr>
      <w:rPr>
        <w:rFonts w:ascii="Wingdings" w:hAnsi="Wingdings" w:hint="default"/>
      </w:rPr>
    </w:lvl>
  </w:abstractNum>
  <w:abstractNum w:abstractNumId="7" w15:restartNumberingAfterBreak="0">
    <w:nsid w:val="04BD6D2A"/>
    <w:multiLevelType w:val="hybridMultilevel"/>
    <w:tmpl w:val="EEDC0ADA"/>
    <w:lvl w:ilvl="0" w:tplc="1758ECD2">
      <w:start w:val="1"/>
      <w:numFmt w:val="bullet"/>
      <w:pStyle w:val="odrazka"/>
      <w:lvlText w:val=""/>
      <w:lvlJc w:val="left"/>
      <w:pPr>
        <w:ind w:left="1140" w:hanging="360"/>
      </w:pPr>
      <w:rPr>
        <w:rFonts w:ascii="Symbol" w:hAnsi="Symbol" w:hint="default"/>
      </w:rPr>
    </w:lvl>
    <w:lvl w:ilvl="1" w:tplc="B45473CC">
      <w:start w:val="1"/>
      <w:numFmt w:val="bullet"/>
      <w:lvlText w:val="o"/>
      <w:lvlJc w:val="left"/>
      <w:pPr>
        <w:ind w:left="1860" w:hanging="360"/>
      </w:pPr>
      <w:rPr>
        <w:rFonts w:ascii="Courier New" w:hAnsi="Courier New" w:cs="Courier New" w:hint="default"/>
      </w:rPr>
    </w:lvl>
    <w:lvl w:ilvl="2" w:tplc="FB2EB164" w:tentative="1">
      <w:start w:val="1"/>
      <w:numFmt w:val="bullet"/>
      <w:lvlText w:val=""/>
      <w:lvlJc w:val="left"/>
      <w:pPr>
        <w:ind w:left="2580" w:hanging="360"/>
      </w:pPr>
      <w:rPr>
        <w:rFonts w:ascii="Wingdings" w:hAnsi="Wingdings" w:hint="default"/>
      </w:rPr>
    </w:lvl>
    <w:lvl w:ilvl="3" w:tplc="FE325B5A" w:tentative="1">
      <w:start w:val="1"/>
      <w:numFmt w:val="bullet"/>
      <w:lvlText w:val=""/>
      <w:lvlJc w:val="left"/>
      <w:pPr>
        <w:ind w:left="3300" w:hanging="360"/>
      </w:pPr>
      <w:rPr>
        <w:rFonts w:ascii="Symbol" w:hAnsi="Symbol" w:hint="default"/>
      </w:rPr>
    </w:lvl>
    <w:lvl w:ilvl="4" w:tplc="F5DEE50C" w:tentative="1">
      <w:start w:val="1"/>
      <w:numFmt w:val="bullet"/>
      <w:lvlText w:val="o"/>
      <w:lvlJc w:val="left"/>
      <w:pPr>
        <w:ind w:left="4020" w:hanging="360"/>
      </w:pPr>
      <w:rPr>
        <w:rFonts w:ascii="Courier New" w:hAnsi="Courier New" w:cs="Courier New" w:hint="default"/>
      </w:rPr>
    </w:lvl>
    <w:lvl w:ilvl="5" w:tplc="A568F35E" w:tentative="1">
      <w:start w:val="1"/>
      <w:numFmt w:val="bullet"/>
      <w:lvlText w:val=""/>
      <w:lvlJc w:val="left"/>
      <w:pPr>
        <w:ind w:left="4740" w:hanging="360"/>
      </w:pPr>
      <w:rPr>
        <w:rFonts w:ascii="Wingdings" w:hAnsi="Wingdings" w:hint="default"/>
      </w:rPr>
    </w:lvl>
    <w:lvl w:ilvl="6" w:tplc="F2D0B4E4" w:tentative="1">
      <w:start w:val="1"/>
      <w:numFmt w:val="bullet"/>
      <w:lvlText w:val=""/>
      <w:lvlJc w:val="left"/>
      <w:pPr>
        <w:ind w:left="5460" w:hanging="360"/>
      </w:pPr>
      <w:rPr>
        <w:rFonts w:ascii="Symbol" w:hAnsi="Symbol" w:hint="default"/>
      </w:rPr>
    </w:lvl>
    <w:lvl w:ilvl="7" w:tplc="37BCB1C0" w:tentative="1">
      <w:start w:val="1"/>
      <w:numFmt w:val="bullet"/>
      <w:lvlText w:val="o"/>
      <w:lvlJc w:val="left"/>
      <w:pPr>
        <w:ind w:left="6180" w:hanging="360"/>
      </w:pPr>
      <w:rPr>
        <w:rFonts w:ascii="Courier New" w:hAnsi="Courier New" w:cs="Courier New" w:hint="default"/>
      </w:rPr>
    </w:lvl>
    <w:lvl w:ilvl="8" w:tplc="A5FC6330" w:tentative="1">
      <w:start w:val="1"/>
      <w:numFmt w:val="bullet"/>
      <w:lvlText w:val=""/>
      <w:lvlJc w:val="left"/>
      <w:pPr>
        <w:ind w:left="6900" w:hanging="360"/>
      </w:pPr>
      <w:rPr>
        <w:rFonts w:ascii="Wingdings" w:hAnsi="Wingdings" w:hint="default"/>
      </w:rPr>
    </w:lvl>
  </w:abstractNum>
  <w:abstractNum w:abstractNumId="8" w15:restartNumberingAfterBreak="0">
    <w:nsid w:val="05F836E6"/>
    <w:multiLevelType w:val="hybridMultilevel"/>
    <w:tmpl w:val="87706050"/>
    <w:lvl w:ilvl="0" w:tplc="0E78870E">
      <w:start w:val="1"/>
      <w:numFmt w:val="bullet"/>
      <w:lvlText w:val=""/>
      <w:lvlJc w:val="left"/>
      <w:pPr>
        <w:ind w:left="720" w:hanging="360"/>
      </w:pPr>
      <w:rPr>
        <w:rFonts w:ascii="Symbol" w:hAnsi="Symbol" w:hint="default"/>
      </w:rPr>
    </w:lvl>
    <w:lvl w:ilvl="1" w:tplc="A546E5DE">
      <w:start w:val="1"/>
      <w:numFmt w:val="bullet"/>
      <w:lvlText w:val="o"/>
      <w:lvlJc w:val="left"/>
      <w:pPr>
        <w:ind w:left="1440" w:hanging="360"/>
      </w:pPr>
      <w:rPr>
        <w:rFonts w:ascii="Courier New" w:hAnsi="Courier New" w:cs="Courier New" w:hint="default"/>
      </w:rPr>
    </w:lvl>
    <w:lvl w:ilvl="2" w:tplc="F6B2D4AC" w:tentative="1">
      <w:start w:val="1"/>
      <w:numFmt w:val="bullet"/>
      <w:lvlText w:val=""/>
      <w:lvlJc w:val="left"/>
      <w:pPr>
        <w:ind w:left="2160" w:hanging="360"/>
      </w:pPr>
      <w:rPr>
        <w:rFonts w:ascii="Wingdings" w:hAnsi="Wingdings" w:hint="default"/>
      </w:rPr>
    </w:lvl>
    <w:lvl w:ilvl="3" w:tplc="488EC844" w:tentative="1">
      <w:start w:val="1"/>
      <w:numFmt w:val="bullet"/>
      <w:lvlText w:val=""/>
      <w:lvlJc w:val="left"/>
      <w:pPr>
        <w:ind w:left="2880" w:hanging="360"/>
      </w:pPr>
      <w:rPr>
        <w:rFonts w:ascii="Symbol" w:hAnsi="Symbol" w:hint="default"/>
      </w:rPr>
    </w:lvl>
    <w:lvl w:ilvl="4" w:tplc="7F461F9A" w:tentative="1">
      <w:start w:val="1"/>
      <w:numFmt w:val="bullet"/>
      <w:lvlText w:val="o"/>
      <w:lvlJc w:val="left"/>
      <w:pPr>
        <w:ind w:left="3600" w:hanging="360"/>
      </w:pPr>
      <w:rPr>
        <w:rFonts w:ascii="Courier New" w:hAnsi="Courier New" w:cs="Courier New" w:hint="default"/>
      </w:rPr>
    </w:lvl>
    <w:lvl w:ilvl="5" w:tplc="C9B0DF46" w:tentative="1">
      <w:start w:val="1"/>
      <w:numFmt w:val="bullet"/>
      <w:lvlText w:val=""/>
      <w:lvlJc w:val="left"/>
      <w:pPr>
        <w:ind w:left="4320" w:hanging="360"/>
      </w:pPr>
      <w:rPr>
        <w:rFonts w:ascii="Wingdings" w:hAnsi="Wingdings" w:hint="default"/>
      </w:rPr>
    </w:lvl>
    <w:lvl w:ilvl="6" w:tplc="FBBC1E66" w:tentative="1">
      <w:start w:val="1"/>
      <w:numFmt w:val="bullet"/>
      <w:lvlText w:val=""/>
      <w:lvlJc w:val="left"/>
      <w:pPr>
        <w:ind w:left="5040" w:hanging="360"/>
      </w:pPr>
      <w:rPr>
        <w:rFonts w:ascii="Symbol" w:hAnsi="Symbol" w:hint="default"/>
      </w:rPr>
    </w:lvl>
    <w:lvl w:ilvl="7" w:tplc="7E12D800" w:tentative="1">
      <w:start w:val="1"/>
      <w:numFmt w:val="bullet"/>
      <w:lvlText w:val="o"/>
      <w:lvlJc w:val="left"/>
      <w:pPr>
        <w:ind w:left="5760" w:hanging="360"/>
      </w:pPr>
      <w:rPr>
        <w:rFonts w:ascii="Courier New" w:hAnsi="Courier New" w:cs="Courier New" w:hint="default"/>
      </w:rPr>
    </w:lvl>
    <w:lvl w:ilvl="8" w:tplc="0CB846B6" w:tentative="1">
      <w:start w:val="1"/>
      <w:numFmt w:val="bullet"/>
      <w:lvlText w:val=""/>
      <w:lvlJc w:val="left"/>
      <w:pPr>
        <w:ind w:left="6480" w:hanging="360"/>
      </w:pPr>
      <w:rPr>
        <w:rFonts w:ascii="Wingdings" w:hAnsi="Wingdings" w:hint="default"/>
      </w:rPr>
    </w:lvl>
  </w:abstractNum>
  <w:abstractNum w:abstractNumId="9" w15:restartNumberingAfterBreak="0">
    <w:nsid w:val="07021736"/>
    <w:multiLevelType w:val="hybridMultilevel"/>
    <w:tmpl w:val="2676E64A"/>
    <w:lvl w:ilvl="0" w:tplc="DC02BD98">
      <w:start w:val="1"/>
      <w:numFmt w:val="bullet"/>
      <w:pStyle w:val="Odrazka11"/>
      <w:lvlText w:val="-"/>
      <w:lvlJc w:val="left"/>
      <w:pPr>
        <w:ind w:left="1494" w:hanging="360"/>
      </w:pPr>
      <w:rPr>
        <w:rFonts w:ascii="Times New Roman" w:hAnsi="Times New Roman" w:cs="Times New Roman" w:hint="default"/>
      </w:rPr>
    </w:lvl>
    <w:lvl w:ilvl="1" w:tplc="17E65AFE" w:tentative="1">
      <w:start w:val="1"/>
      <w:numFmt w:val="bullet"/>
      <w:lvlText w:val="o"/>
      <w:lvlJc w:val="left"/>
      <w:pPr>
        <w:ind w:left="2574" w:hanging="360"/>
      </w:pPr>
      <w:rPr>
        <w:rFonts w:ascii="Courier New" w:hAnsi="Courier New" w:cs="Courier New" w:hint="default"/>
      </w:rPr>
    </w:lvl>
    <w:lvl w:ilvl="2" w:tplc="578E5884" w:tentative="1">
      <w:start w:val="1"/>
      <w:numFmt w:val="bullet"/>
      <w:lvlText w:val=""/>
      <w:lvlJc w:val="left"/>
      <w:pPr>
        <w:ind w:left="3294" w:hanging="360"/>
      </w:pPr>
      <w:rPr>
        <w:rFonts w:ascii="Wingdings" w:hAnsi="Wingdings" w:hint="default"/>
      </w:rPr>
    </w:lvl>
    <w:lvl w:ilvl="3" w:tplc="4C70CDA2" w:tentative="1">
      <w:start w:val="1"/>
      <w:numFmt w:val="bullet"/>
      <w:lvlText w:val=""/>
      <w:lvlJc w:val="left"/>
      <w:pPr>
        <w:ind w:left="4014" w:hanging="360"/>
      </w:pPr>
      <w:rPr>
        <w:rFonts w:ascii="Symbol" w:hAnsi="Symbol" w:hint="default"/>
      </w:rPr>
    </w:lvl>
    <w:lvl w:ilvl="4" w:tplc="73AC1A72" w:tentative="1">
      <w:start w:val="1"/>
      <w:numFmt w:val="bullet"/>
      <w:lvlText w:val="o"/>
      <w:lvlJc w:val="left"/>
      <w:pPr>
        <w:ind w:left="4734" w:hanging="360"/>
      </w:pPr>
      <w:rPr>
        <w:rFonts w:ascii="Courier New" w:hAnsi="Courier New" w:cs="Courier New" w:hint="default"/>
      </w:rPr>
    </w:lvl>
    <w:lvl w:ilvl="5" w:tplc="CC42AC3C" w:tentative="1">
      <w:start w:val="1"/>
      <w:numFmt w:val="bullet"/>
      <w:lvlText w:val=""/>
      <w:lvlJc w:val="left"/>
      <w:pPr>
        <w:ind w:left="5454" w:hanging="360"/>
      </w:pPr>
      <w:rPr>
        <w:rFonts w:ascii="Wingdings" w:hAnsi="Wingdings" w:hint="default"/>
      </w:rPr>
    </w:lvl>
    <w:lvl w:ilvl="6" w:tplc="FCBC65C8" w:tentative="1">
      <w:start w:val="1"/>
      <w:numFmt w:val="bullet"/>
      <w:lvlText w:val=""/>
      <w:lvlJc w:val="left"/>
      <w:pPr>
        <w:ind w:left="6174" w:hanging="360"/>
      </w:pPr>
      <w:rPr>
        <w:rFonts w:ascii="Symbol" w:hAnsi="Symbol" w:hint="default"/>
      </w:rPr>
    </w:lvl>
    <w:lvl w:ilvl="7" w:tplc="07243306" w:tentative="1">
      <w:start w:val="1"/>
      <w:numFmt w:val="bullet"/>
      <w:lvlText w:val="o"/>
      <w:lvlJc w:val="left"/>
      <w:pPr>
        <w:ind w:left="6894" w:hanging="360"/>
      </w:pPr>
      <w:rPr>
        <w:rFonts w:ascii="Courier New" w:hAnsi="Courier New" w:cs="Courier New" w:hint="default"/>
      </w:rPr>
    </w:lvl>
    <w:lvl w:ilvl="8" w:tplc="F63E450E" w:tentative="1">
      <w:start w:val="1"/>
      <w:numFmt w:val="bullet"/>
      <w:lvlText w:val=""/>
      <w:lvlJc w:val="left"/>
      <w:pPr>
        <w:ind w:left="7614" w:hanging="360"/>
      </w:pPr>
      <w:rPr>
        <w:rFonts w:ascii="Wingdings" w:hAnsi="Wingdings" w:hint="default"/>
      </w:rPr>
    </w:lvl>
  </w:abstractNum>
  <w:abstractNum w:abstractNumId="10" w15:restartNumberingAfterBreak="0">
    <w:nsid w:val="078070E6"/>
    <w:multiLevelType w:val="hybridMultilevel"/>
    <w:tmpl w:val="D7486F26"/>
    <w:lvl w:ilvl="0" w:tplc="049ACA2E">
      <w:start w:val="1"/>
      <w:numFmt w:val="bullet"/>
      <w:lvlText w:val=""/>
      <w:lvlJc w:val="left"/>
      <w:pPr>
        <w:ind w:left="720" w:hanging="360"/>
      </w:pPr>
      <w:rPr>
        <w:rFonts w:ascii="Symbol" w:hAnsi="Symbol" w:hint="default"/>
      </w:rPr>
    </w:lvl>
    <w:lvl w:ilvl="1" w:tplc="00C025FA" w:tentative="1">
      <w:start w:val="1"/>
      <w:numFmt w:val="bullet"/>
      <w:lvlText w:val="o"/>
      <w:lvlJc w:val="left"/>
      <w:pPr>
        <w:ind w:left="1440" w:hanging="360"/>
      </w:pPr>
      <w:rPr>
        <w:rFonts w:ascii="Courier New" w:hAnsi="Courier New" w:cs="Courier New" w:hint="default"/>
      </w:rPr>
    </w:lvl>
    <w:lvl w:ilvl="2" w:tplc="4F7EFF1C" w:tentative="1">
      <w:start w:val="1"/>
      <w:numFmt w:val="bullet"/>
      <w:lvlText w:val=""/>
      <w:lvlJc w:val="left"/>
      <w:pPr>
        <w:ind w:left="2160" w:hanging="360"/>
      </w:pPr>
      <w:rPr>
        <w:rFonts w:ascii="Wingdings" w:hAnsi="Wingdings" w:hint="default"/>
      </w:rPr>
    </w:lvl>
    <w:lvl w:ilvl="3" w:tplc="78DE59A4" w:tentative="1">
      <w:start w:val="1"/>
      <w:numFmt w:val="bullet"/>
      <w:lvlText w:val=""/>
      <w:lvlJc w:val="left"/>
      <w:pPr>
        <w:ind w:left="2880" w:hanging="360"/>
      </w:pPr>
      <w:rPr>
        <w:rFonts w:ascii="Symbol" w:hAnsi="Symbol" w:hint="default"/>
      </w:rPr>
    </w:lvl>
    <w:lvl w:ilvl="4" w:tplc="58AE97BC" w:tentative="1">
      <w:start w:val="1"/>
      <w:numFmt w:val="bullet"/>
      <w:lvlText w:val="o"/>
      <w:lvlJc w:val="left"/>
      <w:pPr>
        <w:ind w:left="3600" w:hanging="360"/>
      </w:pPr>
      <w:rPr>
        <w:rFonts w:ascii="Courier New" w:hAnsi="Courier New" w:cs="Courier New" w:hint="default"/>
      </w:rPr>
    </w:lvl>
    <w:lvl w:ilvl="5" w:tplc="8A7413F0" w:tentative="1">
      <w:start w:val="1"/>
      <w:numFmt w:val="bullet"/>
      <w:lvlText w:val=""/>
      <w:lvlJc w:val="left"/>
      <w:pPr>
        <w:ind w:left="4320" w:hanging="360"/>
      </w:pPr>
      <w:rPr>
        <w:rFonts w:ascii="Wingdings" w:hAnsi="Wingdings" w:hint="default"/>
      </w:rPr>
    </w:lvl>
    <w:lvl w:ilvl="6" w:tplc="5F56D798" w:tentative="1">
      <w:start w:val="1"/>
      <w:numFmt w:val="bullet"/>
      <w:lvlText w:val=""/>
      <w:lvlJc w:val="left"/>
      <w:pPr>
        <w:ind w:left="5040" w:hanging="360"/>
      </w:pPr>
      <w:rPr>
        <w:rFonts w:ascii="Symbol" w:hAnsi="Symbol" w:hint="default"/>
      </w:rPr>
    </w:lvl>
    <w:lvl w:ilvl="7" w:tplc="6492A0C4" w:tentative="1">
      <w:start w:val="1"/>
      <w:numFmt w:val="bullet"/>
      <w:lvlText w:val="o"/>
      <w:lvlJc w:val="left"/>
      <w:pPr>
        <w:ind w:left="5760" w:hanging="360"/>
      </w:pPr>
      <w:rPr>
        <w:rFonts w:ascii="Courier New" w:hAnsi="Courier New" w:cs="Courier New" w:hint="default"/>
      </w:rPr>
    </w:lvl>
    <w:lvl w:ilvl="8" w:tplc="072EA8D0" w:tentative="1">
      <w:start w:val="1"/>
      <w:numFmt w:val="bullet"/>
      <w:lvlText w:val=""/>
      <w:lvlJc w:val="left"/>
      <w:pPr>
        <w:ind w:left="6480" w:hanging="360"/>
      </w:pPr>
      <w:rPr>
        <w:rFonts w:ascii="Wingdings" w:hAnsi="Wingdings" w:hint="default"/>
      </w:rPr>
    </w:lvl>
  </w:abstractNum>
  <w:abstractNum w:abstractNumId="11" w15:restartNumberingAfterBreak="0">
    <w:nsid w:val="08E90A4E"/>
    <w:multiLevelType w:val="hybridMultilevel"/>
    <w:tmpl w:val="F4B2E3F8"/>
    <w:lvl w:ilvl="0" w:tplc="824C0CF2">
      <w:start w:val="1"/>
      <w:numFmt w:val="bullet"/>
      <w:lvlText w:val=""/>
      <w:lvlJc w:val="left"/>
      <w:pPr>
        <w:ind w:left="716" w:hanging="360"/>
      </w:pPr>
      <w:rPr>
        <w:rFonts w:ascii="Symbol" w:hAnsi="Symbol" w:hint="default"/>
      </w:rPr>
    </w:lvl>
    <w:lvl w:ilvl="1" w:tplc="1E60D2DA">
      <w:start w:val="1"/>
      <w:numFmt w:val="bullet"/>
      <w:lvlText w:val="o"/>
      <w:lvlJc w:val="left"/>
      <w:pPr>
        <w:ind w:left="1436" w:hanging="360"/>
      </w:pPr>
      <w:rPr>
        <w:rFonts w:ascii="Courier New" w:hAnsi="Courier New" w:cs="Courier New" w:hint="default"/>
      </w:rPr>
    </w:lvl>
    <w:lvl w:ilvl="2" w:tplc="72D275D6" w:tentative="1">
      <w:start w:val="1"/>
      <w:numFmt w:val="bullet"/>
      <w:lvlText w:val=""/>
      <w:lvlJc w:val="left"/>
      <w:pPr>
        <w:ind w:left="2156" w:hanging="360"/>
      </w:pPr>
      <w:rPr>
        <w:rFonts w:ascii="Wingdings" w:hAnsi="Wingdings" w:hint="default"/>
      </w:rPr>
    </w:lvl>
    <w:lvl w:ilvl="3" w:tplc="20F6C6B0" w:tentative="1">
      <w:start w:val="1"/>
      <w:numFmt w:val="bullet"/>
      <w:lvlText w:val=""/>
      <w:lvlJc w:val="left"/>
      <w:pPr>
        <w:ind w:left="2876" w:hanging="360"/>
      </w:pPr>
      <w:rPr>
        <w:rFonts w:ascii="Symbol" w:hAnsi="Symbol" w:hint="default"/>
      </w:rPr>
    </w:lvl>
    <w:lvl w:ilvl="4" w:tplc="FB462DE0" w:tentative="1">
      <w:start w:val="1"/>
      <w:numFmt w:val="bullet"/>
      <w:lvlText w:val="o"/>
      <w:lvlJc w:val="left"/>
      <w:pPr>
        <w:ind w:left="3596" w:hanging="360"/>
      </w:pPr>
      <w:rPr>
        <w:rFonts w:ascii="Courier New" w:hAnsi="Courier New" w:cs="Courier New" w:hint="default"/>
      </w:rPr>
    </w:lvl>
    <w:lvl w:ilvl="5" w:tplc="3F58A2D0" w:tentative="1">
      <w:start w:val="1"/>
      <w:numFmt w:val="bullet"/>
      <w:lvlText w:val=""/>
      <w:lvlJc w:val="left"/>
      <w:pPr>
        <w:ind w:left="4316" w:hanging="360"/>
      </w:pPr>
      <w:rPr>
        <w:rFonts w:ascii="Wingdings" w:hAnsi="Wingdings" w:hint="default"/>
      </w:rPr>
    </w:lvl>
    <w:lvl w:ilvl="6" w:tplc="A9DC0626" w:tentative="1">
      <w:start w:val="1"/>
      <w:numFmt w:val="bullet"/>
      <w:lvlText w:val=""/>
      <w:lvlJc w:val="left"/>
      <w:pPr>
        <w:ind w:left="5036" w:hanging="360"/>
      </w:pPr>
      <w:rPr>
        <w:rFonts w:ascii="Symbol" w:hAnsi="Symbol" w:hint="default"/>
      </w:rPr>
    </w:lvl>
    <w:lvl w:ilvl="7" w:tplc="57D0221E" w:tentative="1">
      <w:start w:val="1"/>
      <w:numFmt w:val="bullet"/>
      <w:lvlText w:val="o"/>
      <w:lvlJc w:val="left"/>
      <w:pPr>
        <w:ind w:left="5756" w:hanging="360"/>
      </w:pPr>
      <w:rPr>
        <w:rFonts w:ascii="Courier New" w:hAnsi="Courier New" w:cs="Courier New" w:hint="default"/>
      </w:rPr>
    </w:lvl>
    <w:lvl w:ilvl="8" w:tplc="5D8AF174" w:tentative="1">
      <w:start w:val="1"/>
      <w:numFmt w:val="bullet"/>
      <w:lvlText w:val=""/>
      <w:lvlJc w:val="left"/>
      <w:pPr>
        <w:ind w:left="6476" w:hanging="360"/>
      </w:pPr>
      <w:rPr>
        <w:rFonts w:ascii="Wingdings" w:hAnsi="Wingdings" w:hint="default"/>
      </w:rPr>
    </w:lvl>
  </w:abstractNum>
  <w:abstractNum w:abstractNumId="12" w15:restartNumberingAfterBreak="0">
    <w:nsid w:val="09F82179"/>
    <w:multiLevelType w:val="hybridMultilevel"/>
    <w:tmpl w:val="E7E4A9FC"/>
    <w:lvl w:ilvl="0" w:tplc="6D1A04A0">
      <w:start w:val="1"/>
      <w:numFmt w:val="bullet"/>
      <w:lvlText w:val=""/>
      <w:lvlJc w:val="left"/>
      <w:pPr>
        <w:ind w:left="717" w:hanging="360"/>
      </w:pPr>
      <w:rPr>
        <w:rFonts w:ascii="Symbol" w:hAnsi="Symbol" w:hint="default"/>
      </w:rPr>
    </w:lvl>
    <w:lvl w:ilvl="1" w:tplc="DD48B2EA">
      <w:start w:val="1"/>
      <w:numFmt w:val="bullet"/>
      <w:lvlText w:val="o"/>
      <w:lvlJc w:val="left"/>
      <w:pPr>
        <w:ind w:left="1437" w:hanging="360"/>
      </w:pPr>
      <w:rPr>
        <w:rFonts w:ascii="Courier New" w:hAnsi="Courier New" w:cs="Courier New" w:hint="default"/>
      </w:rPr>
    </w:lvl>
    <w:lvl w:ilvl="2" w:tplc="5DD41C10">
      <w:start w:val="2"/>
      <w:numFmt w:val="bullet"/>
      <w:lvlText w:val="•"/>
      <w:lvlJc w:val="left"/>
      <w:pPr>
        <w:ind w:left="2157" w:hanging="360"/>
      </w:pPr>
      <w:rPr>
        <w:rFonts w:ascii="Garamond" w:eastAsia="Calibri" w:hAnsi="Garamond" w:cstheme="minorHAnsi" w:hint="default"/>
      </w:rPr>
    </w:lvl>
    <w:lvl w:ilvl="3" w:tplc="D6003882" w:tentative="1">
      <w:start w:val="1"/>
      <w:numFmt w:val="bullet"/>
      <w:lvlText w:val=""/>
      <w:lvlJc w:val="left"/>
      <w:pPr>
        <w:ind w:left="2877" w:hanging="360"/>
      </w:pPr>
      <w:rPr>
        <w:rFonts w:ascii="Symbol" w:hAnsi="Symbol" w:hint="default"/>
      </w:rPr>
    </w:lvl>
    <w:lvl w:ilvl="4" w:tplc="24846376" w:tentative="1">
      <w:start w:val="1"/>
      <w:numFmt w:val="bullet"/>
      <w:lvlText w:val="o"/>
      <w:lvlJc w:val="left"/>
      <w:pPr>
        <w:ind w:left="3597" w:hanging="360"/>
      </w:pPr>
      <w:rPr>
        <w:rFonts w:ascii="Courier New" w:hAnsi="Courier New" w:cs="Courier New" w:hint="default"/>
      </w:rPr>
    </w:lvl>
    <w:lvl w:ilvl="5" w:tplc="41108CB8" w:tentative="1">
      <w:start w:val="1"/>
      <w:numFmt w:val="bullet"/>
      <w:lvlText w:val=""/>
      <w:lvlJc w:val="left"/>
      <w:pPr>
        <w:ind w:left="4317" w:hanging="360"/>
      </w:pPr>
      <w:rPr>
        <w:rFonts w:ascii="Wingdings" w:hAnsi="Wingdings" w:hint="default"/>
      </w:rPr>
    </w:lvl>
    <w:lvl w:ilvl="6" w:tplc="F930436A" w:tentative="1">
      <w:start w:val="1"/>
      <w:numFmt w:val="bullet"/>
      <w:lvlText w:val=""/>
      <w:lvlJc w:val="left"/>
      <w:pPr>
        <w:ind w:left="5037" w:hanging="360"/>
      </w:pPr>
      <w:rPr>
        <w:rFonts w:ascii="Symbol" w:hAnsi="Symbol" w:hint="default"/>
      </w:rPr>
    </w:lvl>
    <w:lvl w:ilvl="7" w:tplc="8D9C288C" w:tentative="1">
      <w:start w:val="1"/>
      <w:numFmt w:val="bullet"/>
      <w:lvlText w:val="o"/>
      <w:lvlJc w:val="left"/>
      <w:pPr>
        <w:ind w:left="5757" w:hanging="360"/>
      </w:pPr>
      <w:rPr>
        <w:rFonts w:ascii="Courier New" w:hAnsi="Courier New" w:cs="Courier New" w:hint="default"/>
      </w:rPr>
    </w:lvl>
    <w:lvl w:ilvl="8" w:tplc="F5DA4C6A" w:tentative="1">
      <w:start w:val="1"/>
      <w:numFmt w:val="bullet"/>
      <w:lvlText w:val=""/>
      <w:lvlJc w:val="left"/>
      <w:pPr>
        <w:ind w:left="6477" w:hanging="360"/>
      </w:pPr>
      <w:rPr>
        <w:rFonts w:ascii="Wingdings" w:hAnsi="Wingdings" w:hint="default"/>
      </w:rPr>
    </w:lvl>
  </w:abstractNum>
  <w:abstractNum w:abstractNumId="13" w15:restartNumberingAfterBreak="0">
    <w:nsid w:val="0C473890"/>
    <w:multiLevelType w:val="hybridMultilevel"/>
    <w:tmpl w:val="51104BE6"/>
    <w:lvl w:ilvl="0" w:tplc="64429142">
      <w:start w:val="1"/>
      <w:numFmt w:val="upperLetter"/>
      <w:pStyle w:val="slovanseznam4"/>
      <w:lvlText w:val="%1."/>
      <w:lvlJc w:val="left"/>
      <w:pPr>
        <w:tabs>
          <w:tab w:val="num" w:pos="1429"/>
        </w:tabs>
        <w:ind w:left="1429" w:hanging="357"/>
      </w:pPr>
      <w:rPr>
        <w:rFonts w:hint="default"/>
      </w:rPr>
    </w:lvl>
    <w:lvl w:ilvl="1" w:tplc="F61AC808" w:tentative="1">
      <w:start w:val="1"/>
      <w:numFmt w:val="lowerLetter"/>
      <w:lvlText w:val="%2."/>
      <w:lvlJc w:val="left"/>
      <w:pPr>
        <w:tabs>
          <w:tab w:val="num" w:pos="1440"/>
        </w:tabs>
        <w:ind w:left="1440" w:hanging="360"/>
      </w:pPr>
    </w:lvl>
    <w:lvl w:ilvl="2" w:tplc="50CAE7DA" w:tentative="1">
      <w:start w:val="1"/>
      <w:numFmt w:val="lowerRoman"/>
      <w:lvlText w:val="%3."/>
      <w:lvlJc w:val="right"/>
      <w:pPr>
        <w:tabs>
          <w:tab w:val="num" w:pos="2160"/>
        </w:tabs>
        <w:ind w:left="2160" w:hanging="180"/>
      </w:pPr>
    </w:lvl>
    <w:lvl w:ilvl="3" w:tplc="19B8086A" w:tentative="1">
      <w:start w:val="1"/>
      <w:numFmt w:val="decimal"/>
      <w:lvlText w:val="%4."/>
      <w:lvlJc w:val="left"/>
      <w:pPr>
        <w:tabs>
          <w:tab w:val="num" w:pos="2880"/>
        </w:tabs>
        <w:ind w:left="2880" w:hanging="360"/>
      </w:pPr>
    </w:lvl>
    <w:lvl w:ilvl="4" w:tplc="172E903E" w:tentative="1">
      <w:start w:val="1"/>
      <w:numFmt w:val="lowerLetter"/>
      <w:lvlText w:val="%5."/>
      <w:lvlJc w:val="left"/>
      <w:pPr>
        <w:tabs>
          <w:tab w:val="num" w:pos="3600"/>
        </w:tabs>
        <w:ind w:left="3600" w:hanging="360"/>
      </w:pPr>
    </w:lvl>
    <w:lvl w:ilvl="5" w:tplc="1CCAC2E4" w:tentative="1">
      <w:start w:val="1"/>
      <w:numFmt w:val="lowerRoman"/>
      <w:lvlText w:val="%6."/>
      <w:lvlJc w:val="right"/>
      <w:pPr>
        <w:tabs>
          <w:tab w:val="num" w:pos="4320"/>
        </w:tabs>
        <w:ind w:left="4320" w:hanging="180"/>
      </w:pPr>
    </w:lvl>
    <w:lvl w:ilvl="6" w:tplc="45CABFAE" w:tentative="1">
      <w:start w:val="1"/>
      <w:numFmt w:val="decimal"/>
      <w:lvlText w:val="%7."/>
      <w:lvlJc w:val="left"/>
      <w:pPr>
        <w:tabs>
          <w:tab w:val="num" w:pos="5040"/>
        </w:tabs>
        <w:ind w:left="5040" w:hanging="360"/>
      </w:pPr>
    </w:lvl>
    <w:lvl w:ilvl="7" w:tplc="063EB98E" w:tentative="1">
      <w:start w:val="1"/>
      <w:numFmt w:val="lowerLetter"/>
      <w:lvlText w:val="%8."/>
      <w:lvlJc w:val="left"/>
      <w:pPr>
        <w:tabs>
          <w:tab w:val="num" w:pos="5760"/>
        </w:tabs>
        <w:ind w:left="5760" w:hanging="360"/>
      </w:pPr>
    </w:lvl>
    <w:lvl w:ilvl="8" w:tplc="03FE9FD6" w:tentative="1">
      <w:start w:val="1"/>
      <w:numFmt w:val="lowerRoman"/>
      <w:lvlText w:val="%9."/>
      <w:lvlJc w:val="right"/>
      <w:pPr>
        <w:tabs>
          <w:tab w:val="num" w:pos="6480"/>
        </w:tabs>
        <w:ind w:left="6480" w:hanging="180"/>
      </w:pPr>
    </w:lvl>
  </w:abstractNum>
  <w:abstractNum w:abstractNumId="14" w15:restartNumberingAfterBreak="0">
    <w:nsid w:val="0D5F1688"/>
    <w:multiLevelType w:val="hybridMultilevel"/>
    <w:tmpl w:val="2EEC8260"/>
    <w:lvl w:ilvl="0" w:tplc="A808D19E">
      <w:start w:val="1"/>
      <w:numFmt w:val="bullet"/>
      <w:lvlText w:val=""/>
      <w:lvlJc w:val="left"/>
      <w:pPr>
        <w:ind w:left="719" w:hanging="360"/>
      </w:pPr>
      <w:rPr>
        <w:rFonts w:ascii="Symbol" w:hAnsi="Symbol" w:hint="default"/>
      </w:rPr>
    </w:lvl>
    <w:lvl w:ilvl="1" w:tplc="283ABA72" w:tentative="1">
      <w:start w:val="1"/>
      <w:numFmt w:val="bullet"/>
      <w:lvlText w:val="o"/>
      <w:lvlJc w:val="left"/>
      <w:pPr>
        <w:ind w:left="1439" w:hanging="360"/>
      </w:pPr>
      <w:rPr>
        <w:rFonts w:ascii="Courier New" w:hAnsi="Courier New" w:cs="Courier New" w:hint="default"/>
      </w:rPr>
    </w:lvl>
    <w:lvl w:ilvl="2" w:tplc="448C37D4" w:tentative="1">
      <w:start w:val="1"/>
      <w:numFmt w:val="bullet"/>
      <w:lvlText w:val=""/>
      <w:lvlJc w:val="left"/>
      <w:pPr>
        <w:ind w:left="2159" w:hanging="360"/>
      </w:pPr>
      <w:rPr>
        <w:rFonts w:ascii="Wingdings" w:hAnsi="Wingdings" w:hint="default"/>
      </w:rPr>
    </w:lvl>
    <w:lvl w:ilvl="3" w:tplc="2BA0E476" w:tentative="1">
      <w:start w:val="1"/>
      <w:numFmt w:val="bullet"/>
      <w:lvlText w:val=""/>
      <w:lvlJc w:val="left"/>
      <w:pPr>
        <w:ind w:left="2879" w:hanging="360"/>
      </w:pPr>
      <w:rPr>
        <w:rFonts w:ascii="Symbol" w:hAnsi="Symbol" w:hint="default"/>
      </w:rPr>
    </w:lvl>
    <w:lvl w:ilvl="4" w:tplc="FF68BD5C" w:tentative="1">
      <w:start w:val="1"/>
      <w:numFmt w:val="bullet"/>
      <w:lvlText w:val="o"/>
      <w:lvlJc w:val="left"/>
      <w:pPr>
        <w:ind w:left="3599" w:hanging="360"/>
      </w:pPr>
      <w:rPr>
        <w:rFonts w:ascii="Courier New" w:hAnsi="Courier New" w:cs="Courier New" w:hint="default"/>
      </w:rPr>
    </w:lvl>
    <w:lvl w:ilvl="5" w:tplc="00A61700" w:tentative="1">
      <w:start w:val="1"/>
      <w:numFmt w:val="bullet"/>
      <w:lvlText w:val=""/>
      <w:lvlJc w:val="left"/>
      <w:pPr>
        <w:ind w:left="4319" w:hanging="360"/>
      </w:pPr>
      <w:rPr>
        <w:rFonts w:ascii="Wingdings" w:hAnsi="Wingdings" w:hint="default"/>
      </w:rPr>
    </w:lvl>
    <w:lvl w:ilvl="6" w:tplc="D40424A2" w:tentative="1">
      <w:start w:val="1"/>
      <w:numFmt w:val="bullet"/>
      <w:lvlText w:val=""/>
      <w:lvlJc w:val="left"/>
      <w:pPr>
        <w:ind w:left="5039" w:hanging="360"/>
      </w:pPr>
      <w:rPr>
        <w:rFonts w:ascii="Symbol" w:hAnsi="Symbol" w:hint="default"/>
      </w:rPr>
    </w:lvl>
    <w:lvl w:ilvl="7" w:tplc="D9760FBA" w:tentative="1">
      <w:start w:val="1"/>
      <w:numFmt w:val="bullet"/>
      <w:lvlText w:val="o"/>
      <w:lvlJc w:val="left"/>
      <w:pPr>
        <w:ind w:left="5759" w:hanging="360"/>
      </w:pPr>
      <w:rPr>
        <w:rFonts w:ascii="Courier New" w:hAnsi="Courier New" w:cs="Courier New" w:hint="default"/>
      </w:rPr>
    </w:lvl>
    <w:lvl w:ilvl="8" w:tplc="99A266D2" w:tentative="1">
      <w:start w:val="1"/>
      <w:numFmt w:val="bullet"/>
      <w:lvlText w:val=""/>
      <w:lvlJc w:val="left"/>
      <w:pPr>
        <w:ind w:left="6479" w:hanging="360"/>
      </w:pPr>
      <w:rPr>
        <w:rFonts w:ascii="Wingdings" w:hAnsi="Wingdings" w:hint="default"/>
      </w:rPr>
    </w:lvl>
  </w:abstractNum>
  <w:abstractNum w:abstractNumId="15" w15:restartNumberingAfterBreak="0">
    <w:nsid w:val="0DE54D0F"/>
    <w:multiLevelType w:val="hybridMultilevel"/>
    <w:tmpl w:val="7EF03348"/>
    <w:lvl w:ilvl="0" w:tplc="7A7A273E">
      <w:start w:val="1"/>
      <w:numFmt w:val="decimal"/>
      <w:pStyle w:val="vpis"/>
      <w:lvlText w:val="%1."/>
      <w:lvlJc w:val="left"/>
      <w:pPr>
        <w:ind w:left="720" w:hanging="360"/>
      </w:pPr>
      <w:rPr>
        <w:rFonts w:hint="default"/>
      </w:rPr>
    </w:lvl>
    <w:lvl w:ilvl="1" w:tplc="D27C9B9A" w:tentative="1">
      <w:start w:val="1"/>
      <w:numFmt w:val="lowerLetter"/>
      <w:lvlText w:val="%2."/>
      <w:lvlJc w:val="left"/>
      <w:pPr>
        <w:ind w:left="1440" w:hanging="360"/>
      </w:pPr>
    </w:lvl>
    <w:lvl w:ilvl="2" w:tplc="EE64FA04" w:tentative="1">
      <w:start w:val="1"/>
      <w:numFmt w:val="lowerRoman"/>
      <w:lvlText w:val="%3."/>
      <w:lvlJc w:val="right"/>
      <w:pPr>
        <w:ind w:left="2160" w:hanging="180"/>
      </w:pPr>
    </w:lvl>
    <w:lvl w:ilvl="3" w:tplc="0B668AAA" w:tentative="1">
      <w:start w:val="1"/>
      <w:numFmt w:val="decimal"/>
      <w:lvlText w:val="%4."/>
      <w:lvlJc w:val="left"/>
      <w:pPr>
        <w:ind w:left="2880" w:hanging="360"/>
      </w:pPr>
    </w:lvl>
    <w:lvl w:ilvl="4" w:tplc="FBD4B80C" w:tentative="1">
      <w:start w:val="1"/>
      <w:numFmt w:val="lowerLetter"/>
      <w:lvlText w:val="%5."/>
      <w:lvlJc w:val="left"/>
      <w:pPr>
        <w:ind w:left="3600" w:hanging="360"/>
      </w:pPr>
    </w:lvl>
    <w:lvl w:ilvl="5" w:tplc="4D648168" w:tentative="1">
      <w:start w:val="1"/>
      <w:numFmt w:val="lowerRoman"/>
      <w:lvlText w:val="%6."/>
      <w:lvlJc w:val="right"/>
      <w:pPr>
        <w:ind w:left="4320" w:hanging="180"/>
      </w:pPr>
    </w:lvl>
    <w:lvl w:ilvl="6" w:tplc="0D827582" w:tentative="1">
      <w:start w:val="1"/>
      <w:numFmt w:val="decimal"/>
      <w:lvlText w:val="%7."/>
      <w:lvlJc w:val="left"/>
      <w:pPr>
        <w:ind w:left="5040" w:hanging="360"/>
      </w:pPr>
    </w:lvl>
    <w:lvl w:ilvl="7" w:tplc="823CBDC0" w:tentative="1">
      <w:start w:val="1"/>
      <w:numFmt w:val="lowerLetter"/>
      <w:lvlText w:val="%8."/>
      <w:lvlJc w:val="left"/>
      <w:pPr>
        <w:ind w:left="5760" w:hanging="360"/>
      </w:pPr>
    </w:lvl>
    <w:lvl w:ilvl="8" w:tplc="1E8E7EAE" w:tentative="1">
      <w:start w:val="1"/>
      <w:numFmt w:val="lowerRoman"/>
      <w:lvlText w:val="%9."/>
      <w:lvlJc w:val="right"/>
      <w:pPr>
        <w:ind w:left="6480" w:hanging="180"/>
      </w:pPr>
    </w:lvl>
  </w:abstractNum>
  <w:abstractNum w:abstractNumId="16" w15:restartNumberingAfterBreak="0">
    <w:nsid w:val="11701C7B"/>
    <w:multiLevelType w:val="hybridMultilevel"/>
    <w:tmpl w:val="90B856EC"/>
    <w:lvl w:ilvl="0" w:tplc="9F3E8B66">
      <w:start w:val="1"/>
      <w:numFmt w:val="bullet"/>
      <w:lvlText w:val=""/>
      <w:lvlJc w:val="left"/>
      <w:pPr>
        <w:ind w:left="720" w:hanging="360"/>
      </w:pPr>
      <w:rPr>
        <w:rFonts w:ascii="Symbol" w:hAnsi="Symbol" w:hint="default"/>
      </w:rPr>
    </w:lvl>
    <w:lvl w:ilvl="1" w:tplc="41B04FC8" w:tentative="1">
      <w:start w:val="1"/>
      <w:numFmt w:val="bullet"/>
      <w:lvlText w:val="o"/>
      <w:lvlJc w:val="left"/>
      <w:pPr>
        <w:ind w:left="1440" w:hanging="360"/>
      </w:pPr>
      <w:rPr>
        <w:rFonts w:ascii="Courier New" w:hAnsi="Courier New" w:cs="Courier New" w:hint="default"/>
      </w:rPr>
    </w:lvl>
    <w:lvl w:ilvl="2" w:tplc="35346C1A" w:tentative="1">
      <w:start w:val="1"/>
      <w:numFmt w:val="bullet"/>
      <w:lvlText w:val=""/>
      <w:lvlJc w:val="left"/>
      <w:pPr>
        <w:ind w:left="2160" w:hanging="360"/>
      </w:pPr>
      <w:rPr>
        <w:rFonts w:ascii="Wingdings" w:hAnsi="Wingdings" w:hint="default"/>
      </w:rPr>
    </w:lvl>
    <w:lvl w:ilvl="3" w:tplc="8C10B690" w:tentative="1">
      <w:start w:val="1"/>
      <w:numFmt w:val="bullet"/>
      <w:lvlText w:val=""/>
      <w:lvlJc w:val="left"/>
      <w:pPr>
        <w:ind w:left="2880" w:hanging="360"/>
      </w:pPr>
      <w:rPr>
        <w:rFonts w:ascii="Symbol" w:hAnsi="Symbol" w:hint="default"/>
      </w:rPr>
    </w:lvl>
    <w:lvl w:ilvl="4" w:tplc="438CD8FE" w:tentative="1">
      <w:start w:val="1"/>
      <w:numFmt w:val="bullet"/>
      <w:lvlText w:val="o"/>
      <w:lvlJc w:val="left"/>
      <w:pPr>
        <w:ind w:left="3600" w:hanging="360"/>
      </w:pPr>
      <w:rPr>
        <w:rFonts w:ascii="Courier New" w:hAnsi="Courier New" w:cs="Courier New" w:hint="default"/>
      </w:rPr>
    </w:lvl>
    <w:lvl w:ilvl="5" w:tplc="05B0B29C" w:tentative="1">
      <w:start w:val="1"/>
      <w:numFmt w:val="bullet"/>
      <w:lvlText w:val=""/>
      <w:lvlJc w:val="left"/>
      <w:pPr>
        <w:ind w:left="4320" w:hanging="360"/>
      </w:pPr>
      <w:rPr>
        <w:rFonts w:ascii="Wingdings" w:hAnsi="Wingdings" w:hint="default"/>
      </w:rPr>
    </w:lvl>
    <w:lvl w:ilvl="6" w:tplc="BF969692" w:tentative="1">
      <w:start w:val="1"/>
      <w:numFmt w:val="bullet"/>
      <w:lvlText w:val=""/>
      <w:lvlJc w:val="left"/>
      <w:pPr>
        <w:ind w:left="5040" w:hanging="360"/>
      </w:pPr>
      <w:rPr>
        <w:rFonts w:ascii="Symbol" w:hAnsi="Symbol" w:hint="default"/>
      </w:rPr>
    </w:lvl>
    <w:lvl w:ilvl="7" w:tplc="0A28005E" w:tentative="1">
      <w:start w:val="1"/>
      <w:numFmt w:val="bullet"/>
      <w:lvlText w:val="o"/>
      <w:lvlJc w:val="left"/>
      <w:pPr>
        <w:ind w:left="5760" w:hanging="360"/>
      </w:pPr>
      <w:rPr>
        <w:rFonts w:ascii="Courier New" w:hAnsi="Courier New" w:cs="Courier New" w:hint="default"/>
      </w:rPr>
    </w:lvl>
    <w:lvl w:ilvl="8" w:tplc="833036EC" w:tentative="1">
      <w:start w:val="1"/>
      <w:numFmt w:val="bullet"/>
      <w:lvlText w:val=""/>
      <w:lvlJc w:val="left"/>
      <w:pPr>
        <w:ind w:left="6480" w:hanging="360"/>
      </w:pPr>
      <w:rPr>
        <w:rFonts w:ascii="Wingdings" w:hAnsi="Wingdings" w:hint="default"/>
      </w:rPr>
    </w:lvl>
  </w:abstractNum>
  <w:abstractNum w:abstractNumId="17" w15:restartNumberingAfterBreak="0">
    <w:nsid w:val="11B74CD4"/>
    <w:multiLevelType w:val="multilevel"/>
    <w:tmpl w:val="77C2D922"/>
    <w:name w:val="list-bullet-black-table2"/>
    <w:lvl w:ilvl="0">
      <w:start w:val="1"/>
      <w:numFmt w:val="bullet"/>
      <w:pStyle w:val="list-bullet-black-table"/>
      <w:lvlText w:val=""/>
      <w:lvlJc w:val="left"/>
      <w:pPr>
        <w:ind w:left="284" w:hanging="284"/>
      </w:pPr>
      <w:rPr>
        <w:rFonts w:ascii="Symbol" w:hAnsi="Symbol" w:hint="default"/>
        <w:color w:val="000000" w:themeColor="text1"/>
        <w:sz w:val="16"/>
      </w:rPr>
    </w:lvl>
    <w:lvl w:ilvl="1">
      <w:start w:val="1"/>
      <w:numFmt w:val="bullet"/>
      <w:lvlText w:val="-"/>
      <w:lvlJc w:val="left"/>
      <w:pPr>
        <w:ind w:left="568" w:hanging="284"/>
      </w:pPr>
      <w:rPr>
        <w:rFonts w:ascii="Arial" w:hAnsi="Arial" w:cs="Arial"/>
        <w:color w:val="000000" w:themeColor="text1"/>
        <w:sz w:val="16"/>
      </w:rPr>
    </w:lvl>
    <w:lvl w:ilvl="2">
      <w:start w:val="1"/>
      <w:numFmt w:val="bullet"/>
      <w:lvlText w:val=""/>
      <w:lvlJc w:val="left"/>
      <w:pPr>
        <w:ind w:left="852" w:hanging="284"/>
      </w:pPr>
      <w:rPr>
        <w:rFonts w:ascii="Symbol" w:hAnsi="Symbol" w:hint="default"/>
        <w:color w:val="000000" w:themeColor="text1"/>
        <w:sz w:val="16"/>
      </w:rPr>
    </w:lvl>
    <w:lvl w:ilvl="3">
      <w:start w:val="1"/>
      <w:numFmt w:val="bullet"/>
      <w:lvlText w:val="-"/>
      <w:lvlJc w:val="left"/>
      <w:pPr>
        <w:ind w:left="1136" w:hanging="284"/>
      </w:pPr>
      <w:rPr>
        <w:rFonts w:ascii="Arial" w:hAnsi="Arial" w:cs="Arial"/>
        <w:color w:val="000000" w:themeColor="text1"/>
        <w:sz w:val="16"/>
      </w:rPr>
    </w:lvl>
    <w:lvl w:ilvl="4">
      <w:start w:val="1"/>
      <w:numFmt w:val="bullet"/>
      <w:lvlText w:val=""/>
      <w:lvlJc w:val="left"/>
      <w:pPr>
        <w:ind w:left="1420" w:hanging="284"/>
      </w:pPr>
      <w:rPr>
        <w:rFonts w:ascii="Symbol" w:hAnsi="Symbol" w:hint="default"/>
        <w:color w:val="000000" w:themeColor="text1"/>
        <w:sz w:val="16"/>
      </w:rPr>
    </w:lvl>
    <w:lvl w:ilvl="5">
      <w:start w:val="1"/>
      <w:numFmt w:val="bullet"/>
      <w:lvlText w:val="-"/>
      <w:lvlJc w:val="left"/>
      <w:pPr>
        <w:ind w:left="1704" w:hanging="284"/>
      </w:pPr>
      <w:rPr>
        <w:rFonts w:ascii="Arial" w:hAnsi="Arial" w:cs="Arial"/>
        <w:color w:val="000000" w:themeColor="text1"/>
        <w:sz w:val="16"/>
      </w:rPr>
    </w:lvl>
    <w:lvl w:ilvl="6">
      <w:start w:val="1"/>
      <w:numFmt w:val="bullet"/>
      <w:lvlText w:val=""/>
      <w:lvlJc w:val="left"/>
      <w:pPr>
        <w:ind w:left="1988" w:hanging="284"/>
      </w:pPr>
      <w:rPr>
        <w:rFonts w:ascii="Symbol" w:hAnsi="Symbol" w:hint="default"/>
        <w:color w:val="000000" w:themeColor="text1"/>
        <w:sz w:val="16"/>
      </w:rPr>
    </w:lvl>
    <w:lvl w:ilvl="7">
      <w:start w:val="1"/>
      <w:numFmt w:val="bullet"/>
      <w:lvlText w:val="-"/>
      <w:lvlJc w:val="left"/>
      <w:pPr>
        <w:ind w:left="2272" w:hanging="284"/>
      </w:pPr>
      <w:rPr>
        <w:rFonts w:ascii="Arial" w:hAnsi="Arial" w:cs="Arial"/>
        <w:color w:val="000000" w:themeColor="text1"/>
        <w:sz w:val="16"/>
      </w:rPr>
    </w:lvl>
    <w:lvl w:ilvl="8">
      <w:start w:val="1"/>
      <w:numFmt w:val="bullet"/>
      <w:lvlText w:val=""/>
      <w:lvlJc w:val="left"/>
      <w:pPr>
        <w:ind w:left="2556" w:hanging="284"/>
      </w:pPr>
      <w:rPr>
        <w:rFonts w:ascii="Symbol" w:hAnsi="Symbol" w:hint="default"/>
        <w:color w:val="000000" w:themeColor="text1"/>
        <w:sz w:val="16"/>
      </w:rPr>
    </w:lvl>
  </w:abstractNum>
  <w:abstractNum w:abstractNumId="18" w15:restartNumberingAfterBreak="0">
    <w:nsid w:val="123B1BF3"/>
    <w:multiLevelType w:val="hybridMultilevel"/>
    <w:tmpl w:val="D57A52D6"/>
    <w:lvl w:ilvl="0" w:tplc="61A68174">
      <w:start w:val="1"/>
      <w:numFmt w:val="bullet"/>
      <w:pStyle w:val="neslovanseznam2"/>
      <w:lvlText w:val="o"/>
      <w:lvlJc w:val="left"/>
      <w:pPr>
        <w:tabs>
          <w:tab w:val="num" w:pos="717"/>
        </w:tabs>
        <w:ind w:left="717" w:hanging="360"/>
      </w:pPr>
      <w:rPr>
        <w:rFonts w:ascii="Courier New" w:hAnsi="Courier New" w:hint="default"/>
      </w:rPr>
    </w:lvl>
    <w:lvl w:ilvl="1" w:tplc="D0C0E50E">
      <w:start w:val="1"/>
      <w:numFmt w:val="lowerLetter"/>
      <w:lvlText w:val="%2."/>
      <w:lvlJc w:val="left"/>
      <w:pPr>
        <w:tabs>
          <w:tab w:val="num" w:pos="1428"/>
        </w:tabs>
        <w:ind w:left="1428" w:hanging="360"/>
      </w:pPr>
    </w:lvl>
    <w:lvl w:ilvl="2" w:tplc="08341064">
      <w:start w:val="1"/>
      <w:numFmt w:val="lowerRoman"/>
      <w:lvlText w:val="%3."/>
      <w:lvlJc w:val="right"/>
      <w:pPr>
        <w:tabs>
          <w:tab w:val="num" w:pos="2148"/>
        </w:tabs>
        <w:ind w:left="2148" w:hanging="180"/>
      </w:pPr>
    </w:lvl>
    <w:lvl w:ilvl="3" w:tplc="342CC90E" w:tentative="1">
      <w:start w:val="1"/>
      <w:numFmt w:val="decimal"/>
      <w:lvlText w:val="%4."/>
      <w:lvlJc w:val="left"/>
      <w:pPr>
        <w:tabs>
          <w:tab w:val="num" w:pos="2868"/>
        </w:tabs>
        <w:ind w:left="2868" w:hanging="360"/>
      </w:pPr>
    </w:lvl>
    <w:lvl w:ilvl="4" w:tplc="B898560A" w:tentative="1">
      <w:start w:val="1"/>
      <w:numFmt w:val="lowerLetter"/>
      <w:lvlText w:val="%5."/>
      <w:lvlJc w:val="left"/>
      <w:pPr>
        <w:tabs>
          <w:tab w:val="num" w:pos="3588"/>
        </w:tabs>
        <w:ind w:left="3588" w:hanging="360"/>
      </w:pPr>
    </w:lvl>
    <w:lvl w:ilvl="5" w:tplc="21CCF188" w:tentative="1">
      <w:start w:val="1"/>
      <w:numFmt w:val="lowerRoman"/>
      <w:lvlText w:val="%6."/>
      <w:lvlJc w:val="right"/>
      <w:pPr>
        <w:tabs>
          <w:tab w:val="num" w:pos="4308"/>
        </w:tabs>
        <w:ind w:left="4308" w:hanging="180"/>
      </w:pPr>
    </w:lvl>
    <w:lvl w:ilvl="6" w:tplc="861EB70C" w:tentative="1">
      <w:start w:val="1"/>
      <w:numFmt w:val="decimal"/>
      <w:lvlText w:val="%7."/>
      <w:lvlJc w:val="left"/>
      <w:pPr>
        <w:tabs>
          <w:tab w:val="num" w:pos="5028"/>
        </w:tabs>
        <w:ind w:left="5028" w:hanging="360"/>
      </w:pPr>
    </w:lvl>
    <w:lvl w:ilvl="7" w:tplc="CB10D662" w:tentative="1">
      <w:start w:val="1"/>
      <w:numFmt w:val="lowerLetter"/>
      <w:lvlText w:val="%8."/>
      <w:lvlJc w:val="left"/>
      <w:pPr>
        <w:tabs>
          <w:tab w:val="num" w:pos="5748"/>
        </w:tabs>
        <w:ind w:left="5748" w:hanging="360"/>
      </w:pPr>
    </w:lvl>
    <w:lvl w:ilvl="8" w:tplc="FBD4B066" w:tentative="1">
      <w:start w:val="1"/>
      <w:numFmt w:val="lowerRoman"/>
      <w:lvlText w:val="%9."/>
      <w:lvlJc w:val="right"/>
      <w:pPr>
        <w:tabs>
          <w:tab w:val="num" w:pos="6468"/>
        </w:tabs>
        <w:ind w:left="6468" w:hanging="180"/>
      </w:pPr>
    </w:lvl>
  </w:abstractNum>
  <w:abstractNum w:abstractNumId="19" w15:restartNumberingAfterBreak="0">
    <w:nsid w:val="1262685D"/>
    <w:multiLevelType w:val="singleLevel"/>
    <w:tmpl w:val="D96C95A2"/>
    <w:lvl w:ilvl="0">
      <w:start w:val="1"/>
      <w:numFmt w:val="bullet"/>
      <w:pStyle w:val="Seznamsodrkami4"/>
      <w:lvlText w:val=""/>
      <w:lvlJc w:val="left"/>
      <w:pPr>
        <w:tabs>
          <w:tab w:val="num" w:pos="3163"/>
        </w:tabs>
        <w:ind w:left="3163" w:hanging="283"/>
      </w:pPr>
      <w:rPr>
        <w:rFonts w:ascii="Symbol" w:hAnsi="Symbol"/>
      </w:rPr>
    </w:lvl>
  </w:abstractNum>
  <w:abstractNum w:abstractNumId="20" w15:restartNumberingAfterBreak="0">
    <w:nsid w:val="1615572B"/>
    <w:multiLevelType w:val="multilevel"/>
    <w:tmpl w:val="3320A8B2"/>
    <w:styleLink w:val="VariantaB-odrky"/>
    <w:lvl w:ilvl="0">
      <w:start w:val="1"/>
      <w:numFmt w:val="bullet"/>
      <w:pStyle w:val="SeznamsodrkamiB"/>
      <w:lvlText w:val="—"/>
      <w:lvlJc w:val="left"/>
      <w:pPr>
        <w:ind w:left="357" w:hanging="357"/>
      </w:pPr>
      <w:rPr>
        <w:rFonts w:ascii="Calibri" w:hAnsi="Calibri" w:cs="Times New Roman" w:hint="default"/>
        <w:sz w:val="16"/>
      </w:rPr>
    </w:lvl>
    <w:lvl w:ilvl="1">
      <w:start w:val="1"/>
      <w:numFmt w:val="bullet"/>
      <w:pStyle w:val="SeznamsodrkamiB2"/>
      <w:lvlText w:val=""/>
      <w:lvlJc w:val="left"/>
      <w:pPr>
        <w:ind w:left="714" w:hanging="357"/>
      </w:pPr>
      <w:rPr>
        <w:rFonts w:ascii="Wingdings" w:hAnsi="Wingdings" w:hint="default"/>
        <w:sz w:val="14"/>
      </w:rPr>
    </w:lvl>
    <w:lvl w:ilvl="2">
      <w:start w:val="1"/>
      <w:numFmt w:val="bullet"/>
      <w:pStyle w:val="SeznamsodrkamiB3"/>
      <w:lvlText w:val=""/>
      <w:lvlJc w:val="left"/>
      <w:pPr>
        <w:ind w:left="1071" w:hanging="357"/>
      </w:pPr>
      <w:rPr>
        <w:rFonts w:ascii="Wingdings 2" w:hAnsi="Wingdings 2" w:hint="default"/>
      </w:rPr>
    </w:lvl>
    <w:lvl w:ilvl="3">
      <w:start w:val="1"/>
      <w:numFmt w:val="bullet"/>
      <w:pStyle w:val="SeznamsodrkamiB4"/>
      <w:lvlText w:val=""/>
      <w:lvlJc w:val="left"/>
      <w:pPr>
        <w:ind w:left="1428" w:hanging="357"/>
      </w:pPr>
      <w:rPr>
        <w:rFonts w:ascii="Wingdings 2" w:hAnsi="Wingdings 2" w:hint="default"/>
      </w:rPr>
    </w:lvl>
    <w:lvl w:ilvl="4">
      <w:start w:val="1"/>
      <w:numFmt w:val="bullet"/>
      <w:pStyle w:val="SeznamsodrkamiB5"/>
      <w:lvlText w:val=""/>
      <w:lvlJc w:val="left"/>
      <w:pPr>
        <w:ind w:left="1785" w:hanging="357"/>
      </w:pPr>
      <w:rPr>
        <w:rFonts w:ascii="Wingdings 2" w:hAnsi="Wingdings 2" w:hint="default"/>
      </w:rPr>
    </w:lvl>
    <w:lvl w:ilvl="5">
      <w:start w:val="1"/>
      <w:numFmt w:val="bullet"/>
      <w:lvlText w:val=""/>
      <w:lvlJc w:val="left"/>
      <w:pPr>
        <w:ind w:left="2142" w:hanging="357"/>
      </w:pPr>
      <w:rPr>
        <w:rFonts w:ascii="Wingdings 2" w:hAnsi="Wingdings 2" w:cs="Times New Roman" w:hint="default"/>
      </w:rPr>
    </w:lvl>
    <w:lvl w:ilvl="6">
      <w:start w:val="1"/>
      <w:numFmt w:val="bullet"/>
      <w:lvlText w:val=""/>
      <w:lvlJc w:val="left"/>
      <w:pPr>
        <w:ind w:left="2499" w:hanging="357"/>
      </w:pPr>
      <w:rPr>
        <w:rFonts w:ascii="Wingdings 2" w:hAnsi="Wingdings 2" w:cs="Times New Roman" w:hint="default"/>
      </w:rPr>
    </w:lvl>
    <w:lvl w:ilvl="7">
      <w:start w:val="1"/>
      <w:numFmt w:val="bullet"/>
      <w:lvlText w:val=""/>
      <w:lvlJc w:val="left"/>
      <w:pPr>
        <w:ind w:left="2856" w:hanging="357"/>
      </w:pPr>
      <w:rPr>
        <w:rFonts w:ascii="Wingdings 2" w:hAnsi="Wingdings 2" w:cs="Times New Roman" w:hint="default"/>
      </w:rPr>
    </w:lvl>
    <w:lvl w:ilvl="8">
      <w:start w:val="1"/>
      <w:numFmt w:val="bullet"/>
      <w:lvlText w:val=""/>
      <w:lvlJc w:val="left"/>
      <w:pPr>
        <w:ind w:left="3213" w:hanging="357"/>
      </w:pPr>
      <w:rPr>
        <w:rFonts w:ascii="Wingdings 2" w:hAnsi="Wingdings 2" w:cs="Times New Roman" w:hint="default"/>
      </w:rPr>
    </w:lvl>
  </w:abstractNum>
  <w:abstractNum w:abstractNumId="21" w15:restartNumberingAfterBreak="0">
    <w:nsid w:val="18174F7B"/>
    <w:multiLevelType w:val="hybridMultilevel"/>
    <w:tmpl w:val="8D50D460"/>
    <w:lvl w:ilvl="0" w:tplc="FB161590">
      <w:start w:val="1"/>
      <w:numFmt w:val="upperLetter"/>
      <w:lvlText w:val="%1."/>
      <w:lvlJc w:val="left"/>
      <w:pPr>
        <w:ind w:left="716" w:hanging="360"/>
      </w:pPr>
    </w:lvl>
    <w:lvl w:ilvl="1" w:tplc="9A30B0AC" w:tentative="1">
      <w:start w:val="1"/>
      <w:numFmt w:val="lowerLetter"/>
      <w:lvlText w:val="%2."/>
      <w:lvlJc w:val="left"/>
      <w:pPr>
        <w:ind w:left="1436" w:hanging="360"/>
      </w:pPr>
    </w:lvl>
    <w:lvl w:ilvl="2" w:tplc="426A2830" w:tentative="1">
      <w:start w:val="1"/>
      <w:numFmt w:val="lowerRoman"/>
      <w:lvlText w:val="%3."/>
      <w:lvlJc w:val="right"/>
      <w:pPr>
        <w:ind w:left="2156" w:hanging="180"/>
      </w:pPr>
    </w:lvl>
    <w:lvl w:ilvl="3" w:tplc="4360353C" w:tentative="1">
      <w:start w:val="1"/>
      <w:numFmt w:val="decimal"/>
      <w:lvlText w:val="%4."/>
      <w:lvlJc w:val="left"/>
      <w:pPr>
        <w:ind w:left="2876" w:hanging="360"/>
      </w:pPr>
    </w:lvl>
    <w:lvl w:ilvl="4" w:tplc="B9DE0EB6" w:tentative="1">
      <w:start w:val="1"/>
      <w:numFmt w:val="lowerLetter"/>
      <w:lvlText w:val="%5."/>
      <w:lvlJc w:val="left"/>
      <w:pPr>
        <w:ind w:left="3596" w:hanging="360"/>
      </w:pPr>
    </w:lvl>
    <w:lvl w:ilvl="5" w:tplc="C3505000" w:tentative="1">
      <w:start w:val="1"/>
      <w:numFmt w:val="lowerRoman"/>
      <w:lvlText w:val="%6."/>
      <w:lvlJc w:val="right"/>
      <w:pPr>
        <w:ind w:left="4316" w:hanging="180"/>
      </w:pPr>
    </w:lvl>
    <w:lvl w:ilvl="6" w:tplc="8A2AF2B8" w:tentative="1">
      <w:start w:val="1"/>
      <w:numFmt w:val="decimal"/>
      <w:lvlText w:val="%7."/>
      <w:lvlJc w:val="left"/>
      <w:pPr>
        <w:ind w:left="5036" w:hanging="360"/>
      </w:pPr>
    </w:lvl>
    <w:lvl w:ilvl="7" w:tplc="35DA3FA6" w:tentative="1">
      <w:start w:val="1"/>
      <w:numFmt w:val="lowerLetter"/>
      <w:lvlText w:val="%8."/>
      <w:lvlJc w:val="left"/>
      <w:pPr>
        <w:ind w:left="5756" w:hanging="360"/>
      </w:pPr>
    </w:lvl>
    <w:lvl w:ilvl="8" w:tplc="2D36EA74" w:tentative="1">
      <w:start w:val="1"/>
      <w:numFmt w:val="lowerRoman"/>
      <w:lvlText w:val="%9."/>
      <w:lvlJc w:val="right"/>
      <w:pPr>
        <w:ind w:left="6476" w:hanging="180"/>
      </w:pPr>
    </w:lvl>
  </w:abstractNum>
  <w:abstractNum w:abstractNumId="22" w15:restartNumberingAfterBreak="0">
    <w:nsid w:val="19906D64"/>
    <w:multiLevelType w:val="singleLevel"/>
    <w:tmpl w:val="E9028870"/>
    <w:lvl w:ilvl="0">
      <w:start w:val="1"/>
      <w:numFmt w:val="upperRoman"/>
      <w:pStyle w:val="Podnadpis"/>
      <w:lvlText w:val="%1."/>
      <w:lvlJc w:val="left"/>
      <w:pPr>
        <w:tabs>
          <w:tab w:val="num" w:pos="720"/>
        </w:tabs>
        <w:ind w:left="720" w:hanging="720"/>
      </w:pPr>
      <w:rPr>
        <w:rFonts w:hint="default"/>
      </w:rPr>
    </w:lvl>
  </w:abstractNum>
  <w:abstractNum w:abstractNumId="23" w15:restartNumberingAfterBreak="0">
    <w:nsid w:val="1B3C78B8"/>
    <w:multiLevelType w:val="multilevel"/>
    <w:tmpl w:val="2ED4F4D0"/>
    <w:name w:val="Point"/>
    <w:lvl w:ilvl="0">
      <w:start w:val="1"/>
      <w:numFmt w:val="decimal"/>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24" w15:restartNumberingAfterBreak="0">
    <w:nsid w:val="1C5B108A"/>
    <w:multiLevelType w:val="hybridMultilevel"/>
    <w:tmpl w:val="9F62EDE8"/>
    <w:lvl w:ilvl="0" w:tplc="56846DCA">
      <w:start w:val="1"/>
      <w:numFmt w:val="bullet"/>
      <w:pStyle w:val="Bullet2"/>
      <w:lvlText w:val="o"/>
      <w:lvlJc w:val="left"/>
      <w:pPr>
        <w:tabs>
          <w:tab w:val="num" w:pos="720"/>
        </w:tabs>
        <w:ind w:left="720" w:hanging="360"/>
      </w:pPr>
      <w:rPr>
        <w:rFonts w:ascii="Courier New" w:hAnsi="Courier New" w:hint="default"/>
      </w:rPr>
    </w:lvl>
    <w:lvl w:ilvl="1" w:tplc="4FBE80CC" w:tentative="1">
      <w:start w:val="1"/>
      <w:numFmt w:val="bullet"/>
      <w:lvlText w:val="o"/>
      <w:lvlJc w:val="left"/>
      <w:pPr>
        <w:tabs>
          <w:tab w:val="num" w:pos="1440"/>
        </w:tabs>
        <w:ind w:left="1440" w:hanging="360"/>
      </w:pPr>
      <w:rPr>
        <w:rFonts w:ascii="Courier New" w:hAnsi="Courier New" w:hint="default"/>
      </w:rPr>
    </w:lvl>
    <w:lvl w:ilvl="2" w:tplc="78083CCE" w:tentative="1">
      <w:start w:val="1"/>
      <w:numFmt w:val="bullet"/>
      <w:lvlText w:val=""/>
      <w:lvlJc w:val="left"/>
      <w:pPr>
        <w:tabs>
          <w:tab w:val="num" w:pos="2160"/>
        </w:tabs>
        <w:ind w:left="2160" w:hanging="360"/>
      </w:pPr>
      <w:rPr>
        <w:rFonts w:ascii="Wingdings" w:hAnsi="Wingdings" w:hint="default"/>
      </w:rPr>
    </w:lvl>
    <w:lvl w:ilvl="3" w:tplc="0D14F62A" w:tentative="1">
      <w:start w:val="1"/>
      <w:numFmt w:val="bullet"/>
      <w:lvlText w:val=""/>
      <w:lvlJc w:val="left"/>
      <w:pPr>
        <w:tabs>
          <w:tab w:val="num" w:pos="2880"/>
        </w:tabs>
        <w:ind w:left="2880" w:hanging="360"/>
      </w:pPr>
      <w:rPr>
        <w:rFonts w:ascii="Symbol" w:hAnsi="Symbol" w:hint="default"/>
      </w:rPr>
    </w:lvl>
    <w:lvl w:ilvl="4" w:tplc="4DBED51A" w:tentative="1">
      <w:start w:val="1"/>
      <w:numFmt w:val="bullet"/>
      <w:lvlText w:val="o"/>
      <w:lvlJc w:val="left"/>
      <w:pPr>
        <w:tabs>
          <w:tab w:val="num" w:pos="3600"/>
        </w:tabs>
        <w:ind w:left="3600" w:hanging="360"/>
      </w:pPr>
      <w:rPr>
        <w:rFonts w:ascii="Courier New" w:hAnsi="Courier New" w:hint="default"/>
      </w:rPr>
    </w:lvl>
    <w:lvl w:ilvl="5" w:tplc="FA4270C8" w:tentative="1">
      <w:start w:val="1"/>
      <w:numFmt w:val="bullet"/>
      <w:lvlText w:val=""/>
      <w:lvlJc w:val="left"/>
      <w:pPr>
        <w:tabs>
          <w:tab w:val="num" w:pos="4320"/>
        </w:tabs>
        <w:ind w:left="4320" w:hanging="360"/>
      </w:pPr>
      <w:rPr>
        <w:rFonts w:ascii="Wingdings" w:hAnsi="Wingdings" w:hint="default"/>
      </w:rPr>
    </w:lvl>
    <w:lvl w:ilvl="6" w:tplc="19369F74" w:tentative="1">
      <w:start w:val="1"/>
      <w:numFmt w:val="bullet"/>
      <w:lvlText w:val=""/>
      <w:lvlJc w:val="left"/>
      <w:pPr>
        <w:tabs>
          <w:tab w:val="num" w:pos="5040"/>
        </w:tabs>
        <w:ind w:left="5040" w:hanging="360"/>
      </w:pPr>
      <w:rPr>
        <w:rFonts w:ascii="Symbol" w:hAnsi="Symbol" w:hint="default"/>
      </w:rPr>
    </w:lvl>
    <w:lvl w:ilvl="7" w:tplc="AF98EC94" w:tentative="1">
      <w:start w:val="1"/>
      <w:numFmt w:val="bullet"/>
      <w:lvlText w:val="o"/>
      <w:lvlJc w:val="left"/>
      <w:pPr>
        <w:tabs>
          <w:tab w:val="num" w:pos="5760"/>
        </w:tabs>
        <w:ind w:left="5760" w:hanging="360"/>
      </w:pPr>
      <w:rPr>
        <w:rFonts w:ascii="Courier New" w:hAnsi="Courier New" w:hint="default"/>
      </w:rPr>
    </w:lvl>
    <w:lvl w:ilvl="8" w:tplc="905463E8"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D5B668A"/>
    <w:multiLevelType w:val="multilevel"/>
    <w:tmpl w:val="AAA8A300"/>
    <w:lvl w:ilvl="0">
      <w:start w:val="1"/>
      <w:numFmt w:val="upperRoman"/>
      <w:pStyle w:val="Nadpis1"/>
      <w:lvlText w:val="Článek %1."/>
      <w:lvlJc w:val="left"/>
      <w:pPr>
        <w:ind w:left="0" w:firstLine="0"/>
      </w:pPr>
    </w:lvl>
    <w:lvl w:ilvl="1">
      <w:start w:val="1"/>
      <w:numFmt w:val="decimalZero"/>
      <w:pStyle w:val="Nadpis2"/>
      <w:isLgl/>
      <w:lvlText w:val="Oddíl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Nadpis6"/>
      <w:lvlText w:val="%6)"/>
      <w:lvlJc w:val="left"/>
      <w:pPr>
        <w:ind w:left="1152" w:hanging="432"/>
      </w:pPr>
    </w:lvl>
    <w:lvl w:ilvl="6">
      <w:start w:val="1"/>
      <w:numFmt w:val="lowerRoman"/>
      <w:pStyle w:val="Nadpis7"/>
      <w:lvlText w:val="%7)"/>
      <w:lvlJc w:val="right"/>
      <w:pPr>
        <w:ind w:left="1296" w:hanging="288"/>
      </w:pPr>
    </w:lvl>
    <w:lvl w:ilvl="7">
      <w:start w:val="1"/>
      <w:numFmt w:val="lowerLetter"/>
      <w:pStyle w:val="Nadpis8"/>
      <w:lvlText w:val="%8."/>
      <w:lvlJc w:val="left"/>
      <w:pPr>
        <w:ind w:left="1440" w:hanging="432"/>
      </w:pPr>
    </w:lvl>
    <w:lvl w:ilvl="8">
      <w:start w:val="1"/>
      <w:numFmt w:val="lowerRoman"/>
      <w:pStyle w:val="Nadpis9"/>
      <w:lvlText w:val="%9."/>
      <w:lvlJc w:val="right"/>
      <w:pPr>
        <w:ind w:left="1584" w:hanging="144"/>
      </w:pPr>
    </w:lvl>
  </w:abstractNum>
  <w:abstractNum w:abstractNumId="26" w15:restartNumberingAfterBreak="0">
    <w:nsid w:val="203254F4"/>
    <w:multiLevelType w:val="multilevel"/>
    <w:tmpl w:val="7A76935A"/>
    <w:styleLink w:val="IA"/>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lvl>
    <w:lvl w:ilvl="2">
      <w:start w:val="1"/>
      <w:numFmt w:val="decimal"/>
      <w:lvlText w:val="%1.%2.%3."/>
      <w:lvlJc w:val="left"/>
      <w:pPr>
        <w:tabs>
          <w:tab w:val="num" w:pos="1800"/>
        </w:tabs>
        <w:ind w:left="1800" w:hanging="720"/>
      </w:pPr>
    </w:lvl>
    <w:lvl w:ilvl="3">
      <w:start w:val="1"/>
      <w:numFmt w:val="decimal"/>
      <w:lvlText w:val="%1.%2.%3.%4."/>
      <w:lvlJc w:val="left"/>
      <w:pPr>
        <w:tabs>
          <w:tab w:val="num" w:pos="1920"/>
        </w:tabs>
        <w:ind w:left="1920" w:hanging="72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22443729"/>
    <w:multiLevelType w:val="hybridMultilevel"/>
    <w:tmpl w:val="D560846C"/>
    <w:lvl w:ilvl="0" w:tplc="917CD524">
      <w:start w:val="1"/>
      <w:numFmt w:val="bullet"/>
      <w:lvlText w:val=""/>
      <w:lvlJc w:val="left"/>
      <w:pPr>
        <w:ind w:left="720" w:hanging="360"/>
      </w:pPr>
      <w:rPr>
        <w:rFonts w:ascii="Symbol" w:hAnsi="Symbol" w:hint="default"/>
      </w:rPr>
    </w:lvl>
    <w:lvl w:ilvl="1" w:tplc="5838CD84" w:tentative="1">
      <w:start w:val="1"/>
      <w:numFmt w:val="bullet"/>
      <w:lvlText w:val="o"/>
      <w:lvlJc w:val="left"/>
      <w:pPr>
        <w:ind w:left="1440" w:hanging="360"/>
      </w:pPr>
      <w:rPr>
        <w:rFonts w:ascii="Courier New" w:hAnsi="Courier New" w:cs="Courier New" w:hint="default"/>
      </w:rPr>
    </w:lvl>
    <w:lvl w:ilvl="2" w:tplc="FA16E6F8" w:tentative="1">
      <w:start w:val="1"/>
      <w:numFmt w:val="bullet"/>
      <w:lvlText w:val=""/>
      <w:lvlJc w:val="left"/>
      <w:pPr>
        <w:ind w:left="2160" w:hanging="360"/>
      </w:pPr>
      <w:rPr>
        <w:rFonts w:ascii="Wingdings" w:hAnsi="Wingdings" w:hint="default"/>
      </w:rPr>
    </w:lvl>
    <w:lvl w:ilvl="3" w:tplc="3E02241E" w:tentative="1">
      <w:start w:val="1"/>
      <w:numFmt w:val="bullet"/>
      <w:lvlText w:val=""/>
      <w:lvlJc w:val="left"/>
      <w:pPr>
        <w:ind w:left="2880" w:hanging="360"/>
      </w:pPr>
      <w:rPr>
        <w:rFonts w:ascii="Symbol" w:hAnsi="Symbol" w:hint="default"/>
      </w:rPr>
    </w:lvl>
    <w:lvl w:ilvl="4" w:tplc="1444BF5E" w:tentative="1">
      <w:start w:val="1"/>
      <w:numFmt w:val="bullet"/>
      <w:lvlText w:val="o"/>
      <w:lvlJc w:val="left"/>
      <w:pPr>
        <w:ind w:left="3600" w:hanging="360"/>
      </w:pPr>
      <w:rPr>
        <w:rFonts w:ascii="Courier New" w:hAnsi="Courier New" w:cs="Courier New" w:hint="default"/>
      </w:rPr>
    </w:lvl>
    <w:lvl w:ilvl="5" w:tplc="EB92E450" w:tentative="1">
      <w:start w:val="1"/>
      <w:numFmt w:val="bullet"/>
      <w:lvlText w:val=""/>
      <w:lvlJc w:val="left"/>
      <w:pPr>
        <w:ind w:left="4320" w:hanging="360"/>
      </w:pPr>
      <w:rPr>
        <w:rFonts w:ascii="Wingdings" w:hAnsi="Wingdings" w:hint="default"/>
      </w:rPr>
    </w:lvl>
    <w:lvl w:ilvl="6" w:tplc="6EB2292E" w:tentative="1">
      <w:start w:val="1"/>
      <w:numFmt w:val="bullet"/>
      <w:lvlText w:val=""/>
      <w:lvlJc w:val="left"/>
      <w:pPr>
        <w:ind w:left="5040" w:hanging="360"/>
      </w:pPr>
      <w:rPr>
        <w:rFonts w:ascii="Symbol" w:hAnsi="Symbol" w:hint="default"/>
      </w:rPr>
    </w:lvl>
    <w:lvl w:ilvl="7" w:tplc="0C6A9406" w:tentative="1">
      <w:start w:val="1"/>
      <w:numFmt w:val="bullet"/>
      <w:lvlText w:val="o"/>
      <w:lvlJc w:val="left"/>
      <w:pPr>
        <w:ind w:left="5760" w:hanging="360"/>
      </w:pPr>
      <w:rPr>
        <w:rFonts w:ascii="Courier New" w:hAnsi="Courier New" w:cs="Courier New" w:hint="default"/>
      </w:rPr>
    </w:lvl>
    <w:lvl w:ilvl="8" w:tplc="403A5EF8" w:tentative="1">
      <w:start w:val="1"/>
      <w:numFmt w:val="bullet"/>
      <w:lvlText w:val=""/>
      <w:lvlJc w:val="left"/>
      <w:pPr>
        <w:ind w:left="6480" w:hanging="360"/>
      </w:pPr>
      <w:rPr>
        <w:rFonts w:ascii="Wingdings" w:hAnsi="Wingdings" w:hint="default"/>
      </w:rPr>
    </w:lvl>
  </w:abstractNum>
  <w:abstractNum w:abstractNumId="28" w15:restartNumberingAfterBreak="0">
    <w:nsid w:val="22600102"/>
    <w:multiLevelType w:val="hybridMultilevel"/>
    <w:tmpl w:val="C5B41DDA"/>
    <w:lvl w:ilvl="0" w:tplc="18A4C920">
      <w:start w:val="1"/>
      <w:numFmt w:val="bullet"/>
      <w:lvlText w:val=""/>
      <w:lvlJc w:val="left"/>
      <w:pPr>
        <w:ind w:left="720" w:hanging="360"/>
      </w:pPr>
      <w:rPr>
        <w:rFonts w:ascii="Symbol" w:hAnsi="Symbol" w:hint="default"/>
      </w:rPr>
    </w:lvl>
    <w:lvl w:ilvl="1" w:tplc="8E0E38EA" w:tentative="1">
      <w:start w:val="1"/>
      <w:numFmt w:val="bullet"/>
      <w:lvlText w:val="o"/>
      <w:lvlJc w:val="left"/>
      <w:pPr>
        <w:ind w:left="1440" w:hanging="360"/>
      </w:pPr>
      <w:rPr>
        <w:rFonts w:ascii="Courier New" w:hAnsi="Courier New" w:cs="Courier New" w:hint="default"/>
      </w:rPr>
    </w:lvl>
    <w:lvl w:ilvl="2" w:tplc="BED446BC" w:tentative="1">
      <w:start w:val="1"/>
      <w:numFmt w:val="bullet"/>
      <w:lvlText w:val=""/>
      <w:lvlJc w:val="left"/>
      <w:pPr>
        <w:ind w:left="2160" w:hanging="360"/>
      </w:pPr>
      <w:rPr>
        <w:rFonts w:ascii="Wingdings" w:hAnsi="Wingdings" w:hint="default"/>
      </w:rPr>
    </w:lvl>
    <w:lvl w:ilvl="3" w:tplc="00CA9C78" w:tentative="1">
      <w:start w:val="1"/>
      <w:numFmt w:val="bullet"/>
      <w:lvlText w:val=""/>
      <w:lvlJc w:val="left"/>
      <w:pPr>
        <w:ind w:left="2880" w:hanging="360"/>
      </w:pPr>
      <w:rPr>
        <w:rFonts w:ascii="Symbol" w:hAnsi="Symbol" w:hint="default"/>
      </w:rPr>
    </w:lvl>
    <w:lvl w:ilvl="4" w:tplc="251ACE14" w:tentative="1">
      <w:start w:val="1"/>
      <w:numFmt w:val="bullet"/>
      <w:lvlText w:val="o"/>
      <w:lvlJc w:val="left"/>
      <w:pPr>
        <w:ind w:left="3600" w:hanging="360"/>
      </w:pPr>
      <w:rPr>
        <w:rFonts w:ascii="Courier New" w:hAnsi="Courier New" w:cs="Courier New" w:hint="default"/>
      </w:rPr>
    </w:lvl>
    <w:lvl w:ilvl="5" w:tplc="692AD4B2" w:tentative="1">
      <w:start w:val="1"/>
      <w:numFmt w:val="bullet"/>
      <w:lvlText w:val=""/>
      <w:lvlJc w:val="left"/>
      <w:pPr>
        <w:ind w:left="4320" w:hanging="360"/>
      </w:pPr>
      <w:rPr>
        <w:rFonts w:ascii="Wingdings" w:hAnsi="Wingdings" w:hint="default"/>
      </w:rPr>
    </w:lvl>
    <w:lvl w:ilvl="6" w:tplc="65029ED2" w:tentative="1">
      <w:start w:val="1"/>
      <w:numFmt w:val="bullet"/>
      <w:lvlText w:val=""/>
      <w:lvlJc w:val="left"/>
      <w:pPr>
        <w:ind w:left="5040" w:hanging="360"/>
      </w:pPr>
      <w:rPr>
        <w:rFonts w:ascii="Symbol" w:hAnsi="Symbol" w:hint="default"/>
      </w:rPr>
    </w:lvl>
    <w:lvl w:ilvl="7" w:tplc="5F0239E0" w:tentative="1">
      <w:start w:val="1"/>
      <w:numFmt w:val="bullet"/>
      <w:lvlText w:val="o"/>
      <w:lvlJc w:val="left"/>
      <w:pPr>
        <w:ind w:left="5760" w:hanging="360"/>
      </w:pPr>
      <w:rPr>
        <w:rFonts w:ascii="Courier New" w:hAnsi="Courier New" w:cs="Courier New" w:hint="default"/>
      </w:rPr>
    </w:lvl>
    <w:lvl w:ilvl="8" w:tplc="963AD49E" w:tentative="1">
      <w:start w:val="1"/>
      <w:numFmt w:val="bullet"/>
      <w:lvlText w:val=""/>
      <w:lvlJc w:val="left"/>
      <w:pPr>
        <w:ind w:left="6480" w:hanging="360"/>
      </w:pPr>
      <w:rPr>
        <w:rFonts w:ascii="Wingdings" w:hAnsi="Wingdings" w:hint="default"/>
      </w:rPr>
    </w:lvl>
  </w:abstractNum>
  <w:abstractNum w:abstractNumId="29" w15:restartNumberingAfterBreak="0">
    <w:nsid w:val="22E44180"/>
    <w:multiLevelType w:val="multilevel"/>
    <w:tmpl w:val="DFC88CEC"/>
    <w:name w:val="NumPar"/>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241D1B37"/>
    <w:multiLevelType w:val="hybridMultilevel"/>
    <w:tmpl w:val="8D50D460"/>
    <w:lvl w:ilvl="0" w:tplc="FD64AE6E">
      <w:start w:val="1"/>
      <w:numFmt w:val="upperLetter"/>
      <w:lvlText w:val="%1."/>
      <w:lvlJc w:val="left"/>
      <w:pPr>
        <w:ind w:left="720" w:hanging="360"/>
      </w:pPr>
    </w:lvl>
    <w:lvl w:ilvl="1" w:tplc="54442C1A" w:tentative="1">
      <w:start w:val="1"/>
      <w:numFmt w:val="lowerLetter"/>
      <w:lvlText w:val="%2."/>
      <w:lvlJc w:val="left"/>
      <w:pPr>
        <w:ind w:left="1440" w:hanging="360"/>
      </w:pPr>
    </w:lvl>
    <w:lvl w:ilvl="2" w:tplc="46407A20" w:tentative="1">
      <w:start w:val="1"/>
      <w:numFmt w:val="lowerRoman"/>
      <w:lvlText w:val="%3."/>
      <w:lvlJc w:val="right"/>
      <w:pPr>
        <w:ind w:left="2160" w:hanging="180"/>
      </w:pPr>
    </w:lvl>
    <w:lvl w:ilvl="3" w:tplc="C302D57E" w:tentative="1">
      <w:start w:val="1"/>
      <w:numFmt w:val="decimal"/>
      <w:lvlText w:val="%4."/>
      <w:lvlJc w:val="left"/>
      <w:pPr>
        <w:ind w:left="2880" w:hanging="360"/>
      </w:pPr>
    </w:lvl>
    <w:lvl w:ilvl="4" w:tplc="FF668FFE" w:tentative="1">
      <w:start w:val="1"/>
      <w:numFmt w:val="lowerLetter"/>
      <w:lvlText w:val="%5."/>
      <w:lvlJc w:val="left"/>
      <w:pPr>
        <w:ind w:left="3600" w:hanging="360"/>
      </w:pPr>
    </w:lvl>
    <w:lvl w:ilvl="5" w:tplc="8474B4F4" w:tentative="1">
      <w:start w:val="1"/>
      <w:numFmt w:val="lowerRoman"/>
      <w:lvlText w:val="%6."/>
      <w:lvlJc w:val="right"/>
      <w:pPr>
        <w:ind w:left="4320" w:hanging="180"/>
      </w:pPr>
    </w:lvl>
    <w:lvl w:ilvl="6" w:tplc="94C267F8" w:tentative="1">
      <w:start w:val="1"/>
      <w:numFmt w:val="decimal"/>
      <w:lvlText w:val="%7."/>
      <w:lvlJc w:val="left"/>
      <w:pPr>
        <w:ind w:left="5040" w:hanging="360"/>
      </w:pPr>
    </w:lvl>
    <w:lvl w:ilvl="7" w:tplc="1BC84912" w:tentative="1">
      <w:start w:val="1"/>
      <w:numFmt w:val="lowerLetter"/>
      <w:lvlText w:val="%8."/>
      <w:lvlJc w:val="left"/>
      <w:pPr>
        <w:ind w:left="5760" w:hanging="360"/>
      </w:pPr>
    </w:lvl>
    <w:lvl w:ilvl="8" w:tplc="CF989EBE" w:tentative="1">
      <w:start w:val="1"/>
      <w:numFmt w:val="lowerRoman"/>
      <w:lvlText w:val="%9."/>
      <w:lvlJc w:val="right"/>
      <w:pPr>
        <w:ind w:left="6480" w:hanging="180"/>
      </w:pPr>
    </w:lvl>
  </w:abstractNum>
  <w:abstractNum w:abstractNumId="31"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32" w15:restartNumberingAfterBreak="0">
    <w:nsid w:val="289E7B0B"/>
    <w:multiLevelType w:val="hybridMultilevel"/>
    <w:tmpl w:val="5C3E1822"/>
    <w:lvl w:ilvl="0" w:tplc="3356CD7E">
      <w:start w:val="1"/>
      <w:numFmt w:val="bullet"/>
      <w:lvlText w:val=""/>
      <w:lvlJc w:val="left"/>
      <w:pPr>
        <w:ind w:left="720" w:hanging="360"/>
      </w:pPr>
      <w:rPr>
        <w:rFonts w:ascii="Symbol" w:hAnsi="Symbol" w:hint="default"/>
      </w:rPr>
    </w:lvl>
    <w:lvl w:ilvl="1" w:tplc="0F2C83CE" w:tentative="1">
      <w:start w:val="1"/>
      <w:numFmt w:val="bullet"/>
      <w:lvlText w:val="o"/>
      <w:lvlJc w:val="left"/>
      <w:pPr>
        <w:ind w:left="1440" w:hanging="360"/>
      </w:pPr>
      <w:rPr>
        <w:rFonts w:ascii="Courier New" w:hAnsi="Courier New" w:cs="Courier New" w:hint="default"/>
      </w:rPr>
    </w:lvl>
    <w:lvl w:ilvl="2" w:tplc="19007418" w:tentative="1">
      <w:start w:val="1"/>
      <w:numFmt w:val="bullet"/>
      <w:lvlText w:val=""/>
      <w:lvlJc w:val="left"/>
      <w:pPr>
        <w:ind w:left="2160" w:hanging="360"/>
      </w:pPr>
      <w:rPr>
        <w:rFonts w:ascii="Wingdings" w:hAnsi="Wingdings" w:hint="default"/>
      </w:rPr>
    </w:lvl>
    <w:lvl w:ilvl="3" w:tplc="563E1AFA" w:tentative="1">
      <w:start w:val="1"/>
      <w:numFmt w:val="bullet"/>
      <w:lvlText w:val=""/>
      <w:lvlJc w:val="left"/>
      <w:pPr>
        <w:ind w:left="2880" w:hanging="360"/>
      </w:pPr>
      <w:rPr>
        <w:rFonts w:ascii="Symbol" w:hAnsi="Symbol" w:hint="default"/>
      </w:rPr>
    </w:lvl>
    <w:lvl w:ilvl="4" w:tplc="59E8A928" w:tentative="1">
      <w:start w:val="1"/>
      <w:numFmt w:val="bullet"/>
      <w:lvlText w:val="o"/>
      <w:lvlJc w:val="left"/>
      <w:pPr>
        <w:ind w:left="3600" w:hanging="360"/>
      </w:pPr>
      <w:rPr>
        <w:rFonts w:ascii="Courier New" w:hAnsi="Courier New" w:cs="Courier New" w:hint="default"/>
      </w:rPr>
    </w:lvl>
    <w:lvl w:ilvl="5" w:tplc="FF8E9646" w:tentative="1">
      <w:start w:val="1"/>
      <w:numFmt w:val="bullet"/>
      <w:lvlText w:val=""/>
      <w:lvlJc w:val="left"/>
      <w:pPr>
        <w:ind w:left="4320" w:hanging="360"/>
      </w:pPr>
      <w:rPr>
        <w:rFonts w:ascii="Wingdings" w:hAnsi="Wingdings" w:hint="default"/>
      </w:rPr>
    </w:lvl>
    <w:lvl w:ilvl="6" w:tplc="9B9C1756" w:tentative="1">
      <w:start w:val="1"/>
      <w:numFmt w:val="bullet"/>
      <w:lvlText w:val=""/>
      <w:lvlJc w:val="left"/>
      <w:pPr>
        <w:ind w:left="5040" w:hanging="360"/>
      </w:pPr>
      <w:rPr>
        <w:rFonts w:ascii="Symbol" w:hAnsi="Symbol" w:hint="default"/>
      </w:rPr>
    </w:lvl>
    <w:lvl w:ilvl="7" w:tplc="9598802C" w:tentative="1">
      <w:start w:val="1"/>
      <w:numFmt w:val="bullet"/>
      <w:lvlText w:val="o"/>
      <w:lvlJc w:val="left"/>
      <w:pPr>
        <w:ind w:left="5760" w:hanging="360"/>
      </w:pPr>
      <w:rPr>
        <w:rFonts w:ascii="Courier New" w:hAnsi="Courier New" w:cs="Courier New" w:hint="default"/>
      </w:rPr>
    </w:lvl>
    <w:lvl w:ilvl="8" w:tplc="8D6A9C2A" w:tentative="1">
      <w:start w:val="1"/>
      <w:numFmt w:val="bullet"/>
      <w:lvlText w:val=""/>
      <w:lvlJc w:val="left"/>
      <w:pPr>
        <w:ind w:left="6480" w:hanging="360"/>
      </w:pPr>
      <w:rPr>
        <w:rFonts w:ascii="Wingdings" w:hAnsi="Wingdings" w:hint="default"/>
      </w:rPr>
    </w:lvl>
  </w:abstractNum>
  <w:abstractNum w:abstractNumId="33" w15:restartNumberingAfterBreak="0">
    <w:nsid w:val="2C5D1620"/>
    <w:multiLevelType w:val="hybridMultilevel"/>
    <w:tmpl w:val="7D42CC26"/>
    <w:lvl w:ilvl="0" w:tplc="5DD649EA">
      <w:start w:val="1"/>
      <w:numFmt w:val="decimal"/>
      <w:lvlText w:val="%1/"/>
      <w:lvlJc w:val="left"/>
      <w:pPr>
        <w:ind w:left="720" w:hanging="360"/>
      </w:pPr>
      <w:rPr>
        <w:rFonts w:hint="default"/>
        <w:b w:val="0"/>
        <w:bCs/>
      </w:rPr>
    </w:lvl>
    <w:lvl w:ilvl="1" w:tplc="0792EF30">
      <w:start w:val="1"/>
      <w:numFmt w:val="lowerLetter"/>
      <w:lvlText w:val="%2."/>
      <w:lvlJc w:val="left"/>
      <w:pPr>
        <w:ind w:left="1440" w:hanging="360"/>
      </w:pPr>
    </w:lvl>
    <w:lvl w:ilvl="2" w:tplc="B3B0E97E">
      <w:start w:val="1"/>
      <w:numFmt w:val="lowerRoman"/>
      <w:lvlText w:val="%3."/>
      <w:lvlJc w:val="right"/>
      <w:pPr>
        <w:ind w:left="2160" w:hanging="180"/>
      </w:pPr>
    </w:lvl>
    <w:lvl w:ilvl="3" w:tplc="4D648CFC">
      <w:start w:val="1"/>
      <w:numFmt w:val="decimal"/>
      <w:lvlText w:val="%4."/>
      <w:lvlJc w:val="left"/>
      <w:pPr>
        <w:ind w:left="2880" w:hanging="360"/>
      </w:pPr>
    </w:lvl>
    <w:lvl w:ilvl="4" w:tplc="28B27D44" w:tentative="1">
      <w:start w:val="1"/>
      <w:numFmt w:val="lowerLetter"/>
      <w:lvlText w:val="%5."/>
      <w:lvlJc w:val="left"/>
      <w:pPr>
        <w:ind w:left="3600" w:hanging="360"/>
      </w:pPr>
    </w:lvl>
    <w:lvl w:ilvl="5" w:tplc="F580CDC4" w:tentative="1">
      <w:start w:val="1"/>
      <w:numFmt w:val="lowerRoman"/>
      <w:lvlText w:val="%6."/>
      <w:lvlJc w:val="right"/>
      <w:pPr>
        <w:ind w:left="4320" w:hanging="180"/>
      </w:pPr>
    </w:lvl>
    <w:lvl w:ilvl="6" w:tplc="9208E292" w:tentative="1">
      <w:start w:val="1"/>
      <w:numFmt w:val="decimal"/>
      <w:lvlText w:val="%7."/>
      <w:lvlJc w:val="left"/>
      <w:pPr>
        <w:ind w:left="5040" w:hanging="360"/>
      </w:pPr>
    </w:lvl>
    <w:lvl w:ilvl="7" w:tplc="853A8F18" w:tentative="1">
      <w:start w:val="1"/>
      <w:numFmt w:val="lowerLetter"/>
      <w:lvlText w:val="%8."/>
      <w:lvlJc w:val="left"/>
      <w:pPr>
        <w:ind w:left="5760" w:hanging="360"/>
      </w:pPr>
    </w:lvl>
    <w:lvl w:ilvl="8" w:tplc="3670DB5A" w:tentative="1">
      <w:start w:val="1"/>
      <w:numFmt w:val="lowerRoman"/>
      <w:lvlText w:val="%9."/>
      <w:lvlJc w:val="right"/>
      <w:pPr>
        <w:ind w:left="6480" w:hanging="180"/>
      </w:pPr>
    </w:lvl>
  </w:abstractNum>
  <w:abstractNum w:abstractNumId="34" w15:restartNumberingAfterBreak="0">
    <w:nsid w:val="2C8E04D9"/>
    <w:multiLevelType w:val="hybridMultilevel"/>
    <w:tmpl w:val="501EF664"/>
    <w:lvl w:ilvl="0" w:tplc="E2BA7B30">
      <w:start w:val="1"/>
      <w:numFmt w:val="bullet"/>
      <w:lvlText w:val=""/>
      <w:lvlJc w:val="left"/>
      <w:pPr>
        <w:ind w:left="360" w:hanging="360"/>
      </w:pPr>
      <w:rPr>
        <w:rFonts w:ascii="Symbol" w:hAnsi="Symbol" w:hint="default"/>
      </w:rPr>
    </w:lvl>
    <w:lvl w:ilvl="1" w:tplc="5A920B44" w:tentative="1">
      <w:start w:val="1"/>
      <w:numFmt w:val="bullet"/>
      <w:lvlText w:val="o"/>
      <w:lvlJc w:val="left"/>
      <w:pPr>
        <w:ind w:left="1080" w:hanging="360"/>
      </w:pPr>
      <w:rPr>
        <w:rFonts w:ascii="Courier New" w:hAnsi="Courier New" w:cs="Courier New" w:hint="default"/>
      </w:rPr>
    </w:lvl>
    <w:lvl w:ilvl="2" w:tplc="AB767E70" w:tentative="1">
      <w:start w:val="1"/>
      <w:numFmt w:val="bullet"/>
      <w:lvlText w:val=""/>
      <w:lvlJc w:val="left"/>
      <w:pPr>
        <w:ind w:left="1800" w:hanging="360"/>
      </w:pPr>
      <w:rPr>
        <w:rFonts w:ascii="Wingdings" w:hAnsi="Wingdings" w:hint="default"/>
      </w:rPr>
    </w:lvl>
    <w:lvl w:ilvl="3" w:tplc="2EEEC83C" w:tentative="1">
      <w:start w:val="1"/>
      <w:numFmt w:val="bullet"/>
      <w:lvlText w:val=""/>
      <w:lvlJc w:val="left"/>
      <w:pPr>
        <w:ind w:left="2520" w:hanging="360"/>
      </w:pPr>
      <w:rPr>
        <w:rFonts w:ascii="Symbol" w:hAnsi="Symbol" w:hint="default"/>
      </w:rPr>
    </w:lvl>
    <w:lvl w:ilvl="4" w:tplc="453A5750" w:tentative="1">
      <w:start w:val="1"/>
      <w:numFmt w:val="bullet"/>
      <w:lvlText w:val="o"/>
      <w:lvlJc w:val="left"/>
      <w:pPr>
        <w:ind w:left="3240" w:hanging="360"/>
      </w:pPr>
      <w:rPr>
        <w:rFonts w:ascii="Courier New" w:hAnsi="Courier New" w:cs="Courier New" w:hint="default"/>
      </w:rPr>
    </w:lvl>
    <w:lvl w:ilvl="5" w:tplc="FC7A590E" w:tentative="1">
      <w:start w:val="1"/>
      <w:numFmt w:val="bullet"/>
      <w:lvlText w:val=""/>
      <w:lvlJc w:val="left"/>
      <w:pPr>
        <w:ind w:left="3960" w:hanging="360"/>
      </w:pPr>
      <w:rPr>
        <w:rFonts w:ascii="Wingdings" w:hAnsi="Wingdings" w:hint="default"/>
      </w:rPr>
    </w:lvl>
    <w:lvl w:ilvl="6" w:tplc="E8BE5B10" w:tentative="1">
      <w:start w:val="1"/>
      <w:numFmt w:val="bullet"/>
      <w:lvlText w:val=""/>
      <w:lvlJc w:val="left"/>
      <w:pPr>
        <w:ind w:left="4680" w:hanging="360"/>
      </w:pPr>
      <w:rPr>
        <w:rFonts w:ascii="Symbol" w:hAnsi="Symbol" w:hint="default"/>
      </w:rPr>
    </w:lvl>
    <w:lvl w:ilvl="7" w:tplc="0B40FD62" w:tentative="1">
      <w:start w:val="1"/>
      <w:numFmt w:val="bullet"/>
      <w:lvlText w:val="o"/>
      <w:lvlJc w:val="left"/>
      <w:pPr>
        <w:ind w:left="5400" w:hanging="360"/>
      </w:pPr>
      <w:rPr>
        <w:rFonts w:ascii="Courier New" w:hAnsi="Courier New" w:cs="Courier New" w:hint="default"/>
      </w:rPr>
    </w:lvl>
    <w:lvl w:ilvl="8" w:tplc="2F7C14EE" w:tentative="1">
      <w:start w:val="1"/>
      <w:numFmt w:val="bullet"/>
      <w:lvlText w:val=""/>
      <w:lvlJc w:val="left"/>
      <w:pPr>
        <w:ind w:left="6120" w:hanging="360"/>
      </w:pPr>
      <w:rPr>
        <w:rFonts w:ascii="Wingdings" w:hAnsi="Wingdings" w:hint="default"/>
      </w:rPr>
    </w:lvl>
  </w:abstractNum>
  <w:abstractNum w:abstractNumId="35" w15:restartNumberingAfterBreak="0">
    <w:nsid w:val="2CB72C6E"/>
    <w:multiLevelType w:val="singleLevel"/>
    <w:tmpl w:val="10ACD464"/>
    <w:name w:val="Bullet 3"/>
    <w:lvl w:ilvl="0">
      <w:start w:val="1"/>
      <w:numFmt w:val="bullet"/>
      <w:pStyle w:val="Bullet3"/>
      <w:lvlText w:val=""/>
      <w:lvlJc w:val="left"/>
      <w:pPr>
        <w:tabs>
          <w:tab w:val="num" w:pos="2551"/>
        </w:tabs>
        <w:ind w:left="2551" w:hanging="567"/>
      </w:pPr>
      <w:rPr>
        <w:rFonts w:ascii="Symbol" w:hAnsi="Symbol" w:hint="default"/>
      </w:rPr>
    </w:lvl>
  </w:abstractNum>
  <w:abstractNum w:abstractNumId="36" w15:restartNumberingAfterBreak="0">
    <w:nsid w:val="2CE9221F"/>
    <w:multiLevelType w:val="singleLevel"/>
    <w:tmpl w:val="9B4AFB48"/>
    <w:name w:val="Tiret 3"/>
    <w:lvl w:ilvl="0">
      <w:start w:val="1"/>
      <w:numFmt w:val="bullet"/>
      <w:pStyle w:val="Tiret3"/>
      <w:lvlText w:val="–"/>
      <w:lvlJc w:val="left"/>
      <w:pPr>
        <w:tabs>
          <w:tab w:val="num" w:pos="2551"/>
        </w:tabs>
        <w:ind w:left="2551" w:hanging="567"/>
      </w:pPr>
    </w:lvl>
  </w:abstractNum>
  <w:abstractNum w:abstractNumId="37" w15:restartNumberingAfterBreak="0">
    <w:nsid w:val="2FA63D33"/>
    <w:multiLevelType w:val="hybridMultilevel"/>
    <w:tmpl w:val="1460ED74"/>
    <w:lvl w:ilvl="0" w:tplc="CCE4E058">
      <w:start w:val="1"/>
      <w:numFmt w:val="bullet"/>
      <w:lvlText w:val=""/>
      <w:lvlJc w:val="left"/>
      <w:pPr>
        <w:ind w:left="720" w:hanging="360"/>
      </w:pPr>
      <w:rPr>
        <w:rFonts w:ascii="Symbol" w:hAnsi="Symbol" w:hint="default"/>
      </w:rPr>
    </w:lvl>
    <w:lvl w:ilvl="1" w:tplc="3C8895F4" w:tentative="1">
      <w:start w:val="1"/>
      <w:numFmt w:val="bullet"/>
      <w:lvlText w:val="o"/>
      <w:lvlJc w:val="left"/>
      <w:pPr>
        <w:ind w:left="1440" w:hanging="360"/>
      </w:pPr>
      <w:rPr>
        <w:rFonts w:ascii="Courier New" w:hAnsi="Courier New" w:cs="Courier New" w:hint="default"/>
      </w:rPr>
    </w:lvl>
    <w:lvl w:ilvl="2" w:tplc="27EC0536" w:tentative="1">
      <w:start w:val="1"/>
      <w:numFmt w:val="bullet"/>
      <w:lvlText w:val=""/>
      <w:lvlJc w:val="left"/>
      <w:pPr>
        <w:ind w:left="2160" w:hanging="360"/>
      </w:pPr>
      <w:rPr>
        <w:rFonts w:ascii="Wingdings" w:hAnsi="Wingdings" w:hint="default"/>
      </w:rPr>
    </w:lvl>
    <w:lvl w:ilvl="3" w:tplc="26A29172" w:tentative="1">
      <w:start w:val="1"/>
      <w:numFmt w:val="bullet"/>
      <w:lvlText w:val=""/>
      <w:lvlJc w:val="left"/>
      <w:pPr>
        <w:ind w:left="2880" w:hanging="360"/>
      </w:pPr>
      <w:rPr>
        <w:rFonts w:ascii="Symbol" w:hAnsi="Symbol" w:hint="default"/>
      </w:rPr>
    </w:lvl>
    <w:lvl w:ilvl="4" w:tplc="6932008E" w:tentative="1">
      <w:start w:val="1"/>
      <w:numFmt w:val="bullet"/>
      <w:lvlText w:val="o"/>
      <w:lvlJc w:val="left"/>
      <w:pPr>
        <w:ind w:left="3600" w:hanging="360"/>
      </w:pPr>
      <w:rPr>
        <w:rFonts w:ascii="Courier New" w:hAnsi="Courier New" w:cs="Courier New" w:hint="default"/>
      </w:rPr>
    </w:lvl>
    <w:lvl w:ilvl="5" w:tplc="C674C52E" w:tentative="1">
      <w:start w:val="1"/>
      <w:numFmt w:val="bullet"/>
      <w:lvlText w:val=""/>
      <w:lvlJc w:val="left"/>
      <w:pPr>
        <w:ind w:left="4320" w:hanging="360"/>
      </w:pPr>
      <w:rPr>
        <w:rFonts w:ascii="Wingdings" w:hAnsi="Wingdings" w:hint="default"/>
      </w:rPr>
    </w:lvl>
    <w:lvl w:ilvl="6" w:tplc="0DC0D91A" w:tentative="1">
      <w:start w:val="1"/>
      <w:numFmt w:val="bullet"/>
      <w:lvlText w:val=""/>
      <w:lvlJc w:val="left"/>
      <w:pPr>
        <w:ind w:left="5040" w:hanging="360"/>
      </w:pPr>
      <w:rPr>
        <w:rFonts w:ascii="Symbol" w:hAnsi="Symbol" w:hint="default"/>
      </w:rPr>
    </w:lvl>
    <w:lvl w:ilvl="7" w:tplc="6152FCC2" w:tentative="1">
      <w:start w:val="1"/>
      <w:numFmt w:val="bullet"/>
      <w:lvlText w:val="o"/>
      <w:lvlJc w:val="left"/>
      <w:pPr>
        <w:ind w:left="5760" w:hanging="360"/>
      </w:pPr>
      <w:rPr>
        <w:rFonts w:ascii="Courier New" w:hAnsi="Courier New" w:cs="Courier New" w:hint="default"/>
      </w:rPr>
    </w:lvl>
    <w:lvl w:ilvl="8" w:tplc="68F0563C" w:tentative="1">
      <w:start w:val="1"/>
      <w:numFmt w:val="bullet"/>
      <w:lvlText w:val=""/>
      <w:lvlJc w:val="left"/>
      <w:pPr>
        <w:ind w:left="6480" w:hanging="360"/>
      </w:pPr>
      <w:rPr>
        <w:rFonts w:ascii="Wingdings" w:hAnsi="Wingdings" w:hint="default"/>
      </w:rPr>
    </w:lvl>
  </w:abstractNum>
  <w:abstractNum w:abstractNumId="38" w15:restartNumberingAfterBreak="0">
    <w:nsid w:val="30B6795E"/>
    <w:multiLevelType w:val="hybridMultilevel"/>
    <w:tmpl w:val="8BC21A38"/>
    <w:lvl w:ilvl="0" w:tplc="AA8082A8">
      <w:start w:val="1"/>
      <w:numFmt w:val="decimal"/>
      <w:lvlText w:val="%1/"/>
      <w:lvlJc w:val="left"/>
      <w:pPr>
        <w:ind w:left="718" w:hanging="360"/>
      </w:pPr>
      <w:rPr>
        <w:rFonts w:hint="default"/>
      </w:rPr>
    </w:lvl>
    <w:lvl w:ilvl="1" w:tplc="E2AA481E">
      <w:start w:val="1"/>
      <w:numFmt w:val="lowerLetter"/>
      <w:lvlText w:val="%2)"/>
      <w:lvlJc w:val="left"/>
      <w:pPr>
        <w:ind w:left="1438" w:hanging="360"/>
      </w:pPr>
      <w:rPr>
        <w:rFonts w:hint="default"/>
      </w:rPr>
    </w:lvl>
    <w:lvl w:ilvl="2" w:tplc="2CBA4BEC" w:tentative="1">
      <w:start w:val="1"/>
      <w:numFmt w:val="lowerRoman"/>
      <w:lvlText w:val="%3."/>
      <w:lvlJc w:val="right"/>
      <w:pPr>
        <w:ind w:left="2158" w:hanging="180"/>
      </w:pPr>
    </w:lvl>
    <w:lvl w:ilvl="3" w:tplc="0DEEA41A" w:tentative="1">
      <w:start w:val="1"/>
      <w:numFmt w:val="decimal"/>
      <w:lvlText w:val="%4."/>
      <w:lvlJc w:val="left"/>
      <w:pPr>
        <w:ind w:left="2878" w:hanging="360"/>
      </w:pPr>
    </w:lvl>
    <w:lvl w:ilvl="4" w:tplc="F83477CA" w:tentative="1">
      <w:start w:val="1"/>
      <w:numFmt w:val="lowerLetter"/>
      <w:lvlText w:val="%5."/>
      <w:lvlJc w:val="left"/>
      <w:pPr>
        <w:ind w:left="3598" w:hanging="360"/>
      </w:pPr>
    </w:lvl>
    <w:lvl w:ilvl="5" w:tplc="DAD6C22C" w:tentative="1">
      <w:start w:val="1"/>
      <w:numFmt w:val="lowerRoman"/>
      <w:lvlText w:val="%6."/>
      <w:lvlJc w:val="right"/>
      <w:pPr>
        <w:ind w:left="4318" w:hanging="180"/>
      </w:pPr>
    </w:lvl>
    <w:lvl w:ilvl="6" w:tplc="B5C00A18" w:tentative="1">
      <w:start w:val="1"/>
      <w:numFmt w:val="decimal"/>
      <w:lvlText w:val="%7."/>
      <w:lvlJc w:val="left"/>
      <w:pPr>
        <w:ind w:left="5038" w:hanging="360"/>
      </w:pPr>
    </w:lvl>
    <w:lvl w:ilvl="7" w:tplc="76E00074" w:tentative="1">
      <w:start w:val="1"/>
      <w:numFmt w:val="lowerLetter"/>
      <w:lvlText w:val="%8."/>
      <w:lvlJc w:val="left"/>
      <w:pPr>
        <w:ind w:left="5758" w:hanging="360"/>
      </w:pPr>
    </w:lvl>
    <w:lvl w:ilvl="8" w:tplc="CBA06B3C" w:tentative="1">
      <w:start w:val="1"/>
      <w:numFmt w:val="lowerRoman"/>
      <w:lvlText w:val="%9."/>
      <w:lvlJc w:val="right"/>
      <w:pPr>
        <w:ind w:left="6478" w:hanging="180"/>
      </w:pPr>
    </w:lvl>
  </w:abstractNum>
  <w:abstractNum w:abstractNumId="39" w15:restartNumberingAfterBreak="0">
    <w:nsid w:val="329A7890"/>
    <w:multiLevelType w:val="multilevel"/>
    <w:tmpl w:val="007E3A98"/>
    <w:lvl w:ilvl="0">
      <w:start w:val="1"/>
      <w:numFmt w:val="decimal"/>
      <w:lvlText w:val="%1"/>
      <w:lvlJc w:val="left"/>
      <w:pPr>
        <w:ind w:left="432" w:hanging="432"/>
      </w:pPr>
      <w:rPr>
        <w:rFonts w:asciiTheme="majorHAnsi" w:hAnsiTheme="majorHAnsi" w:hint="default"/>
      </w:rPr>
    </w:lvl>
    <w:lvl w:ilvl="1">
      <w:start w:val="1"/>
      <w:numFmt w:val="decimal"/>
      <w:pStyle w:val="Nadpis20"/>
      <w:lvlText w:val="%1.%2"/>
      <w:lvlJc w:val="left"/>
      <w:pPr>
        <w:ind w:left="576" w:hanging="576"/>
      </w:pPr>
      <w:rPr>
        <w:rFonts w:hint="default"/>
      </w:rPr>
    </w:lvl>
    <w:lvl w:ilvl="2">
      <w:start w:val="1"/>
      <w:numFmt w:val="decimal"/>
      <w:pStyle w:val="Nadpis3"/>
      <w:lvlText w:val="%1.%2.%3"/>
      <w:lvlJc w:val="left"/>
      <w:pPr>
        <w:ind w:left="3981"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15:restartNumberingAfterBreak="0">
    <w:nsid w:val="33935683"/>
    <w:multiLevelType w:val="hybridMultilevel"/>
    <w:tmpl w:val="73C24F16"/>
    <w:lvl w:ilvl="0" w:tplc="C2A2422C">
      <w:start w:val="1"/>
      <w:numFmt w:val="bullet"/>
      <w:pStyle w:val="odrky1"/>
      <w:lvlText w:val=""/>
      <w:lvlJc w:val="left"/>
      <w:pPr>
        <w:ind w:left="360" w:hanging="360"/>
      </w:pPr>
      <w:rPr>
        <w:rFonts w:ascii="Wingdings" w:hAnsi="Wingdings" w:hint="default"/>
      </w:rPr>
    </w:lvl>
    <w:lvl w:ilvl="1" w:tplc="27EABAEC">
      <w:start w:val="1"/>
      <w:numFmt w:val="bullet"/>
      <w:lvlText w:val="o"/>
      <w:lvlJc w:val="left"/>
      <w:pPr>
        <w:tabs>
          <w:tab w:val="num" w:pos="1440"/>
        </w:tabs>
        <w:ind w:left="1440" w:hanging="360"/>
      </w:pPr>
      <w:rPr>
        <w:rFonts w:ascii="Courier New" w:hAnsi="Courier New" w:hint="default"/>
      </w:rPr>
    </w:lvl>
    <w:lvl w:ilvl="2" w:tplc="927C2332">
      <w:start w:val="1"/>
      <w:numFmt w:val="bullet"/>
      <w:lvlText w:val=""/>
      <w:lvlJc w:val="left"/>
      <w:pPr>
        <w:tabs>
          <w:tab w:val="num" w:pos="2160"/>
        </w:tabs>
        <w:ind w:left="2160" w:hanging="360"/>
      </w:pPr>
      <w:rPr>
        <w:rFonts w:ascii="Wingdings" w:hAnsi="Wingdings" w:hint="default"/>
      </w:rPr>
    </w:lvl>
    <w:lvl w:ilvl="3" w:tplc="A036E8BA">
      <w:start w:val="1"/>
      <w:numFmt w:val="bullet"/>
      <w:lvlText w:val=""/>
      <w:lvlJc w:val="left"/>
      <w:pPr>
        <w:tabs>
          <w:tab w:val="num" w:pos="2880"/>
        </w:tabs>
        <w:ind w:left="2880" w:hanging="360"/>
      </w:pPr>
      <w:rPr>
        <w:rFonts w:ascii="Symbol" w:hAnsi="Symbol" w:hint="default"/>
      </w:rPr>
    </w:lvl>
    <w:lvl w:ilvl="4" w:tplc="E5DE1572">
      <w:start w:val="1"/>
      <w:numFmt w:val="bullet"/>
      <w:lvlText w:val="o"/>
      <w:lvlJc w:val="left"/>
      <w:pPr>
        <w:tabs>
          <w:tab w:val="num" w:pos="3600"/>
        </w:tabs>
        <w:ind w:left="3600" w:hanging="360"/>
      </w:pPr>
      <w:rPr>
        <w:rFonts w:ascii="Courier New" w:hAnsi="Courier New" w:hint="default"/>
      </w:rPr>
    </w:lvl>
    <w:lvl w:ilvl="5" w:tplc="22EAD2E0">
      <w:start w:val="1"/>
      <w:numFmt w:val="bullet"/>
      <w:lvlText w:val=""/>
      <w:lvlJc w:val="left"/>
      <w:pPr>
        <w:tabs>
          <w:tab w:val="num" w:pos="4320"/>
        </w:tabs>
        <w:ind w:left="4320" w:hanging="360"/>
      </w:pPr>
      <w:rPr>
        <w:rFonts w:ascii="Wingdings" w:hAnsi="Wingdings" w:hint="default"/>
      </w:rPr>
    </w:lvl>
    <w:lvl w:ilvl="6" w:tplc="68C6CB50">
      <w:start w:val="1"/>
      <w:numFmt w:val="bullet"/>
      <w:lvlText w:val=""/>
      <w:lvlJc w:val="left"/>
      <w:pPr>
        <w:tabs>
          <w:tab w:val="num" w:pos="5040"/>
        </w:tabs>
        <w:ind w:left="5040" w:hanging="360"/>
      </w:pPr>
      <w:rPr>
        <w:rFonts w:ascii="Symbol" w:hAnsi="Symbol" w:hint="default"/>
      </w:rPr>
    </w:lvl>
    <w:lvl w:ilvl="7" w:tplc="45F8C68A">
      <w:start w:val="1"/>
      <w:numFmt w:val="bullet"/>
      <w:lvlText w:val="o"/>
      <w:lvlJc w:val="left"/>
      <w:pPr>
        <w:tabs>
          <w:tab w:val="num" w:pos="5760"/>
        </w:tabs>
        <w:ind w:left="5760" w:hanging="360"/>
      </w:pPr>
      <w:rPr>
        <w:rFonts w:ascii="Courier New" w:hAnsi="Courier New" w:hint="default"/>
      </w:rPr>
    </w:lvl>
    <w:lvl w:ilvl="8" w:tplc="2D9E6F14">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45E4161"/>
    <w:multiLevelType w:val="multilevel"/>
    <w:tmpl w:val="DA26A34E"/>
    <w:lvl w:ilvl="0">
      <w:start w:val="1"/>
      <w:numFmt w:val="decimal"/>
      <w:pStyle w:val="Nadpes"/>
      <w:lvlText w:val="%1."/>
      <w:lvlJc w:val="left"/>
      <w:pPr>
        <w:tabs>
          <w:tab w:val="num" w:pos="360"/>
        </w:tabs>
        <w:ind w:left="0" w:firstLine="0"/>
      </w:pPr>
      <w:rPr>
        <w:rFonts w:hint="default"/>
      </w:rPr>
    </w:lvl>
    <w:lvl w:ilvl="1">
      <w:start w:val="1"/>
      <w:numFmt w:val="decimal"/>
      <w:pStyle w:val="Nadpepes"/>
      <w:lvlText w:val="%1.%2."/>
      <w:lvlJc w:val="left"/>
      <w:pPr>
        <w:tabs>
          <w:tab w:val="num" w:pos="720"/>
        </w:tabs>
        <w:ind w:left="284" w:hanging="284"/>
      </w:pPr>
      <w:rPr>
        <w:rFonts w:hint="default"/>
      </w:rPr>
    </w:lvl>
    <w:lvl w:ilvl="2">
      <w:start w:val="1"/>
      <w:numFmt w:val="decimal"/>
      <w:pStyle w:val="Nadpepepes"/>
      <w:lvlText w:val="%1.%2.%3."/>
      <w:lvlJc w:val="left"/>
      <w:pPr>
        <w:tabs>
          <w:tab w:val="num" w:pos="720"/>
        </w:tabs>
        <w:ind w:left="284" w:hanging="28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3650526F"/>
    <w:multiLevelType w:val="multilevel"/>
    <w:tmpl w:val="08090025"/>
    <w:styleLink w:val="lnekoddl"/>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99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3"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44" w15:restartNumberingAfterBreak="0">
    <w:nsid w:val="3E934226"/>
    <w:multiLevelType w:val="hybridMultilevel"/>
    <w:tmpl w:val="E2DE1914"/>
    <w:lvl w:ilvl="0" w:tplc="BD9CB9E8">
      <w:start w:val="1"/>
      <w:numFmt w:val="lowerLetter"/>
      <w:lvlText w:val="%1)"/>
      <w:lvlJc w:val="left"/>
      <w:pPr>
        <w:ind w:left="1144" w:hanging="360"/>
      </w:pPr>
    </w:lvl>
    <w:lvl w:ilvl="1" w:tplc="6F8CB87A">
      <w:start w:val="1"/>
      <w:numFmt w:val="lowerLetter"/>
      <w:lvlText w:val="%2."/>
      <w:lvlJc w:val="left"/>
      <w:pPr>
        <w:ind w:left="1864" w:hanging="360"/>
      </w:pPr>
    </w:lvl>
    <w:lvl w:ilvl="2" w:tplc="C62E8BDC" w:tentative="1">
      <w:start w:val="1"/>
      <w:numFmt w:val="lowerRoman"/>
      <w:lvlText w:val="%3."/>
      <w:lvlJc w:val="right"/>
      <w:pPr>
        <w:ind w:left="2584" w:hanging="180"/>
      </w:pPr>
    </w:lvl>
    <w:lvl w:ilvl="3" w:tplc="E0F22E5A" w:tentative="1">
      <w:start w:val="1"/>
      <w:numFmt w:val="decimal"/>
      <w:lvlText w:val="%4."/>
      <w:lvlJc w:val="left"/>
      <w:pPr>
        <w:ind w:left="3304" w:hanging="360"/>
      </w:pPr>
    </w:lvl>
    <w:lvl w:ilvl="4" w:tplc="ABFA2A78" w:tentative="1">
      <w:start w:val="1"/>
      <w:numFmt w:val="lowerLetter"/>
      <w:lvlText w:val="%5."/>
      <w:lvlJc w:val="left"/>
      <w:pPr>
        <w:ind w:left="4024" w:hanging="360"/>
      </w:pPr>
    </w:lvl>
    <w:lvl w:ilvl="5" w:tplc="928C9E92" w:tentative="1">
      <w:start w:val="1"/>
      <w:numFmt w:val="lowerRoman"/>
      <w:lvlText w:val="%6."/>
      <w:lvlJc w:val="right"/>
      <w:pPr>
        <w:ind w:left="4744" w:hanging="180"/>
      </w:pPr>
    </w:lvl>
    <w:lvl w:ilvl="6" w:tplc="C372A628" w:tentative="1">
      <w:start w:val="1"/>
      <w:numFmt w:val="decimal"/>
      <w:lvlText w:val="%7."/>
      <w:lvlJc w:val="left"/>
      <w:pPr>
        <w:ind w:left="5464" w:hanging="360"/>
      </w:pPr>
    </w:lvl>
    <w:lvl w:ilvl="7" w:tplc="B600B8B0" w:tentative="1">
      <w:start w:val="1"/>
      <w:numFmt w:val="lowerLetter"/>
      <w:lvlText w:val="%8."/>
      <w:lvlJc w:val="left"/>
      <w:pPr>
        <w:ind w:left="6184" w:hanging="360"/>
      </w:pPr>
    </w:lvl>
    <w:lvl w:ilvl="8" w:tplc="B5727B1E" w:tentative="1">
      <w:start w:val="1"/>
      <w:numFmt w:val="lowerRoman"/>
      <w:lvlText w:val="%9."/>
      <w:lvlJc w:val="right"/>
      <w:pPr>
        <w:ind w:left="6904" w:hanging="180"/>
      </w:pPr>
    </w:lvl>
  </w:abstractNum>
  <w:abstractNum w:abstractNumId="45" w15:restartNumberingAfterBreak="0">
    <w:nsid w:val="3F207B55"/>
    <w:multiLevelType w:val="hybridMultilevel"/>
    <w:tmpl w:val="CF52265C"/>
    <w:lvl w:ilvl="0" w:tplc="A0542274">
      <w:start w:val="1"/>
      <w:numFmt w:val="bullet"/>
      <w:pStyle w:val="neslovanseznam3"/>
      <w:lvlText w:val=""/>
      <w:lvlJc w:val="left"/>
      <w:pPr>
        <w:tabs>
          <w:tab w:val="num" w:pos="1074"/>
        </w:tabs>
        <w:ind w:left="1074" w:hanging="360"/>
      </w:pPr>
      <w:rPr>
        <w:rFonts w:ascii="Symbol" w:hAnsi="Symbol" w:hint="default"/>
        <w:color w:val="auto"/>
      </w:rPr>
    </w:lvl>
    <w:lvl w:ilvl="1" w:tplc="3D9289C0" w:tentative="1">
      <w:start w:val="1"/>
      <w:numFmt w:val="lowerLetter"/>
      <w:lvlText w:val="%2."/>
      <w:lvlJc w:val="left"/>
      <w:pPr>
        <w:tabs>
          <w:tab w:val="num" w:pos="1440"/>
        </w:tabs>
        <w:ind w:left="1440" w:hanging="360"/>
      </w:pPr>
    </w:lvl>
    <w:lvl w:ilvl="2" w:tplc="06AC449E" w:tentative="1">
      <w:start w:val="1"/>
      <w:numFmt w:val="lowerRoman"/>
      <w:lvlText w:val="%3."/>
      <w:lvlJc w:val="right"/>
      <w:pPr>
        <w:tabs>
          <w:tab w:val="num" w:pos="2160"/>
        </w:tabs>
        <w:ind w:left="2160" w:hanging="180"/>
      </w:pPr>
    </w:lvl>
    <w:lvl w:ilvl="3" w:tplc="C23CFB62" w:tentative="1">
      <w:start w:val="1"/>
      <w:numFmt w:val="decimal"/>
      <w:lvlText w:val="%4."/>
      <w:lvlJc w:val="left"/>
      <w:pPr>
        <w:tabs>
          <w:tab w:val="num" w:pos="2880"/>
        </w:tabs>
        <w:ind w:left="2880" w:hanging="360"/>
      </w:pPr>
    </w:lvl>
    <w:lvl w:ilvl="4" w:tplc="6EDED38E" w:tentative="1">
      <w:start w:val="1"/>
      <w:numFmt w:val="lowerLetter"/>
      <w:lvlText w:val="%5."/>
      <w:lvlJc w:val="left"/>
      <w:pPr>
        <w:tabs>
          <w:tab w:val="num" w:pos="3600"/>
        </w:tabs>
        <w:ind w:left="3600" w:hanging="360"/>
      </w:pPr>
    </w:lvl>
    <w:lvl w:ilvl="5" w:tplc="6BEA7A52" w:tentative="1">
      <w:start w:val="1"/>
      <w:numFmt w:val="lowerRoman"/>
      <w:lvlText w:val="%6."/>
      <w:lvlJc w:val="right"/>
      <w:pPr>
        <w:tabs>
          <w:tab w:val="num" w:pos="4320"/>
        </w:tabs>
        <w:ind w:left="4320" w:hanging="180"/>
      </w:pPr>
    </w:lvl>
    <w:lvl w:ilvl="6" w:tplc="2D80E7AC" w:tentative="1">
      <w:start w:val="1"/>
      <w:numFmt w:val="decimal"/>
      <w:lvlText w:val="%7."/>
      <w:lvlJc w:val="left"/>
      <w:pPr>
        <w:tabs>
          <w:tab w:val="num" w:pos="5040"/>
        </w:tabs>
        <w:ind w:left="5040" w:hanging="360"/>
      </w:pPr>
    </w:lvl>
    <w:lvl w:ilvl="7" w:tplc="6F64EAEC" w:tentative="1">
      <w:start w:val="1"/>
      <w:numFmt w:val="lowerLetter"/>
      <w:lvlText w:val="%8."/>
      <w:lvlJc w:val="left"/>
      <w:pPr>
        <w:tabs>
          <w:tab w:val="num" w:pos="5760"/>
        </w:tabs>
        <w:ind w:left="5760" w:hanging="360"/>
      </w:pPr>
    </w:lvl>
    <w:lvl w:ilvl="8" w:tplc="F40CF9F2" w:tentative="1">
      <w:start w:val="1"/>
      <w:numFmt w:val="lowerRoman"/>
      <w:lvlText w:val="%9."/>
      <w:lvlJc w:val="right"/>
      <w:pPr>
        <w:tabs>
          <w:tab w:val="num" w:pos="6480"/>
        </w:tabs>
        <w:ind w:left="6480" w:hanging="180"/>
      </w:pPr>
    </w:lvl>
  </w:abstractNum>
  <w:abstractNum w:abstractNumId="46" w15:restartNumberingAfterBreak="0">
    <w:nsid w:val="40EF547A"/>
    <w:multiLevelType w:val="hybridMultilevel"/>
    <w:tmpl w:val="3D8ED69C"/>
    <w:lvl w:ilvl="0" w:tplc="3744ADE4">
      <w:start w:val="1"/>
      <w:numFmt w:val="bullet"/>
      <w:lvlText w:val=""/>
      <w:lvlJc w:val="left"/>
      <w:pPr>
        <w:ind w:left="720" w:hanging="360"/>
      </w:pPr>
      <w:rPr>
        <w:rFonts w:ascii="Symbol" w:hAnsi="Symbol" w:hint="default"/>
      </w:rPr>
    </w:lvl>
    <w:lvl w:ilvl="1" w:tplc="7D28E14C" w:tentative="1">
      <w:start w:val="1"/>
      <w:numFmt w:val="bullet"/>
      <w:lvlText w:val="o"/>
      <w:lvlJc w:val="left"/>
      <w:pPr>
        <w:ind w:left="1440" w:hanging="360"/>
      </w:pPr>
      <w:rPr>
        <w:rFonts w:ascii="Courier New" w:hAnsi="Courier New" w:cs="Courier New" w:hint="default"/>
      </w:rPr>
    </w:lvl>
    <w:lvl w:ilvl="2" w:tplc="DEF2A2A2" w:tentative="1">
      <w:start w:val="1"/>
      <w:numFmt w:val="bullet"/>
      <w:lvlText w:val=""/>
      <w:lvlJc w:val="left"/>
      <w:pPr>
        <w:ind w:left="2160" w:hanging="360"/>
      </w:pPr>
      <w:rPr>
        <w:rFonts w:ascii="Wingdings" w:hAnsi="Wingdings" w:hint="default"/>
      </w:rPr>
    </w:lvl>
    <w:lvl w:ilvl="3" w:tplc="C1E02140" w:tentative="1">
      <w:start w:val="1"/>
      <w:numFmt w:val="bullet"/>
      <w:lvlText w:val=""/>
      <w:lvlJc w:val="left"/>
      <w:pPr>
        <w:ind w:left="2880" w:hanging="360"/>
      </w:pPr>
      <w:rPr>
        <w:rFonts w:ascii="Symbol" w:hAnsi="Symbol" w:hint="default"/>
      </w:rPr>
    </w:lvl>
    <w:lvl w:ilvl="4" w:tplc="DF5A1586" w:tentative="1">
      <w:start w:val="1"/>
      <w:numFmt w:val="bullet"/>
      <w:lvlText w:val="o"/>
      <w:lvlJc w:val="left"/>
      <w:pPr>
        <w:ind w:left="3600" w:hanging="360"/>
      </w:pPr>
      <w:rPr>
        <w:rFonts w:ascii="Courier New" w:hAnsi="Courier New" w:cs="Courier New" w:hint="default"/>
      </w:rPr>
    </w:lvl>
    <w:lvl w:ilvl="5" w:tplc="2416EA86" w:tentative="1">
      <w:start w:val="1"/>
      <w:numFmt w:val="bullet"/>
      <w:lvlText w:val=""/>
      <w:lvlJc w:val="left"/>
      <w:pPr>
        <w:ind w:left="4320" w:hanging="360"/>
      </w:pPr>
      <w:rPr>
        <w:rFonts w:ascii="Wingdings" w:hAnsi="Wingdings" w:hint="default"/>
      </w:rPr>
    </w:lvl>
    <w:lvl w:ilvl="6" w:tplc="96D4D84A" w:tentative="1">
      <w:start w:val="1"/>
      <w:numFmt w:val="bullet"/>
      <w:lvlText w:val=""/>
      <w:lvlJc w:val="left"/>
      <w:pPr>
        <w:ind w:left="5040" w:hanging="360"/>
      </w:pPr>
      <w:rPr>
        <w:rFonts w:ascii="Symbol" w:hAnsi="Symbol" w:hint="default"/>
      </w:rPr>
    </w:lvl>
    <w:lvl w:ilvl="7" w:tplc="4A5AF794" w:tentative="1">
      <w:start w:val="1"/>
      <w:numFmt w:val="bullet"/>
      <w:lvlText w:val="o"/>
      <w:lvlJc w:val="left"/>
      <w:pPr>
        <w:ind w:left="5760" w:hanging="360"/>
      </w:pPr>
      <w:rPr>
        <w:rFonts w:ascii="Courier New" w:hAnsi="Courier New" w:cs="Courier New" w:hint="default"/>
      </w:rPr>
    </w:lvl>
    <w:lvl w:ilvl="8" w:tplc="82906EB0" w:tentative="1">
      <w:start w:val="1"/>
      <w:numFmt w:val="bullet"/>
      <w:lvlText w:val=""/>
      <w:lvlJc w:val="left"/>
      <w:pPr>
        <w:ind w:left="6480" w:hanging="360"/>
      </w:pPr>
      <w:rPr>
        <w:rFonts w:ascii="Wingdings" w:hAnsi="Wingdings" w:hint="default"/>
      </w:rPr>
    </w:lvl>
  </w:abstractNum>
  <w:abstractNum w:abstractNumId="47" w15:restartNumberingAfterBreak="0">
    <w:nsid w:val="42713452"/>
    <w:multiLevelType w:val="singleLevel"/>
    <w:tmpl w:val="3B8CC7EA"/>
    <w:name w:val="Tiret 1"/>
    <w:lvl w:ilvl="0">
      <w:start w:val="1"/>
      <w:numFmt w:val="bullet"/>
      <w:pStyle w:val="Tiret1"/>
      <w:lvlText w:val="–"/>
      <w:lvlJc w:val="left"/>
      <w:pPr>
        <w:tabs>
          <w:tab w:val="num" w:pos="1417"/>
        </w:tabs>
        <w:ind w:left="1417" w:hanging="567"/>
      </w:pPr>
    </w:lvl>
  </w:abstractNum>
  <w:abstractNum w:abstractNumId="48" w15:restartNumberingAfterBreak="0">
    <w:nsid w:val="42FC0772"/>
    <w:multiLevelType w:val="singleLevel"/>
    <w:tmpl w:val="4128FCF8"/>
    <w:name w:val="Tiret 4"/>
    <w:lvl w:ilvl="0">
      <w:start w:val="1"/>
      <w:numFmt w:val="bullet"/>
      <w:pStyle w:val="Tiret4"/>
      <w:lvlText w:val="–"/>
      <w:lvlJc w:val="left"/>
      <w:pPr>
        <w:tabs>
          <w:tab w:val="num" w:pos="3118"/>
        </w:tabs>
        <w:ind w:left="3118" w:hanging="567"/>
      </w:pPr>
    </w:lvl>
  </w:abstractNum>
  <w:abstractNum w:abstractNumId="49" w15:restartNumberingAfterBreak="0">
    <w:nsid w:val="43391C9E"/>
    <w:multiLevelType w:val="multilevel"/>
    <w:tmpl w:val="45344E96"/>
    <w:lvl w:ilvl="0">
      <w:start w:val="1"/>
      <w:numFmt w:val="decimal"/>
      <w:lvlText w:val="%1"/>
      <w:lvlJc w:val="left"/>
      <w:pPr>
        <w:ind w:left="432" w:hanging="432"/>
      </w:pPr>
      <w:rPr>
        <w:rFonts w:asciiTheme="majorHAnsi" w:hAnsiTheme="majorHAnsi" w:hint="default"/>
      </w:rPr>
    </w:lvl>
    <w:lvl w:ilvl="1">
      <w:start w:val="1"/>
      <w:numFmt w:val="upperLetter"/>
      <w:lvlText w:val="%2."/>
      <w:lvlJc w:val="left"/>
      <w:pPr>
        <w:ind w:left="576" w:hanging="576"/>
      </w:pPr>
      <w:rPr>
        <w:rFonts w:hint="default"/>
      </w:rPr>
    </w:lvl>
    <w:lvl w:ilvl="2">
      <w:start w:val="1"/>
      <w:numFmt w:val="decimal"/>
      <w:pStyle w:val="Nadpis3a"/>
      <w:lvlText w:val="%2.%3"/>
      <w:lvlJc w:val="left"/>
      <w:pPr>
        <w:ind w:left="1855" w:hanging="720"/>
      </w:pPr>
      <w:rPr>
        <w:rFonts w:asciiTheme="majorHAnsi" w:hAnsiTheme="majorHAnsi"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0" w15:restartNumberingAfterBreak="0">
    <w:nsid w:val="444C6C4F"/>
    <w:multiLevelType w:val="hybridMultilevel"/>
    <w:tmpl w:val="C2361FAE"/>
    <w:lvl w:ilvl="0" w:tplc="AADAF64C">
      <w:start w:val="1"/>
      <w:numFmt w:val="bullet"/>
      <w:pStyle w:val="neslovanseznam4"/>
      <w:lvlText w:val="◊"/>
      <w:lvlJc w:val="left"/>
      <w:pPr>
        <w:tabs>
          <w:tab w:val="num" w:pos="1432"/>
        </w:tabs>
        <w:ind w:left="1432" w:hanging="360"/>
      </w:pPr>
      <w:rPr>
        <w:rFonts w:ascii="Courier New" w:hAnsi="Courier New" w:hint="default"/>
      </w:rPr>
    </w:lvl>
    <w:lvl w:ilvl="1" w:tplc="59DA90E2" w:tentative="1">
      <w:start w:val="1"/>
      <w:numFmt w:val="lowerLetter"/>
      <w:lvlText w:val="%2."/>
      <w:lvlJc w:val="left"/>
      <w:pPr>
        <w:tabs>
          <w:tab w:val="num" w:pos="2869"/>
        </w:tabs>
        <w:ind w:left="2869" w:hanging="360"/>
      </w:pPr>
    </w:lvl>
    <w:lvl w:ilvl="2" w:tplc="B0AC5DE2" w:tentative="1">
      <w:start w:val="1"/>
      <w:numFmt w:val="lowerRoman"/>
      <w:lvlText w:val="%3."/>
      <w:lvlJc w:val="right"/>
      <w:pPr>
        <w:tabs>
          <w:tab w:val="num" w:pos="3589"/>
        </w:tabs>
        <w:ind w:left="3589" w:hanging="180"/>
      </w:pPr>
    </w:lvl>
    <w:lvl w:ilvl="3" w:tplc="35321B92" w:tentative="1">
      <w:start w:val="1"/>
      <w:numFmt w:val="decimal"/>
      <w:lvlText w:val="%4."/>
      <w:lvlJc w:val="left"/>
      <w:pPr>
        <w:tabs>
          <w:tab w:val="num" w:pos="4309"/>
        </w:tabs>
        <w:ind w:left="4309" w:hanging="360"/>
      </w:pPr>
    </w:lvl>
    <w:lvl w:ilvl="4" w:tplc="1EFACEB2" w:tentative="1">
      <w:start w:val="1"/>
      <w:numFmt w:val="lowerLetter"/>
      <w:lvlText w:val="%5."/>
      <w:lvlJc w:val="left"/>
      <w:pPr>
        <w:tabs>
          <w:tab w:val="num" w:pos="5029"/>
        </w:tabs>
        <w:ind w:left="5029" w:hanging="360"/>
      </w:pPr>
    </w:lvl>
    <w:lvl w:ilvl="5" w:tplc="1AC09974" w:tentative="1">
      <w:start w:val="1"/>
      <w:numFmt w:val="lowerRoman"/>
      <w:lvlText w:val="%6."/>
      <w:lvlJc w:val="right"/>
      <w:pPr>
        <w:tabs>
          <w:tab w:val="num" w:pos="5749"/>
        </w:tabs>
        <w:ind w:left="5749" w:hanging="180"/>
      </w:pPr>
    </w:lvl>
    <w:lvl w:ilvl="6" w:tplc="A5F6808A" w:tentative="1">
      <w:start w:val="1"/>
      <w:numFmt w:val="decimal"/>
      <w:lvlText w:val="%7."/>
      <w:lvlJc w:val="left"/>
      <w:pPr>
        <w:tabs>
          <w:tab w:val="num" w:pos="6469"/>
        </w:tabs>
        <w:ind w:left="6469" w:hanging="360"/>
      </w:pPr>
    </w:lvl>
    <w:lvl w:ilvl="7" w:tplc="A6C2D69C" w:tentative="1">
      <w:start w:val="1"/>
      <w:numFmt w:val="lowerLetter"/>
      <w:lvlText w:val="%8."/>
      <w:lvlJc w:val="left"/>
      <w:pPr>
        <w:tabs>
          <w:tab w:val="num" w:pos="7189"/>
        </w:tabs>
        <w:ind w:left="7189" w:hanging="360"/>
      </w:pPr>
    </w:lvl>
    <w:lvl w:ilvl="8" w:tplc="B09E3666" w:tentative="1">
      <w:start w:val="1"/>
      <w:numFmt w:val="lowerRoman"/>
      <w:lvlText w:val="%9."/>
      <w:lvlJc w:val="right"/>
      <w:pPr>
        <w:tabs>
          <w:tab w:val="num" w:pos="7909"/>
        </w:tabs>
        <w:ind w:left="7909" w:hanging="180"/>
      </w:pPr>
    </w:lvl>
  </w:abstractNum>
  <w:abstractNum w:abstractNumId="51" w15:restartNumberingAfterBreak="0">
    <w:nsid w:val="44E55798"/>
    <w:multiLevelType w:val="multilevel"/>
    <w:tmpl w:val="2C949522"/>
    <w:styleLink w:val="seznamliteratury"/>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2" w15:restartNumberingAfterBreak="0">
    <w:nsid w:val="4552127F"/>
    <w:multiLevelType w:val="singleLevel"/>
    <w:tmpl w:val="057A5296"/>
    <w:name w:val="Bullet 0"/>
    <w:lvl w:ilvl="0">
      <w:start w:val="1"/>
      <w:numFmt w:val="bullet"/>
      <w:pStyle w:val="Bullet0"/>
      <w:lvlText w:val=""/>
      <w:lvlJc w:val="left"/>
      <w:pPr>
        <w:tabs>
          <w:tab w:val="num" w:pos="850"/>
        </w:tabs>
        <w:ind w:left="850" w:hanging="850"/>
      </w:pPr>
      <w:rPr>
        <w:rFonts w:ascii="Symbol" w:hAnsi="Symbol" w:hint="default"/>
      </w:rPr>
    </w:lvl>
  </w:abstractNum>
  <w:abstractNum w:abstractNumId="53" w15:restartNumberingAfterBreak="0">
    <w:nsid w:val="456B50DB"/>
    <w:multiLevelType w:val="hybridMultilevel"/>
    <w:tmpl w:val="4AB430C4"/>
    <w:lvl w:ilvl="0" w:tplc="FB4C41C4">
      <w:start w:val="1"/>
      <w:numFmt w:val="bullet"/>
      <w:pStyle w:val="Odraky2"/>
      <w:lvlText w:val=""/>
      <w:lvlJc w:val="left"/>
      <w:pPr>
        <w:ind w:left="1440" w:hanging="360"/>
      </w:pPr>
      <w:rPr>
        <w:rFonts w:ascii="Wingdings" w:hAnsi="Wingdings" w:hint="default"/>
      </w:rPr>
    </w:lvl>
    <w:lvl w:ilvl="1" w:tplc="58368F96" w:tentative="1">
      <w:start w:val="1"/>
      <w:numFmt w:val="bullet"/>
      <w:lvlText w:val="o"/>
      <w:lvlJc w:val="left"/>
      <w:pPr>
        <w:ind w:left="2160" w:hanging="360"/>
      </w:pPr>
      <w:rPr>
        <w:rFonts w:ascii="Courier New" w:hAnsi="Courier New" w:cs="Courier New" w:hint="default"/>
      </w:rPr>
    </w:lvl>
    <w:lvl w:ilvl="2" w:tplc="10ACF2D0" w:tentative="1">
      <w:start w:val="1"/>
      <w:numFmt w:val="bullet"/>
      <w:lvlText w:val=""/>
      <w:lvlJc w:val="left"/>
      <w:pPr>
        <w:ind w:left="2880" w:hanging="360"/>
      </w:pPr>
      <w:rPr>
        <w:rFonts w:ascii="Wingdings" w:hAnsi="Wingdings" w:hint="default"/>
      </w:rPr>
    </w:lvl>
    <w:lvl w:ilvl="3" w:tplc="A45E15BE" w:tentative="1">
      <w:start w:val="1"/>
      <w:numFmt w:val="bullet"/>
      <w:lvlText w:val=""/>
      <w:lvlJc w:val="left"/>
      <w:pPr>
        <w:ind w:left="3600" w:hanging="360"/>
      </w:pPr>
      <w:rPr>
        <w:rFonts w:ascii="Symbol" w:hAnsi="Symbol" w:hint="default"/>
      </w:rPr>
    </w:lvl>
    <w:lvl w:ilvl="4" w:tplc="99B07CF8" w:tentative="1">
      <w:start w:val="1"/>
      <w:numFmt w:val="bullet"/>
      <w:lvlText w:val="o"/>
      <w:lvlJc w:val="left"/>
      <w:pPr>
        <w:ind w:left="4320" w:hanging="360"/>
      </w:pPr>
      <w:rPr>
        <w:rFonts w:ascii="Courier New" w:hAnsi="Courier New" w:cs="Courier New" w:hint="default"/>
      </w:rPr>
    </w:lvl>
    <w:lvl w:ilvl="5" w:tplc="D958A60E" w:tentative="1">
      <w:start w:val="1"/>
      <w:numFmt w:val="bullet"/>
      <w:lvlText w:val=""/>
      <w:lvlJc w:val="left"/>
      <w:pPr>
        <w:ind w:left="5040" w:hanging="360"/>
      </w:pPr>
      <w:rPr>
        <w:rFonts w:ascii="Wingdings" w:hAnsi="Wingdings" w:hint="default"/>
      </w:rPr>
    </w:lvl>
    <w:lvl w:ilvl="6" w:tplc="D2EE80D0" w:tentative="1">
      <w:start w:val="1"/>
      <w:numFmt w:val="bullet"/>
      <w:lvlText w:val=""/>
      <w:lvlJc w:val="left"/>
      <w:pPr>
        <w:ind w:left="5760" w:hanging="360"/>
      </w:pPr>
      <w:rPr>
        <w:rFonts w:ascii="Symbol" w:hAnsi="Symbol" w:hint="default"/>
      </w:rPr>
    </w:lvl>
    <w:lvl w:ilvl="7" w:tplc="0BECA9C4" w:tentative="1">
      <w:start w:val="1"/>
      <w:numFmt w:val="bullet"/>
      <w:lvlText w:val="o"/>
      <w:lvlJc w:val="left"/>
      <w:pPr>
        <w:ind w:left="6480" w:hanging="360"/>
      </w:pPr>
      <w:rPr>
        <w:rFonts w:ascii="Courier New" w:hAnsi="Courier New" w:cs="Courier New" w:hint="default"/>
      </w:rPr>
    </w:lvl>
    <w:lvl w:ilvl="8" w:tplc="424A72E2" w:tentative="1">
      <w:start w:val="1"/>
      <w:numFmt w:val="bullet"/>
      <w:lvlText w:val=""/>
      <w:lvlJc w:val="left"/>
      <w:pPr>
        <w:ind w:left="7200" w:hanging="360"/>
      </w:pPr>
      <w:rPr>
        <w:rFonts w:ascii="Wingdings" w:hAnsi="Wingdings" w:hint="default"/>
      </w:rPr>
    </w:lvl>
  </w:abstractNum>
  <w:abstractNum w:abstractNumId="54" w15:restartNumberingAfterBreak="0">
    <w:nsid w:val="459811CB"/>
    <w:multiLevelType w:val="hybridMultilevel"/>
    <w:tmpl w:val="8B7C9718"/>
    <w:lvl w:ilvl="0" w:tplc="048CCD2A">
      <w:start w:val="1"/>
      <w:numFmt w:val="lowerRoman"/>
      <w:pStyle w:val="slovanseznam30"/>
      <w:lvlText w:val="%1."/>
      <w:lvlJc w:val="left"/>
      <w:pPr>
        <w:tabs>
          <w:tab w:val="num" w:pos="1072"/>
        </w:tabs>
        <w:ind w:left="1074" w:hanging="360"/>
      </w:pPr>
      <w:rPr>
        <w:rFonts w:hint="default"/>
      </w:rPr>
    </w:lvl>
    <w:lvl w:ilvl="1" w:tplc="55B6BA1C" w:tentative="1">
      <w:start w:val="1"/>
      <w:numFmt w:val="lowerLetter"/>
      <w:lvlText w:val="%2."/>
      <w:lvlJc w:val="left"/>
      <w:pPr>
        <w:tabs>
          <w:tab w:val="num" w:pos="1440"/>
        </w:tabs>
        <w:ind w:left="1440" w:hanging="360"/>
      </w:pPr>
    </w:lvl>
    <w:lvl w:ilvl="2" w:tplc="5DFC2542" w:tentative="1">
      <w:start w:val="1"/>
      <w:numFmt w:val="lowerRoman"/>
      <w:lvlText w:val="%3."/>
      <w:lvlJc w:val="right"/>
      <w:pPr>
        <w:tabs>
          <w:tab w:val="num" w:pos="2160"/>
        </w:tabs>
        <w:ind w:left="2160" w:hanging="180"/>
      </w:pPr>
    </w:lvl>
    <w:lvl w:ilvl="3" w:tplc="E2A0DA7C" w:tentative="1">
      <w:start w:val="1"/>
      <w:numFmt w:val="decimal"/>
      <w:lvlText w:val="%4."/>
      <w:lvlJc w:val="left"/>
      <w:pPr>
        <w:tabs>
          <w:tab w:val="num" w:pos="2880"/>
        </w:tabs>
        <w:ind w:left="2880" w:hanging="360"/>
      </w:pPr>
    </w:lvl>
    <w:lvl w:ilvl="4" w:tplc="5C36DDDC" w:tentative="1">
      <w:start w:val="1"/>
      <w:numFmt w:val="lowerLetter"/>
      <w:lvlText w:val="%5."/>
      <w:lvlJc w:val="left"/>
      <w:pPr>
        <w:tabs>
          <w:tab w:val="num" w:pos="3600"/>
        </w:tabs>
        <w:ind w:left="3600" w:hanging="360"/>
      </w:pPr>
    </w:lvl>
    <w:lvl w:ilvl="5" w:tplc="BB3A2C6A" w:tentative="1">
      <w:start w:val="1"/>
      <w:numFmt w:val="lowerRoman"/>
      <w:lvlText w:val="%6."/>
      <w:lvlJc w:val="right"/>
      <w:pPr>
        <w:tabs>
          <w:tab w:val="num" w:pos="4320"/>
        </w:tabs>
        <w:ind w:left="4320" w:hanging="180"/>
      </w:pPr>
    </w:lvl>
    <w:lvl w:ilvl="6" w:tplc="5686CB58" w:tentative="1">
      <w:start w:val="1"/>
      <w:numFmt w:val="decimal"/>
      <w:lvlText w:val="%7."/>
      <w:lvlJc w:val="left"/>
      <w:pPr>
        <w:tabs>
          <w:tab w:val="num" w:pos="5040"/>
        </w:tabs>
        <w:ind w:left="5040" w:hanging="360"/>
      </w:pPr>
    </w:lvl>
    <w:lvl w:ilvl="7" w:tplc="9984F3F4" w:tentative="1">
      <w:start w:val="1"/>
      <w:numFmt w:val="lowerLetter"/>
      <w:lvlText w:val="%8."/>
      <w:lvlJc w:val="left"/>
      <w:pPr>
        <w:tabs>
          <w:tab w:val="num" w:pos="5760"/>
        </w:tabs>
        <w:ind w:left="5760" w:hanging="360"/>
      </w:pPr>
    </w:lvl>
    <w:lvl w:ilvl="8" w:tplc="9B7ED298" w:tentative="1">
      <w:start w:val="1"/>
      <w:numFmt w:val="lowerRoman"/>
      <w:lvlText w:val="%9."/>
      <w:lvlJc w:val="right"/>
      <w:pPr>
        <w:tabs>
          <w:tab w:val="num" w:pos="6480"/>
        </w:tabs>
        <w:ind w:left="6480" w:hanging="180"/>
      </w:pPr>
    </w:lvl>
  </w:abstractNum>
  <w:abstractNum w:abstractNumId="55" w15:restartNumberingAfterBreak="0">
    <w:nsid w:val="4617175F"/>
    <w:multiLevelType w:val="hybridMultilevel"/>
    <w:tmpl w:val="05B08116"/>
    <w:lvl w:ilvl="0" w:tplc="D2629DAE">
      <w:start w:val="1"/>
      <w:numFmt w:val="decimal"/>
      <w:pStyle w:val="Nadpis10"/>
      <w:lvlText w:val="%1."/>
      <w:lvlJc w:val="left"/>
      <w:pPr>
        <w:ind w:left="720" w:hanging="360"/>
      </w:pPr>
      <w:rPr>
        <w:rFonts w:ascii="Cambria" w:hAnsi="Cambria" w:hint="default"/>
        <w:b/>
        <w:i w:val="0"/>
        <w:sz w:val="28"/>
      </w:rPr>
    </w:lvl>
    <w:lvl w:ilvl="1" w:tplc="B7E42802">
      <w:start w:val="1"/>
      <w:numFmt w:val="lowerLetter"/>
      <w:lvlText w:val="%2)"/>
      <w:lvlJc w:val="left"/>
      <w:pPr>
        <w:ind w:left="1440" w:hanging="360"/>
      </w:pPr>
      <w:rPr>
        <w:rFonts w:hint="default"/>
      </w:rPr>
    </w:lvl>
    <w:lvl w:ilvl="2" w:tplc="3B9087FA" w:tentative="1">
      <w:start w:val="1"/>
      <w:numFmt w:val="lowerRoman"/>
      <w:lvlText w:val="%3."/>
      <w:lvlJc w:val="right"/>
      <w:pPr>
        <w:ind w:left="2160" w:hanging="180"/>
      </w:pPr>
    </w:lvl>
    <w:lvl w:ilvl="3" w:tplc="01B4A6E4" w:tentative="1">
      <w:start w:val="1"/>
      <w:numFmt w:val="decimal"/>
      <w:lvlText w:val="%4."/>
      <w:lvlJc w:val="left"/>
      <w:pPr>
        <w:ind w:left="2880" w:hanging="360"/>
      </w:pPr>
    </w:lvl>
    <w:lvl w:ilvl="4" w:tplc="160C45E2" w:tentative="1">
      <w:start w:val="1"/>
      <w:numFmt w:val="lowerLetter"/>
      <w:lvlText w:val="%5."/>
      <w:lvlJc w:val="left"/>
      <w:pPr>
        <w:ind w:left="3600" w:hanging="360"/>
      </w:pPr>
    </w:lvl>
    <w:lvl w:ilvl="5" w:tplc="766C8D78" w:tentative="1">
      <w:start w:val="1"/>
      <w:numFmt w:val="lowerRoman"/>
      <w:lvlText w:val="%6."/>
      <w:lvlJc w:val="right"/>
      <w:pPr>
        <w:ind w:left="4320" w:hanging="180"/>
      </w:pPr>
    </w:lvl>
    <w:lvl w:ilvl="6" w:tplc="B73E4BE4" w:tentative="1">
      <w:start w:val="1"/>
      <w:numFmt w:val="decimal"/>
      <w:lvlText w:val="%7."/>
      <w:lvlJc w:val="left"/>
      <w:pPr>
        <w:ind w:left="5040" w:hanging="360"/>
      </w:pPr>
    </w:lvl>
    <w:lvl w:ilvl="7" w:tplc="D9DA1AB6" w:tentative="1">
      <w:start w:val="1"/>
      <w:numFmt w:val="lowerLetter"/>
      <w:lvlText w:val="%8."/>
      <w:lvlJc w:val="left"/>
      <w:pPr>
        <w:ind w:left="5760" w:hanging="360"/>
      </w:pPr>
    </w:lvl>
    <w:lvl w:ilvl="8" w:tplc="2D7C51FA" w:tentative="1">
      <w:start w:val="1"/>
      <w:numFmt w:val="lowerRoman"/>
      <w:lvlText w:val="%9."/>
      <w:lvlJc w:val="right"/>
      <w:pPr>
        <w:ind w:left="6480" w:hanging="180"/>
      </w:pPr>
    </w:lvl>
  </w:abstractNum>
  <w:abstractNum w:abstractNumId="56"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4DAA44F9"/>
    <w:multiLevelType w:val="hybridMultilevel"/>
    <w:tmpl w:val="B0900B2C"/>
    <w:lvl w:ilvl="0" w:tplc="D480E492">
      <w:start w:val="1"/>
      <w:numFmt w:val="bullet"/>
      <w:lvlText w:val=""/>
      <w:lvlJc w:val="left"/>
      <w:pPr>
        <w:ind w:left="720" w:hanging="360"/>
      </w:pPr>
      <w:rPr>
        <w:rFonts w:ascii="Symbol" w:hAnsi="Symbol" w:hint="default"/>
      </w:rPr>
    </w:lvl>
    <w:lvl w:ilvl="1" w:tplc="42308C92" w:tentative="1">
      <w:start w:val="1"/>
      <w:numFmt w:val="bullet"/>
      <w:lvlText w:val="o"/>
      <w:lvlJc w:val="left"/>
      <w:pPr>
        <w:ind w:left="1440" w:hanging="360"/>
      </w:pPr>
      <w:rPr>
        <w:rFonts w:ascii="Courier New" w:hAnsi="Courier New" w:cs="Courier New" w:hint="default"/>
      </w:rPr>
    </w:lvl>
    <w:lvl w:ilvl="2" w:tplc="518AADD4" w:tentative="1">
      <w:start w:val="1"/>
      <w:numFmt w:val="bullet"/>
      <w:lvlText w:val=""/>
      <w:lvlJc w:val="left"/>
      <w:pPr>
        <w:ind w:left="2160" w:hanging="360"/>
      </w:pPr>
      <w:rPr>
        <w:rFonts w:ascii="Wingdings" w:hAnsi="Wingdings" w:hint="default"/>
      </w:rPr>
    </w:lvl>
    <w:lvl w:ilvl="3" w:tplc="439E7C54" w:tentative="1">
      <w:start w:val="1"/>
      <w:numFmt w:val="bullet"/>
      <w:lvlText w:val=""/>
      <w:lvlJc w:val="left"/>
      <w:pPr>
        <w:ind w:left="2880" w:hanging="360"/>
      </w:pPr>
      <w:rPr>
        <w:rFonts w:ascii="Symbol" w:hAnsi="Symbol" w:hint="default"/>
      </w:rPr>
    </w:lvl>
    <w:lvl w:ilvl="4" w:tplc="06CAC362" w:tentative="1">
      <w:start w:val="1"/>
      <w:numFmt w:val="bullet"/>
      <w:lvlText w:val="o"/>
      <w:lvlJc w:val="left"/>
      <w:pPr>
        <w:ind w:left="3600" w:hanging="360"/>
      </w:pPr>
      <w:rPr>
        <w:rFonts w:ascii="Courier New" w:hAnsi="Courier New" w:cs="Courier New" w:hint="default"/>
      </w:rPr>
    </w:lvl>
    <w:lvl w:ilvl="5" w:tplc="0B2C13E8" w:tentative="1">
      <w:start w:val="1"/>
      <w:numFmt w:val="bullet"/>
      <w:lvlText w:val=""/>
      <w:lvlJc w:val="left"/>
      <w:pPr>
        <w:ind w:left="4320" w:hanging="360"/>
      </w:pPr>
      <w:rPr>
        <w:rFonts w:ascii="Wingdings" w:hAnsi="Wingdings" w:hint="default"/>
      </w:rPr>
    </w:lvl>
    <w:lvl w:ilvl="6" w:tplc="0792AA4A" w:tentative="1">
      <w:start w:val="1"/>
      <w:numFmt w:val="bullet"/>
      <w:lvlText w:val=""/>
      <w:lvlJc w:val="left"/>
      <w:pPr>
        <w:ind w:left="5040" w:hanging="360"/>
      </w:pPr>
      <w:rPr>
        <w:rFonts w:ascii="Symbol" w:hAnsi="Symbol" w:hint="default"/>
      </w:rPr>
    </w:lvl>
    <w:lvl w:ilvl="7" w:tplc="5336CA3E" w:tentative="1">
      <w:start w:val="1"/>
      <w:numFmt w:val="bullet"/>
      <w:lvlText w:val="o"/>
      <w:lvlJc w:val="left"/>
      <w:pPr>
        <w:ind w:left="5760" w:hanging="360"/>
      </w:pPr>
      <w:rPr>
        <w:rFonts w:ascii="Courier New" w:hAnsi="Courier New" w:cs="Courier New" w:hint="default"/>
      </w:rPr>
    </w:lvl>
    <w:lvl w:ilvl="8" w:tplc="519E8200" w:tentative="1">
      <w:start w:val="1"/>
      <w:numFmt w:val="bullet"/>
      <w:lvlText w:val=""/>
      <w:lvlJc w:val="left"/>
      <w:pPr>
        <w:ind w:left="6480" w:hanging="360"/>
      </w:pPr>
      <w:rPr>
        <w:rFonts w:ascii="Wingdings" w:hAnsi="Wingdings" w:hint="default"/>
      </w:rPr>
    </w:lvl>
  </w:abstractNum>
  <w:abstractNum w:abstractNumId="58" w15:restartNumberingAfterBreak="0">
    <w:nsid w:val="4E9C7690"/>
    <w:multiLevelType w:val="hybridMultilevel"/>
    <w:tmpl w:val="069C12C4"/>
    <w:lvl w:ilvl="0" w:tplc="856846CC">
      <w:start w:val="1"/>
      <w:numFmt w:val="bullet"/>
      <w:lvlText w:val=""/>
      <w:lvlJc w:val="left"/>
      <w:pPr>
        <w:ind w:left="716" w:hanging="360"/>
      </w:pPr>
      <w:rPr>
        <w:rFonts w:ascii="Symbol" w:hAnsi="Symbol" w:hint="default"/>
      </w:rPr>
    </w:lvl>
    <w:lvl w:ilvl="1" w:tplc="5644FF14" w:tentative="1">
      <w:start w:val="1"/>
      <w:numFmt w:val="lowerLetter"/>
      <w:lvlText w:val="%2."/>
      <w:lvlJc w:val="left"/>
      <w:pPr>
        <w:ind w:left="1436" w:hanging="360"/>
      </w:pPr>
    </w:lvl>
    <w:lvl w:ilvl="2" w:tplc="5AA60642" w:tentative="1">
      <w:start w:val="1"/>
      <w:numFmt w:val="lowerRoman"/>
      <w:lvlText w:val="%3."/>
      <w:lvlJc w:val="right"/>
      <w:pPr>
        <w:ind w:left="2156" w:hanging="180"/>
      </w:pPr>
    </w:lvl>
    <w:lvl w:ilvl="3" w:tplc="53847D52" w:tentative="1">
      <w:start w:val="1"/>
      <w:numFmt w:val="decimal"/>
      <w:lvlText w:val="%4."/>
      <w:lvlJc w:val="left"/>
      <w:pPr>
        <w:ind w:left="2876" w:hanging="360"/>
      </w:pPr>
    </w:lvl>
    <w:lvl w:ilvl="4" w:tplc="2D8E2C12" w:tentative="1">
      <w:start w:val="1"/>
      <w:numFmt w:val="lowerLetter"/>
      <w:lvlText w:val="%5."/>
      <w:lvlJc w:val="left"/>
      <w:pPr>
        <w:ind w:left="3596" w:hanging="360"/>
      </w:pPr>
    </w:lvl>
    <w:lvl w:ilvl="5" w:tplc="04CEB7D8" w:tentative="1">
      <w:start w:val="1"/>
      <w:numFmt w:val="lowerRoman"/>
      <w:lvlText w:val="%6."/>
      <w:lvlJc w:val="right"/>
      <w:pPr>
        <w:ind w:left="4316" w:hanging="180"/>
      </w:pPr>
    </w:lvl>
    <w:lvl w:ilvl="6" w:tplc="53741278" w:tentative="1">
      <w:start w:val="1"/>
      <w:numFmt w:val="decimal"/>
      <w:lvlText w:val="%7."/>
      <w:lvlJc w:val="left"/>
      <w:pPr>
        <w:ind w:left="5036" w:hanging="360"/>
      </w:pPr>
    </w:lvl>
    <w:lvl w:ilvl="7" w:tplc="EE1A1406" w:tentative="1">
      <w:start w:val="1"/>
      <w:numFmt w:val="lowerLetter"/>
      <w:lvlText w:val="%8."/>
      <w:lvlJc w:val="left"/>
      <w:pPr>
        <w:ind w:left="5756" w:hanging="360"/>
      </w:pPr>
    </w:lvl>
    <w:lvl w:ilvl="8" w:tplc="815644BA" w:tentative="1">
      <w:start w:val="1"/>
      <w:numFmt w:val="lowerRoman"/>
      <w:lvlText w:val="%9."/>
      <w:lvlJc w:val="right"/>
      <w:pPr>
        <w:ind w:left="6476" w:hanging="180"/>
      </w:pPr>
    </w:lvl>
  </w:abstractNum>
  <w:abstractNum w:abstractNumId="59" w15:restartNumberingAfterBreak="0">
    <w:nsid w:val="4F89775E"/>
    <w:multiLevelType w:val="multilevel"/>
    <w:tmpl w:val="0D8ABE32"/>
    <w:styleLink w:val="VariantaB-sla"/>
    <w:lvl w:ilvl="0">
      <w:start w:val="1"/>
      <w:numFmt w:val="decimal"/>
      <w:pStyle w:val="slovanseznamB"/>
      <w:lvlText w:val="%1)"/>
      <w:lvlJc w:val="left"/>
      <w:pPr>
        <w:ind w:left="360" w:hanging="360"/>
      </w:pPr>
    </w:lvl>
    <w:lvl w:ilvl="1">
      <w:start w:val="1"/>
      <w:numFmt w:val="lowerLetter"/>
      <w:pStyle w:val="slovanseznamB2"/>
      <w:lvlText w:val="%2)"/>
      <w:lvlJc w:val="left"/>
      <w:pPr>
        <w:ind w:left="720" w:hanging="360"/>
      </w:pPr>
    </w:lvl>
    <w:lvl w:ilvl="2">
      <w:start w:val="1"/>
      <w:numFmt w:val="lowerRoman"/>
      <w:pStyle w:val="slovanseznamB3"/>
      <w:lvlText w:val="%3)"/>
      <w:lvlJc w:val="left"/>
      <w:pPr>
        <w:ind w:left="1080" w:hanging="360"/>
      </w:pPr>
    </w:lvl>
    <w:lvl w:ilvl="3">
      <w:start w:val="1"/>
      <w:numFmt w:val="decimal"/>
      <w:pStyle w:val="slovanseznamB4"/>
      <w:lvlText w:val="(%4)"/>
      <w:lvlJc w:val="left"/>
      <w:pPr>
        <w:ind w:left="1440" w:hanging="360"/>
      </w:pPr>
    </w:lvl>
    <w:lvl w:ilvl="4">
      <w:start w:val="1"/>
      <w:numFmt w:val="lowerLetter"/>
      <w:pStyle w:val="slovanseznamB5"/>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51F26F75"/>
    <w:multiLevelType w:val="hybridMultilevel"/>
    <w:tmpl w:val="71AAFF04"/>
    <w:lvl w:ilvl="0" w:tplc="AEC441C2">
      <w:start w:val="1"/>
      <w:numFmt w:val="bullet"/>
      <w:pStyle w:val="Bullet1"/>
      <w:lvlText w:val=""/>
      <w:lvlJc w:val="left"/>
      <w:pPr>
        <w:tabs>
          <w:tab w:val="num" w:pos="567"/>
        </w:tabs>
        <w:ind w:left="567" w:hanging="397"/>
      </w:pPr>
      <w:rPr>
        <w:rFonts w:ascii="Symbol" w:hAnsi="Symbol" w:hint="default"/>
      </w:rPr>
    </w:lvl>
    <w:lvl w:ilvl="1" w:tplc="28C0921A">
      <w:start w:val="1"/>
      <w:numFmt w:val="bullet"/>
      <w:lvlText w:val="o"/>
      <w:lvlJc w:val="left"/>
      <w:pPr>
        <w:tabs>
          <w:tab w:val="num" w:pos="1440"/>
        </w:tabs>
        <w:ind w:left="1440" w:hanging="360"/>
      </w:pPr>
      <w:rPr>
        <w:rFonts w:ascii="Courier New" w:hAnsi="Courier New" w:hint="default"/>
      </w:rPr>
    </w:lvl>
    <w:lvl w:ilvl="2" w:tplc="6D3C25DE" w:tentative="1">
      <w:start w:val="1"/>
      <w:numFmt w:val="bullet"/>
      <w:lvlText w:val=""/>
      <w:lvlJc w:val="left"/>
      <w:pPr>
        <w:tabs>
          <w:tab w:val="num" w:pos="2160"/>
        </w:tabs>
        <w:ind w:left="2160" w:hanging="360"/>
      </w:pPr>
      <w:rPr>
        <w:rFonts w:ascii="Wingdings" w:hAnsi="Wingdings" w:hint="default"/>
      </w:rPr>
    </w:lvl>
    <w:lvl w:ilvl="3" w:tplc="08C8394A" w:tentative="1">
      <w:start w:val="1"/>
      <w:numFmt w:val="bullet"/>
      <w:lvlText w:val=""/>
      <w:lvlJc w:val="left"/>
      <w:pPr>
        <w:tabs>
          <w:tab w:val="num" w:pos="2880"/>
        </w:tabs>
        <w:ind w:left="2880" w:hanging="360"/>
      </w:pPr>
      <w:rPr>
        <w:rFonts w:ascii="Symbol" w:hAnsi="Symbol" w:hint="default"/>
      </w:rPr>
    </w:lvl>
    <w:lvl w:ilvl="4" w:tplc="180874D2" w:tentative="1">
      <w:start w:val="1"/>
      <w:numFmt w:val="bullet"/>
      <w:lvlText w:val="o"/>
      <w:lvlJc w:val="left"/>
      <w:pPr>
        <w:tabs>
          <w:tab w:val="num" w:pos="3600"/>
        </w:tabs>
        <w:ind w:left="3600" w:hanging="360"/>
      </w:pPr>
      <w:rPr>
        <w:rFonts w:ascii="Courier New" w:hAnsi="Courier New" w:hint="default"/>
      </w:rPr>
    </w:lvl>
    <w:lvl w:ilvl="5" w:tplc="1CB26246" w:tentative="1">
      <w:start w:val="1"/>
      <w:numFmt w:val="bullet"/>
      <w:lvlText w:val=""/>
      <w:lvlJc w:val="left"/>
      <w:pPr>
        <w:tabs>
          <w:tab w:val="num" w:pos="4320"/>
        </w:tabs>
        <w:ind w:left="4320" w:hanging="360"/>
      </w:pPr>
      <w:rPr>
        <w:rFonts w:ascii="Wingdings" w:hAnsi="Wingdings" w:hint="default"/>
      </w:rPr>
    </w:lvl>
    <w:lvl w:ilvl="6" w:tplc="772C4D24" w:tentative="1">
      <w:start w:val="1"/>
      <w:numFmt w:val="bullet"/>
      <w:lvlText w:val=""/>
      <w:lvlJc w:val="left"/>
      <w:pPr>
        <w:tabs>
          <w:tab w:val="num" w:pos="5040"/>
        </w:tabs>
        <w:ind w:left="5040" w:hanging="360"/>
      </w:pPr>
      <w:rPr>
        <w:rFonts w:ascii="Symbol" w:hAnsi="Symbol" w:hint="default"/>
      </w:rPr>
    </w:lvl>
    <w:lvl w:ilvl="7" w:tplc="E2F21FB2" w:tentative="1">
      <w:start w:val="1"/>
      <w:numFmt w:val="bullet"/>
      <w:lvlText w:val="o"/>
      <w:lvlJc w:val="left"/>
      <w:pPr>
        <w:tabs>
          <w:tab w:val="num" w:pos="5760"/>
        </w:tabs>
        <w:ind w:left="5760" w:hanging="360"/>
      </w:pPr>
      <w:rPr>
        <w:rFonts w:ascii="Courier New" w:hAnsi="Courier New" w:hint="default"/>
      </w:rPr>
    </w:lvl>
    <w:lvl w:ilvl="8" w:tplc="37DC768C"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35230BA"/>
    <w:multiLevelType w:val="hybridMultilevel"/>
    <w:tmpl w:val="01F6AC8A"/>
    <w:lvl w:ilvl="0" w:tplc="5B02BE32">
      <w:start w:val="1"/>
      <w:numFmt w:val="lowerLetter"/>
      <w:pStyle w:val="slovanseznam2"/>
      <w:lvlText w:val="%1)"/>
      <w:lvlJc w:val="left"/>
      <w:pPr>
        <w:tabs>
          <w:tab w:val="num" w:pos="720"/>
        </w:tabs>
        <w:ind w:left="720" w:hanging="360"/>
      </w:pPr>
      <w:rPr>
        <w:rFonts w:hint="default"/>
      </w:rPr>
    </w:lvl>
    <w:lvl w:ilvl="1" w:tplc="1D42CFD6" w:tentative="1">
      <w:start w:val="1"/>
      <w:numFmt w:val="lowerLetter"/>
      <w:lvlText w:val="%2."/>
      <w:lvlJc w:val="left"/>
      <w:pPr>
        <w:tabs>
          <w:tab w:val="num" w:pos="1440"/>
        </w:tabs>
        <w:ind w:left="1440" w:hanging="360"/>
      </w:pPr>
    </w:lvl>
    <w:lvl w:ilvl="2" w:tplc="02942DC4" w:tentative="1">
      <w:start w:val="1"/>
      <w:numFmt w:val="lowerRoman"/>
      <w:lvlText w:val="%3."/>
      <w:lvlJc w:val="right"/>
      <w:pPr>
        <w:tabs>
          <w:tab w:val="num" w:pos="2160"/>
        </w:tabs>
        <w:ind w:left="2160" w:hanging="180"/>
      </w:pPr>
    </w:lvl>
    <w:lvl w:ilvl="3" w:tplc="2CA4E70E" w:tentative="1">
      <w:start w:val="1"/>
      <w:numFmt w:val="decimal"/>
      <w:lvlText w:val="%4."/>
      <w:lvlJc w:val="left"/>
      <w:pPr>
        <w:tabs>
          <w:tab w:val="num" w:pos="2880"/>
        </w:tabs>
        <w:ind w:left="2880" w:hanging="360"/>
      </w:pPr>
    </w:lvl>
    <w:lvl w:ilvl="4" w:tplc="825217EA" w:tentative="1">
      <w:start w:val="1"/>
      <w:numFmt w:val="lowerLetter"/>
      <w:lvlText w:val="%5."/>
      <w:lvlJc w:val="left"/>
      <w:pPr>
        <w:tabs>
          <w:tab w:val="num" w:pos="3600"/>
        </w:tabs>
        <w:ind w:left="3600" w:hanging="360"/>
      </w:pPr>
    </w:lvl>
    <w:lvl w:ilvl="5" w:tplc="EAAA41DA" w:tentative="1">
      <w:start w:val="1"/>
      <w:numFmt w:val="lowerRoman"/>
      <w:lvlText w:val="%6."/>
      <w:lvlJc w:val="right"/>
      <w:pPr>
        <w:tabs>
          <w:tab w:val="num" w:pos="4320"/>
        </w:tabs>
        <w:ind w:left="4320" w:hanging="180"/>
      </w:pPr>
    </w:lvl>
    <w:lvl w:ilvl="6" w:tplc="C5A60292" w:tentative="1">
      <w:start w:val="1"/>
      <w:numFmt w:val="decimal"/>
      <w:lvlText w:val="%7."/>
      <w:lvlJc w:val="left"/>
      <w:pPr>
        <w:tabs>
          <w:tab w:val="num" w:pos="5040"/>
        </w:tabs>
        <w:ind w:left="5040" w:hanging="360"/>
      </w:pPr>
    </w:lvl>
    <w:lvl w:ilvl="7" w:tplc="FB1609B0" w:tentative="1">
      <w:start w:val="1"/>
      <w:numFmt w:val="lowerLetter"/>
      <w:lvlText w:val="%8."/>
      <w:lvlJc w:val="left"/>
      <w:pPr>
        <w:tabs>
          <w:tab w:val="num" w:pos="5760"/>
        </w:tabs>
        <w:ind w:left="5760" w:hanging="360"/>
      </w:pPr>
    </w:lvl>
    <w:lvl w:ilvl="8" w:tplc="27D47442" w:tentative="1">
      <w:start w:val="1"/>
      <w:numFmt w:val="lowerRoman"/>
      <w:lvlText w:val="%9."/>
      <w:lvlJc w:val="right"/>
      <w:pPr>
        <w:tabs>
          <w:tab w:val="num" w:pos="6480"/>
        </w:tabs>
        <w:ind w:left="6480" w:hanging="180"/>
      </w:pPr>
    </w:lvl>
  </w:abstractNum>
  <w:abstractNum w:abstractNumId="62" w15:restartNumberingAfterBreak="0">
    <w:nsid w:val="54631338"/>
    <w:multiLevelType w:val="hybridMultilevel"/>
    <w:tmpl w:val="05CCCDBA"/>
    <w:lvl w:ilvl="0" w:tplc="07D6F0C6">
      <w:start w:val="1"/>
      <w:numFmt w:val="bullet"/>
      <w:lvlText w:val=""/>
      <w:lvlJc w:val="left"/>
      <w:pPr>
        <w:ind w:left="720" w:hanging="360"/>
      </w:pPr>
      <w:rPr>
        <w:rFonts w:ascii="Symbol" w:hAnsi="Symbol" w:hint="default"/>
      </w:rPr>
    </w:lvl>
    <w:lvl w:ilvl="1" w:tplc="8EE0C836" w:tentative="1">
      <w:start w:val="1"/>
      <w:numFmt w:val="bullet"/>
      <w:lvlText w:val="o"/>
      <w:lvlJc w:val="left"/>
      <w:pPr>
        <w:ind w:left="1440" w:hanging="360"/>
      </w:pPr>
      <w:rPr>
        <w:rFonts w:ascii="Courier New" w:hAnsi="Courier New" w:cs="Courier New" w:hint="default"/>
      </w:rPr>
    </w:lvl>
    <w:lvl w:ilvl="2" w:tplc="339EC46E" w:tentative="1">
      <w:start w:val="1"/>
      <w:numFmt w:val="bullet"/>
      <w:lvlText w:val=""/>
      <w:lvlJc w:val="left"/>
      <w:pPr>
        <w:ind w:left="2160" w:hanging="360"/>
      </w:pPr>
      <w:rPr>
        <w:rFonts w:ascii="Wingdings" w:hAnsi="Wingdings" w:hint="default"/>
      </w:rPr>
    </w:lvl>
    <w:lvl w:ilvl="3" w:tplc="64F0D3E0" w:tentative="1">
      <w:start w:val="1"/>
      <w:numFmt w:val="bullet"/>
      <w:lvlText w:val=""/>
      <w:lvlJc w:val="left"/>
      <w:pPr>
        <w:ind w:left="2880" w:hanging="360"/>
      </w:pPr>
      <w:rPr>
        <w:rFonts w:ascii="Symbol" w:hAnsi="Symbol" w:hint="default"/>
      </w:rPr>
    </w:lvl>
    <w:lvl w:ilvl="4" w:tplc="DEF04CFE" w:tentative="1">
      <w:start w:val="1"/>
      <w:numFmt w:val="bullet"/>
      <w:lvlText w:val="o"/>
      <w:lvlJc w:val="left"/>
      <w:pPr>
        <w:ind w:left="3600" w:hanging="360"/>
      </w:pPr>
      <w:rPr>
        <w:rFonts w:ascii="Courier New" w:hAnsi="Courier New" w:cs="Courier New" w:hint="default"/>
      </w:rPr>
    </w:lvl>
    <w:lvl w:ilvl="5" w:tplc="1F8EE1CE" w:tentative="1">
      <w:start w:val="1"/>
      <w:numFmt w:val="bullet"/>
      <w:lvlText w:val=""/>
      <w:lvlJc w:val="left"/>
      <w:pPr>
        <w:ind w:left="4320" w:hanging="360"/>
      </w:pPr>
      <w:rPr>
        <w:rFonts w:ascii="Wingdings" w:hAnsi="Wingdings" w:hint="default"/>
      </w:rPr>
    </w:lvl>
    <w:lvl w:ilvl="6" w:tplc="5FBE6FC8" w:tentative="1">
      <w:start w:val="1"/>
      <w:numFmt w:val="bullet"/>
      <w:lvlText w:val=""/>
      <w:lvlJc w:val="left"/>
      <w:pPr>
        <w:ind w:left="5040" w:hanging="360"/>
      </w:pPr>
      <w:rPr>
        <w:rFonts w:ascii="Symbol" w:hAnsi="Symbol" w:hint="default"/>
      </w:rPr>
    </w:lvl>
    <w:lvl w:ilvl="7" w:tplc="B650BAAE" w:tentative="1">
      <w:start w:val="1"/>
      <w:numFmt w:val="bullet"/>
      <w:lvlText w:val="o"/>
      <w:lvlJc w:val="left"/>
      <w:pPr>
        <w:ind w:left="5760" w:hanging="360"/>
      </w:pPr>
      <w:rPr>
        <w:rFonts w:ascii="Courier New" w:hAnsi="Courier New" w:cs="Courier New" w:hint="default"/>
      </w:rPr>
    </w:lvl>
    <w:lvl w:ilvl="8" w:tplc="55923708" w:tentative="1">
      <w:start w:val="1"/>
      <w:numFmt w:val="bullet"/>
      <w:lvlText w:val=""/>
      <w:lvlJc w:val="left"/>
      <w:pPr>
        <w:ind w:left="6480" w:hanging="360"/>
      </w:pPr>
      <w:rPr>
        <w:rFonts w:ascii="Wingdings" w:hAnsi="Wingdings" w:hint="default"/>
      </w:rPr>
    </w:lvl>
  </w:abstractNum>
  <w:abstractNum w:abstractNumId="63" w15:restartNumberingAfterBreak="0">
    <w:nsid w:val="556E1D63"/>
    <w:multiLevelType w:val="singleLevel"/>
    <w:tmpl w:val="493AAFF0"/>
    <w:name w:val="Bullet 4"/>
    <w:lvl w:ilvl="0">
      <w:start w:val="1"/>
      <w:numFmt w:val="bullet"/>
      <w:pStyle w:val="Bullet4"/>
      <w:lvlText w:val=""/>
      <w:lvlJc w:val="left"/>
      <w:pPr>
        <w:tabs>
          <w:tab w:val="num" w:pos="3118"/>
        </w:tabs>
        <w:ind w:left="3118" w:hanging="567"/>
      </w:pPr>
      <w:rPr>
        <w:rFonts w:ascii="Symbol" w:hAnsi="Symbol" w:hint="default"/>
      </w:rPr>
    </w:lvl>
  </w:abstractNum>
  <w:abstractNum w:abstractNumId="64" w15:restartNumberingAfterBreak="0">
    <w:nsid w:val="569E3FA6"/>
    <w:multiLevelType w:val="hybridMultilevel"/>
    <w:tmpl w:val="A282D098"/>
    <w:lvl w:ilvl="0" w:tplc="E9B699FE">
      <w:start w:val="1"/>
      <w:numFmt w:val="bullet"/>
      <w:lvlText w:val=""/>
      <w:lvlJc w:val="left"/>
      <w:pPr>
        <w:ind w:left="720" w:hanging="360"/>
      </w:pPr>
      <w:rPr>
        <w:rFonts w:ascii="Symbol" w:hAnsi="Symbol" w:hint="default"/>
      </w:rPr>
    </w:lvl>
    <w:lvl w:ilvl="1" w:tplc="49F81260" w:tentative="1">
      <w:start w:val="1"/>
      <w:numFmt w:val="bullet"/>
      <w:lvlText w:val="o"/>
      <w:lvlJc w:val="left"/>
      <w:pPr>
        <w:ind w:left="1440" w:hanging="360"/>
      </w:pPr>
      <w:rPr>
        <w:rFonts w:ascii="Courier New" w:hAnsi="Courier New" w:cs="Courier New" w:hint="default"/>
      </w:rPr>
    </w:lvl>
    <w:lvl w:ilvl="2" w:tplc="688AE528" w:tentative="1">
      <w:start w:val="1"/>
      <w:numFmt w:val="bullet"/>
      <w:lvlText w:val=""/>
      <w:lvlJc w:val="left"/>
      <w:pPr>
        <w:ind w:left="2160" w:hanging="360"/>
      </w:pPr>
      <w:rPr>
        <w:rFonts w:ascii="Wingdings" w:hAnsi="Wingdings" w:hint="default"/>
      </w:rPr>
    </w:lvl>
    <w:lvl w:ilvl="3" w:tplc="CAE43E4A" w:tentative="1">
      <w:start w:val="1"/>
      <w:numFmt w:val="bullet"/>
      <w:lvlText w:val=""/>
      <w:lvlJc w:val="left"/>
      <w:pPr>
        <w:ind w:left="2880" w:hanging="360"/>
      </w:pPr>
      <w:rPr>
        <w:rFonts w:ascii="Symbol" w:hAnsi="Symbol" w:hint="default"/>
      </w:rPr>
    </w:lvl>
    <w:lvl w:ilvl="4" w:tplc="3006B6C4" w:tentative="1">
      <w:start w:val="1"/>
      <w:numFmt w:val="bullet"/>
      <w:lvlText w:val="o"/>
      <w:lvlJc w:val="left"/>
      <w:pPr>
        <w:ind w:left="3600" w:hanging="360"/>
      </w:pPr>
      <w:rPr>
        <w:rFonts w:ascii="Courier New" w:hAnsi="Courier New" w:cs="Courier New" w:hint="default"/>
      </w:rPr>
    </w:lvl>
    <w:lvl w:ilvl="5" w:tplc="F8A44884" w:tentative="1">
      <w:start w:val="1"/>
      <w:numFmt w:val="bullet"/>
      <w:lvlText w:val=""/>
      <w:lvlJc w:val="left"/>
      <w:pPr>
        <w:ind w:left="4320" w:hanging="360"/>
      </w:pPr>
      <w:rPr>
        <w:rFonts w:ascii="Wingdings" w:hAnsi="Wingdings" w:hint="default"/>
      </w:rPr>
    </w:lvl>
    <w:lvl w:ilvl="6" w:tplc="702A64BA" w:tentative="1">
      <w:start w:val="1"/>
      <w:numFmt w:val="bullet"/>
      <w:lvlText w:val=""/>
      <w:lvlJc w:val="left"/>
      <w:pPr>
        <w:ind w:left="5040" w:hanging="360"/>
      </w:pPr>
      <w:rPr>
        <w:rFonts w:ascii="Symbol" w:hAnsi="Symbol" w:hint="default"/>
      </w:rPr>
    </w:lvl>
    <w:lvl w:ilvl="7" w:tplc="C3180A16" w:tentative="1">
      <w:start w:val="1"/>
      <w:numFmt w:val="bullet"/>
      <w:lvlText w:val="o"/>
      <w:lvlJc w:val="left"/>
      <w:pPr>
        <w:ind w:left="5760" w:hanging="360"/>
      </w:pPr>
      <w:rPr>
        <w:rFonts w:ascii="Courier New" w:hAnsi="Courier New" w:cs="Courier New" w:hint="default"/>
      </w:rPr>
    </w:lvl>
    <w:lvl w:ilvl="8" w:tplc="66728558" w:tentative="1">
      <w:start w:val="1"/>
      <w:numFmt w:val="bullet"/>
      <w:lvlText w:val=""/>
      <w:lvlJc w:val="left"/>
      <w:pPr>
        <w:ind w:left="6480" w:hanging="360"/>
      </w:pPr>
      <w:rPr>
        <w:rFonts w:ascii="Wingdings" w:hAnsi="Wingdings" w:hint="default"/>
      </w:rPr>
    </w:lvl>
  </w:abstractNum>
  <w:abstractNum w:abstractNumId="65" w15:restartNumberingAfterBreak="0">
    <w:nsid w:val="58A321E4"/>
    <w:multiLevelType w:val="multilevel"/>
    <w:tmpl w:val="E8BAE50A"/>
    <w:styleLink w:val="VariantaA-odrky"/>
    <w:lvl w:ilvl="0">
      <w:start w:val="1"/>
      <w:numFmt w:val="bullet"/>
      <w:lvlText w:val=""/>
      <w:lvlJc w:val="left"/>
      <w:pPr>
        <w:ind w:left="357" w:hanging="357"/>
      </w:pPr>
      <w:rPr>
        <w:rFonts w:ascii="Wingdings" w:hAnsi="Wingdings" w:hint="default"/>
        <w:sz w:val="16"/>
      </w:rPr>
    </w:lvl>
    <w:lvl w:ilvl="1">
      <w:start w:val="1"/>
      <w:numFmt w:val="bullet"/>
      <w:lvlText w:val=""/>
      <w:lvlJc w:val="left"/>
      <w:pPr>
        <w:ind w:left="714" w:hanging="357"/>
      </w:pPr>
      <w:rPr>
        <w:rFonts w:ascii="Wingdings" w:hAnsi="Wingdings" w:hint="default"/>
        <w:sz w:val="14"/>
      </w:rPr>
    </w:lvl>
    <w:lvl w:ilvl="2">
      <w:start w:val="1"/>
      <w:numFmt w:val="bullet"/>
      <w:lvlText w:val=""/>
      <w:lvlJc w:val="left"/>
      <w:pPr>
        <w:ind w:left="1071" w:hanging="357"/>
      </w:pPr>
      <w:rPr>
        <w:rFonts w:ascii="Wingdings" w:hAnsi="Wingdings" w:hint="default"/>
        <w:sz w:val="10"/>
      </w:rPr>
    </w:lvl>
    <w:lvl w:ilvl="3">
      <w:start w:val="1"/>
      <w:numFmt w:val="bullet"/>
      <w:lvlText w:val=""/>
      <w:lvlJc w:val="left"/>
      <w:pPr>
        <w:ind w:left="1428" w:hanging="357"/>
      </w:pPr>
      <w:rPr>
        <w:rFonts w:ascii="Wingdings" w:hAnsi="Wingdings" w:hint="default"/>
        <w:sz w:val="10"/>
      </w:rPr>
    </w:lvl>
    <w:lvl w:ilvl="4">
      <w:start w:val="1"/>
      <w:numFmt w:val="bullet"/>
      <w:lvlText w:val=""/>
      <w:lvlJc w:val="left"/>
      <w:pPr>
        <w:ind w:left="1785" w:hanging="357"/>
      </w:pPr>
      <w:rPr>
        <w:rFonts w:ascii="Wingdings" w:hAnsi="Wingdings" w:hint="default"/>
        <w:sz w:val="10"/>
      </w:rPr>
    </w:lvl>
    <w:lvl w:ilvl="5">
      <w:start w:val="1"/>
      <w:numFmt w:val="bullet"/>
      <w:lvlText w:val=""/>
      <w:lvlJc w:val="left"/>
      <w:pPr>
        <w:ind w:left="2142" w:hanging="357"/>
      </w:pPr>
      <w:rPr>
        <w:rFonts w:ascii="Wingdings" w:hAnsi="Wingdings" w:hint="default"/>
        <w:sz w:val="10"/>
      </w:rPr>
    </w:lvl>
    <w:lvl w:ilvl="6">
      <w:start w:val="1"/>
      <w:numFmt w:val="bullet"/>
      <w:lvlText w:val=""/>
      <w:lvlJc w:val="left"/>
      <w:pPr>
        <w:ind w:left="2499" w:hanging="357"/>
      </w:pPr>
      <w:rPr>
        <w:rFonts w:ascii="Wingdings" w:hAnsi="Wingdings" w:hint="default"/>
        <w:sz w:val="10"/>
      </w:rPr>
    </w:lvl>
    <w:lvl w:ilvl="7">
      <w:start w:val="1"/>
      <w:numFmt w:val="bullet"/>
      <w:lvlText w:val=""/>
      <w:lvlJc w:val="left"/>
      <w:pPr>
        <w:ind w:left="2856" w:hanging="357"/>
      </w:pPr>
      <w:rPr>
        <w:rFonts w:ascii="Wingdings" w:hAnsi="Wingdings" w:hint="default"/>
        <w:sz w:val="10"/>
      </w:rPr>
    </w:lvl>
    <w:lvl w:ilvl="8">
      <w:start w:val="1"/>
      <w:numFmt w:val="bullet"/>
      <w:lvlText w:val=""/>
      <w:lvlJc w:val="left"/>
      <w:pPr>
        <w:ind w:left="3213" w:hanging="357"/>
      </w:pPr>
      <w:rPr>
        <w:rFonts w:ascii="Wingdings" w:hAnsi="Wingdings" w:hint="default"/>
        <w:color w:val="000000" w:themeColor="text1"/>
        <w:sz w:val="10"/>
      </w:rPr>
    </w:lvl>
  </w:abstractNum>
  <w:abstractNum w:abstractNumId="66" w15:restartNumberingAfterBreak="0">
    <w:nsid w:val="5B395AAA"/>
    <w:multiLevelType w:val="singleLevel"/>
    <w:tmpl w:val="96D02E8A"/>
    <w:name w:val="Bullet 1"/>
    <w:lvl w:ilvl="0">
      <w:start w:val="1"/>
      <w:numFmt w:val="bullet"/>
      <w:lvlText w:val=""/>
      <w:lvlJc w:val="left"/>
      <w:pPr>
        <w:tabs>
          <w:tab w:val="num" w:pos="1417"/>
        </w:tabs>
        <w:ind w:left="1417" w:hanging="567"/>
      </w:pPr>
      <w:rPr>
        <w:rFonts w:ascii="Symbol" w:hAnsi="Symbol" w:hint="default"/>
      </w:rPr>
    </w:lvl>
  </w:abstractNum>
  <w:abstractNum w:abstractNumId="67" w15:restartNumberingAfterBreak="0">
    <w:nsid w:val="5C056EE5"/>
    <w:multiLevelType w:val="singleLevel"/>
    <w:tmpl w:val="3378D27C"/>
    <w:name w:val="Bullet 2"/>
    <w:lvl w:ilvl="0">
      <w:start w:val="1"/>
      <w:numFmt w:val="bullet"/>
      <w:lvlText w:val=""/>
      <w:lvlJc w:val="left"/>
      <w:pPr>
        <w:tabs>
          <w:tab w:val="num" w:pos="1984"/>
        </w:tabs>
        <w:ind w:left="1984" w:hanging="567"/>
      </w:pPr>
      <w:rPr>
        <w:rFonts w:ascii="Symbol" w:hAnsi="Symbol" w:hint="default"/>
      </w:rPr>
    </w:lvl>
  </w:abstractNum>
  <w:abstractNum w:abstractNumId="68" w15:restartNumberingAfterBreak="0">
    <w:nsid w:val="5C7006B0"/>
    <w:multiLevelType w:val="hybridMultilevel"/>
    <w:tmpl w:val="F91672DA"/>
    <w:lvl w:ilvl="0" w:tplc="A55418F8">
      <w:start w:val="1"/>
      <w:numFmt w:val="bullet"/>
      <w:pStyle w:val="Odraky1"/>
      <w:lvlText w:val=""/>
      <w:lvlJc w:val="left"/>
      <w:pPr>
        <w:ind w:left="720" w:hanging="360"/>
      </w:pPr>
      <w:rPr>
        <w:rFonts w:ascii="Symbol" w:hAnsi="Symbol" w:hint="default"/>
      </w:rPr>
    </w:lvl>
    <w:lvl w:ilvl="1" w:tplc="3DAA2240" w:tentative="1">
      <w:start w:val="1"/>
      <w:numFmt w:val="bullet"/>
      <w:lvlText w:val="o"/>
      <w:lvlJc w:val="left"/>
      <w:pPr>
        <w:ind w:left="1440" w:hanging="360"/>
      </w:pPr>
      <w:rPr>
        <w:rFonts w:ascii="Courier New" w:hAnsi="Courier New" w:cs="Courier New" w:hint="default"/>
      </w:rPr>
    </w:lvl>
    <w:lvl w:ilvl="2" w:tplc="71402344" w:tentative="1">
      <w:start w:val="1"/>
      <w:numFmt w:val="bullet"/>
      <w:lvlText w:val=""/>
      <w:lvlJc w:val="left"/>
      <w:pPr>
        <w:ind w:left="2160" w:hanging="360"/>
      </w:pPr>
      <w:rPr>
        <w:rFonts w:ascii="Wingdings" w:hAnsi="Wingdings" w:hint="default"/>
      </w:rPr>
    </w:lvl>
    <w:lvl w:ilvl="3" w:tplc="3D18404A" w:tentative="1">
      <w:start w:val="1"/>
      <w:numFmt w:val="bullet"/>
      <w:lvlText w:val=""/>
      <w:lvlJc w:val="left"/>
      <w:pPr>
        <w:ind w:left="2880" w:hanging="360"/>
      </w:pPr>
      <w:rPr>
        <w:rFonts w:ascii="Symbol" w:hAnsi="Symbol" w:hint="default"/>
      </w:rPr>
    </w:lvl>
    <w:lvl w:ilvl="4" w:tplc="C63C9462" w:tentative="1">
      <w:start w:val="1"/>
      <w:numFmt w:val="bullet"/>
      <w:lvlText w:val="o"/>
      <w:lvlJc w:val="left"/>
      <w:pPr>
        <w:ind w:left="3600" w:hanging="360"/>
      </w:pPr>
      <w:rPr>
        <w:rFonts w:ascii="Courier New" w:hAnsi="Courier New" w:cs="Courier New" w:hint="default"/>
      </w:rPr>
    </w:lvl>
    <w:lvl w:ilvl="5" w:tplc="FBB0277A" w:tentative="1">
      <w:start w:val="1"/>
      <w:numFmt w:val="bullet"/>
      <w:lvlText w:val=""/>
      <w:lvlJc w:val="left"/>
      <w:pPr>
        <w:ind w:left="4320" w:hanging="360"/>
      </w:pPr>
      <w:rPr>
        <w:rFonts w:ascii="Wingdings" w:hAnsi="Wingdings" w:hint="default"/>
      </w:rPr>
    </w:lvl>
    <w:lvl w:ilvl="6" w:tplc="DD7A0C8E" w:tentative="1">
      <w:start w:val="1"/>
      <w:numFmt w:val="bullet"/>
      <w:lvlText w:val=""/>
      <w:lvlJc w:val="left"/>
      <w:pPr>
        <w:ind w:left="5040" w:hanging="360"/>
      </w:pPr>
      <w:rPr>
        <w:rFonts w:ascii="Symbol" w:hAnsi="Symbol" w:hint="default"/>
      </w:rPr>
    </w:lvl>
    <w:lvl w:ilvl="7" w:tplc="ECEEE732" w:tentative="1">
      <w:start w:val="1"/>
      <w:numFmt w:val="bullet"/>
      <w:lvlText w:val="o"/>
      <w:lvlJc w:val="left"/>
      <w:pPr>
        <w:ind w:left="5760" w:hanging="360"/>
      </w:pPr>
      <w:rPr>
        <w:rFonts w:ascii="Courier New" w:hAnsi="Courier New" w:cs="Courier New" w:hint="default"/>
      </w:rPr>
    </w:lvl>
    <w:lvl w:ilvl="8" w:tplc="29ECAD76" w:tentative="1">
      <w:start w:val="1"/>
      <w:numFmt w:val="bullet"/>
      <w:lvlText w:val=""/>
      <w:lvlJc w:val="left"/>
      <w:pPr>
        <w:ind w:left="6480" w:hanging="360"/>
      </w:pPr>
      <w:rPr>
        <w:rFonts w:ascii="Wingdings" w:hAnsi="Wingdings" w:hint="default"/>
      </w:rPr>
    </w:lvl>
  </w:abstractNum>
  <w:abstractNum w:abstractNumId="69" w15:restartNumberingAfterBreak="0">
    <w:nsid w:val="5CA31A15"/>
    <w:multiLevelType w:val="singleLevel"/>
    <w:tmpl w:val="CB981644"/>
    <w:name w:val="Tiret 0"/>
    <w:lvl w:ilvl="0">
      <w:start w:val="1"/>
      <w:numFmt w:val="bullet"/>
      <w:pStyle w:val="Tiret0"/>
      <w:lvlText w:val="–"/>
      <w:lvlJc w:val="left"/>
      <w:pPr>
        <w:tabs>
          <w:tab w:val="num" w:pos="850"/>
        </w:tabs>
        <w:ind w:left="850" w:hanging="850"/>
      </w:pPr>
    </w:lvl>
  </w:abstractNum>
  <w:abstractNum w:abstractNumId="70" w15:restartNumberingAfterBreak="0">
    <w:nsid w:val="5E3C7049"/>
    <w:multiLevelType w:val="hybridMultilevel"/>
    <w:tmpl w:val="FDBA8964"/>
    <w:lvl w:ilvl="0" w:tplc="455E91E2">
      <w:start w:val="1"/>
      <w:numFmt w:val="bullet"/>
      <w:lvlText w:val=""/>
      <w:lvlJc w:val="left"/>
      <w:pPr>
        <w:ind w:left="718" w:hanging="360"/>
      </w:pPr>
      <w:rPr>
        <w:rFonts w:ascii="Symbol" w:hAnsi="Symbol" w:hint="default"/>
      </w:rPr>
    </w:lvl>
    <w:lvl w:ilvl="1" w:tplc="04208ECE">
      <w:start w:val="1"/>
      <w:numFmt w:val="bullet"/>
      <w:lvlText w:val="o"/>
      <w:lvlJc w:val="left"/>
      <w:pPr>
        <w:ind w:left="1438" w:hanging="360"/>
      </w:pPr>
      <w:rPr>
        <w:rFonts w:ascii="Courier New" w:hAnsi="Courier New" w:cs="Courier New" w:hint="default"/>
      </w:rPr>
    </w:lvl>
    <w:lvl w:ilvl="2" w:tplc="FB50CA7A" w:tentative="1">
      <w:start w:val="1"/>
      <w:numFmt w:val="bullet"/>
      <w:lvlText w:val=""/>
      <w:lvlJc w:val="left"/>
      <w:pPr>
        <w:ind w:left="2158" w:hanging="360"/>
      </w:pPr>
      <w:rPr>
        <w:rFonts w:ascii="Wingdings" w:hAnsi="Wingdings" w:hint="default"/>
      </w:rPr>
    </w:lvl>
    <w:lvl w:ilvl="3" w:tplc="28A247FE" w:tentative="1">
      <w:start w:val="1"/>
      <w:numFmt w:val="bullet"/>
      <w:lvlText w:val=""/>
      <w:lvlJc w:val="left"/>
      <w:pPr>
        <w:ind w:left="2878" w:hanging="360"/>
      </w:pPr>
      <w:rPr>
        <w:rFonts w:ascii="Symbol" w:hAnsi="Symbol" w:hint="default"/>
      </w:rPr>
    </w:lvl>
    <w:lvl w:ilvl="4" w:tplc="6FBCF68C" w:tentative="1">
      <w:start w:val="1"/>
      <w:numFmt w:val="bullet"/>
      <w:lvlText w:val="o"/>
      <w:lvlJc w:val="left"/>
      <w:pPr>
        <w:ind w:left="3598" w:hanging="360"/>
      </w:pPr>
      <w:rPr>
        <w:rFonts w:ascii="Courier New" w:hAnsi="Courier New" w:cs="Courier New" w:hint="default"/>
      </w:rPr>
    </w:lvl>
    <w:lvl w:ilvl="5" w:tplc="1B084C1A" w:tentative="1">
      <w:start w:val="1"/>
      <w:numFmt w:val="bullet"/>
      <w:lvlText w:val=""/>
      <w:lvlJc w:val="left"/>
      <w:pPr>
        <w:ind w:left="4318" w:hanging="360"/>
      </w:pPr>
      <w:rPr>
        <w:rFonts w:ascii="Wingdings" w:hAnsi="Wingdings" w:hint="default"/>
      </w:rPr>
    </w:lvl>
    <w:lvl w:ilvl="6" w:tplc="F43AFD4E" w:tentative="1">
      <w:start w:val="1"/>
      <w:numFmt w:val="bullet"/>
      <w:lvlText w:val=""/>
      <w:lvlJc w:val="left"/>
      <w:pPr>
        <w:ind w:left="5038" w:hanging="360"/>
      </w:pPr>
      <w:rPr>
        <w:rFonts w:ascii="Symbol" w:hAnsi="Symbol" w:hint="default"/>
      </w:rPr>
    </w:lvl>
    <w:lvl w:ilvl="7" w:tplc="3822C862" w:tentative="1">
      <w:start w:val="1"/>
      <w:numFmt w:val="bullet"/>
      <w:lvlText w:val="o"/>
      <w:lvlJc w:val="left"/>
      <w:pPr>
        <w:ind w:left="5758" w:hanging="360"/>
      </w:pPr>
      <w:rPr>
        <w:rFonts w:ascii="Courier New" w:hAnsi="Courier New" w:cs="Courier New" w:hint="default"/>
      </w:rPr>
    </w:lvl>
    <w:lvl w:ilvl="8" w:tplc="0396D7F4" w:tentative="1">
      <w:start w:val="1"/>
      <w:numFmt w:val="bullet"/>
      <w:lvlText w:val=""/>
      <w:lvlJc w:val="left"/>
      <w:pPr>
        <w:ind w:left="6478" w:hanging="360"/>
      </w:pPr>
      <w:rPr>
        <w:rFonts w:ascii="Wingdings" w:hAnsi="Wingdings" w:hint="default"/>
      </w:rPr>
    </w:lvl>
  </w:abstractNum>
  <w:abstractNum w:abstractNumId="71" w15:restartNumberingAfterBreak="0">
    <w:nsid w:val="5E42504C"/>
    <w:multiLevelType w:val="hybridMultilevel"/>
    <w:tmpl w:val="38882C26"/>
    <w:lvl w:ilvl="0" w:tplc="5D6A380C">
      <w:start w:val="1"/>
      <w:numFmt w:val="bullet"/>
      <w:lvlText w:val=""/>
      <w:lvlJc w:val="left"/>
      <w:pPr>
        <w:ind w:left="720" w:hanging="360"/>
      </w:pPr>
      <w:rPr>
        <w:rFonts w:ascii="Symbol" w:hAnsi="Symbol" w:hint="default"/>
      </w:rPr>
    </w:lvl>
    <w:lvl w:ilvl="1" w:tplc="A8F8D63E">
      <w:start w:val="1"/>
      <w:numFmt w:val="bullet"/>
      <w:lvlText w:val="o"/>
      <w:lvlJc w:val="left"/>
      <w:pPr>
        <w:ind w:left="1440" w:hanging="360"/>
      </w:pPr>
      <w:rPr>
        <w:rFonts w:ascii="Courier New" w:hAnsi="Courier New" w:cs="Courier New" w:hint="default"/>
      </w:rPr>
    </w:lvl>
    <w:lvl w:ilvl="2" w:tplc="9D647D7A" w:tentative="1">
      <w:start w:val="1"/>
      <w:numFmt w:val="bullet"/>
      <w:lvlText w:val=""/>
      <w:lvlJc w:val="left"/>
      <w:pPr>
        <w:ind w:left="2160" w:hanging="360"/>
      </w:pPr>
      <w:rPr>
        <w:rFonts w:ascii="Wingdings" w:hAnsi="Wingdings" w:hint="default"/>
      </w:rPr>
    </w:lvl>
    <w:lvl w:ilvl="3" w:tplc="41DCF272" w:tentative="1">
      <w:start w:val="1"/>
      <w:numFmt w:val="bullet"/>
      <w:lvlText w:val=""/>
      <w:lvlJc w:val="left"/>
      <w:pPr>
        <w:ind w:left="2880" w:hanging="360"/>
      </w:pPr>
      <w:rPr>
        <w:rFonts w:ascii="Symbol" w:hAnsi="Symbol" w:hint="default"/>
      </w:rPr>
    </w:lvl>
    <w:lvl w:ilvl="4" w:tplc="BA2A86EC" w:tentative="1">
      <w:start w:val="1"/>
      <w:numFmt w:val="bullet"/>
      <w:lvlText w:val="o"/>
      <w:lvlJc w:val="left"/>
      <w:pPr>
        <w:ind w:left="3600" w:hanging="360"/>
      </w:pPr>
      <w:rPr>
        <w:rFonts w:ascii="Courier New" w:hAnsi="Courier New" w:cs="Courier New" w:hint="default"/>
      </w:rPr>
    </w:lvl>
    <w:lvl w:ilvl="5" w:tplc="9EF00DB4" w:tentative="1">
      <w:start w:val="1"/>
      <w:numFmt w:val="bullet"/>
      <w:lvlText w:val=""/>
      <w:lvlJc w:val="left"/>
      <w:pPr>
        <w:ind w:left="4320" w:hanging="360"/>
      </w:pPr>
      <w:rPr>
        <w:rFonts w:ascii="Wingdings" w:hAnsi="Wingdings" w:hint="default"/>
      </w:rPr>
    </w:lvl>
    <w:lvl w:ilvl="6" w:tplc="25B4BC82" w:tentative="1">
      <w:start w:val="1"/>
      <w:numFmt w:val="bullet"/>
      <w:lvlText w:val=""/>
      <w:lvlJc w:val="left"/>
      <w:pPr>
        <w:ind w:left="5040" w:hanging="360"/>
      </w:pPr>
      <w:rPr>
        <w:rFonts w:ascii="Symbol" w:hAnsi="Symbol" w:hint="default"/>
      </w:rPr>
    </w:lvl>
    <w:lvl w:ilvl="7" w:tplc="582E44AA" w:tentative="1">
      <w:start w:val="1"/>
      <w:numFmt w:val="bullet"/>
      <w:lvlText w:val="o"/>
      <w:lvlJc w:val="left"/>
      <w:pPr>
        <w:ind w:left="5760" w:hanging="360"/>
      </w:pPr>
      <w:rPr>
        <w:rFonts w:ascii="Courier New" w:hAnsi="Courier New" w:cs="Courier New" w:hint="default"/>
      </w:rPr>
    </w:lvl>
    <w:lvl w:ilvl="8" w:tplc="B1DCF08C" w:tentative="1">
      <w:start w:val="1"/>
      <w:numFmt w:val="bullet"/>
      <w:lvlText w:val=""/>
      <w:lvlJc w:val="left"/>
      <w:pPr>
        <w:ind w:left="6480" w:hanging="360"/>
      </w:pPr>
      <w:rPr>
        <w:rFonts w:ascii="Wingdings" w:hAnsi="Wingdings" w:hint="default"/>
      </w:rPr>
    </w:lvl>
  </w:abstractNum>
  <w:abstractNum w:abstractNumId="72" w15:restartNumberingAfterBreak="0">
    <w:nsid w:val="62017A81"/>
    <w:multiLevelType w:val="hybridMultilevel"/>
    <w:tmpl w:val="ACCCB2EC"/>
    <w:lvl w:ilvl="0" w:tplc="303E2260">
      <w:start w:val="1"/>
      <w:numFmt w:val="upperLetter"/>
      <w:pStyle w:val="Nadpis4"/>
      <w:lvlText w:val="%1."/>
      <w:lvlJc w:val="left"/>
      <w:pPr>
        <w:ind w:left="1440" w:hanging="360"/>
      </w:pPr>
    </w:lvl>
    <w:lvl w:ilvl="1" w:tplc="1A2C80C0">
      <w:start w:val="1"/>
      <w:numFmt w:val="decimal"/>
      <w:lvlText w:val="%2."/>
      <w:lvlJc w:val="left"/>
      <w:pPr>
        <w:ind w:left="2160" w:hanging="360"/>
      </w:pPr>
      <w:rPr>
        <w:rFonts w:hint="default"/>
      </w:rPr>
    </w:lvl>
    <w:lvl w:ilvl="2" w:tplc="B2AC0B92" w:tentative="1">
      <w:start w:val="1"/>
      <w:numFmt w:val="lowerRoman"/>
      <w:lvlText w:val="%3."/>
      <w:lvlJc w:val="right"/>
      <w:pPr>
        <w:ind w:left="2880" w:hanging="180"/>
      </w:pPr>
    </w:lvl>
    <w:lvl w:ilvl="3" w:tplc="488A59FE" w:tentative="1">
      <w:start w:val="1"/>
      <w:numFmt w:val="decimal"/>
      <w:lvlText w:val="%4."/>
      <w:lvlJc w:val="left"/>
      <w:pPr>
        <w:ind w:left="3600" w:hanging="360"/>
      </w:pPr>
    </w:lvl>
    <w:lvl w:ilvl="4" w:tplc="DC069472" w:tentative="1">
      <w:start w:val="1"/>
      <w:numFmt w:val="lowerLetter"/>
      <w:lvlText w:val="%5."/>
      <w:lvlJc w:val="left"/>
      <w:pPr>
        <w:ind w:left="4320" w:hanging="360"/>
      </w:pPr>
    </w:lvl>
    <w:lvl w:ilvl="5" w:tplc="5A32BABC" w:tentative="1">
      <w:start w:val="1"/>
      <w:numFmt w:val="lowerRoman"/>
      <w:lvlText w:val="%6."/>
      <w:lvlJc w:val="right"/>
      <w:pPr>
        <w:ind w:left="5040" w:hanging="180"/>
      </w:pPr>
    </w:lvl>
    <w:lvl w:ilvl="6" w:tplc="74C63706" w:tentative="1">
      <w:start w:val="1"/>
      <w:numFmt w:val="decimal"/>
      <w:lvlText w:val="%7."/>
      <w:lvlJc w:val="left"/>
      <w:pPr>
        <w:ind w:left="5760" w:hanging="360"/>
      </w:pPr>
    </w:lvl>
    <w:lvl w:ilvl="7" w:tplc="3A3EA4A0" w:tentative="1">
      <w:start w:val="1"/>
      <w:numFmt w:val="lowerLetter"/>
      <w:lvlText w:val="%8."/>
      <w:lvlJc w:val="left"/>
      <w:pPr>
        <w:ind w:left="6480" w:hanging="360"/>
      </w:pPr>
    </w:lvl>
    <w:lvl w:ilvl="8" w:tplc="412E0348" w:tentative="1">
      <w:start w:val="1"/>
      <w:numFmt w:val="lowerRoman"/>
      <w:lvlText w:val="%9."/>
      <w:lvlJc w:val="right"/>
      <w:pPr>
        <w:ind w:left="7200" w:hanging="180"/>
      </w:pPr>
    </w:lvl>
  </w:abstractNum>
  <w:abstractNum w:abstractNumId="73" w15:restartNumberingAfterBreak="0">
    <w:nsid w:val="62C850AC"/>
    <w:multiLevelType w:val="hybridMultilevel"/>
    <w:tmpl w:val="A1D61B1E"/>
    <w:lvl w:ilvl="0" w:tplc="CA64E80E">
      <w:start w:val="1"/>
      <w:numFmt w:val="bullet"/>
      <w:pStyle w:val="OdrazkaIstav"/>
      <w:lvlText w:val=""/>
      <w:lvlJc w:val="left"/>
      <w:pPr>
        <w:tabs>
          <w:tab w:val="num" w:pos="388"/>
        </w:tabs>
        <w:ind w:left="388" w:hanging="360"/>
      </w:pPr>
      <w:rPr>
        <w:rFonts w:ascii="Wingdings" w:hAnsi="Wingdings" w:cs="Wingdings" w:hint="default"/>
        <w:color w:val="auto"/>
        <w:sz w:val="20"/>
        <w:szCs w:val="20"/>
      </w:rPr>
    </w:lvl>
    <w:lvl w:ilvl="1" w:tplc="EC0AFEB2">
      <w:start w:val="6"/>
      <w:numFmt w:val="bullet"/>
      <w:lvlText w:val="-"/>
      <w:lvlJc w:val="left"/>
      <w:pPr>
        <w:tabs>
          <w:tab w:val="num" w:pos="1108"/>
        </w:tabs>
        <w:ind w:left="1108" w:hanging="360"/>
      </w:pPr>
      <w:rPr>
        <w:rFonts w:ascii="Arial" w:eastAsia="Times New Roman" w:hAnsi="Arial" w:cs="Times New Roman" w:hint="default"/>
      </w:rPr>
    </w:lvl>
    <w:lvl w:ilvl="2" w:tplc="77F45DAA">
      <w:start w:val="1"/>
      <w:numFmt w:val="bullet"/>
      <w:lvlText w:val=""/>
      <w:lvlJc w:val="left"/>
      <w:pPr>
        <w:tabs>
          <w:tab w:val="num" w:pos="1828"/>
        </w:tabs>
        <w:ind w:left="1828" w:hanging="360"/>
      </w:pPr>
      <w:rPr>
        <w:rFonts w:ascii="Wingdings" w:hAnsi="Wingdings" w:cs="Wingdings" w:hint="default"/>
      </w:rPr>
    </w:lvl>
    <w:lvl w:ilvl="3" w:tplc="BA946E94">
      <w:start w:val="1"/>
      <w:numFmt w:val="bullet"/>
      <w:lvlText w:val=""/>
      <w:lvlJc w:val="left"/>
      <w:pPr>
        <w:tabs>
          <w:tab w:val="num" w:pos="2548"/>
        </w:tabs>
        <w:ind w:left="2548" w:hanging="360"/>
      </w:pPr>
      <w:rPr>
        <w:rFonts w:ascii="Symbol" w:hAnsi="Symbol" w:cs="Symbol" w:hint="default"/>
      </w:rPr>
    </w:lvl>
    <w:lvl w:ilvl="4" w:tplc="A2BA326E">
      <w:start w:val="1"/>
      <w:numFmt w:val="bullet"/>
      <w:lvlText w:val="o"/>
      <w:lvlJc w:val="left"/>
      <w:pPr>
        <w:tabs>
          <w:tab w:val="num" w:pos="3268"/>
        </w:tabs>
        <w:ind w:left="3268" w:hanging="360"/>
      </w:pPr>
      <w:rPr>
        <w:rFonts w:ascii="Courier New" w:hAnsi="Courier New" w:cs="Courier New" w:hint="default"/>
      </w:rPr>
    </w:lvl>
    <w:lvl w:ilvl="5" w:tplc="F732D88C">
      <w:start w:val="1"/>
      <w:numFmt w:val="bullet"/>
      <w:lvlText w:val=""/>
      <w:lvlJc w:val="left"/>
      <w:pPr>
        <w:tabs>
          <w:tab w:val="num" w:pos="3988"/>
        </w:tabs>
        <w:ind w:left="3988" w:hanging="360"/>
      </w:pPr>
      <w:rPr>
        <w:rFonts w:ascii="Wingdings" w:hAnsi="Wingdings" w:cs="Wingdings" w:hint="default"/>
      </w:rPr>
    </w:lvl>
    <w:lvl w:ilvl="6" w:tplc="1B18B382">
      <w:start w:val="1"/>
      <w:numFmt w:val="bullet"/>
      <w:lvlText w:val=""/>
      <w:lvlJc w:val="left"/>
      <w:pPr>
        <w:tabs>
          <w:tab w:val="num" w:pos="4708"/>
        </w:tabs>
        <w:ind w:left="4708" w:hanging="360"/>
      </w:pPr>
      <w:rPr>
        <w:rFonts w:ascii="Symbol" w:hAnsi="Symbol" w:cs="Symbol" w:hint="default"/>
      </w:rPr>
    </w:lvl>
    <w:lvl w:ilvl="7" w:tplc="1CCC2CF6">
      <w:start w:val="1"/>
      <w:numFmt w:val="bullet"/>
      <w:lvlText w:val="o"/>
      <w:lvlJc w:val="left"/>
      <w:pPr>
        <w:tabs>
          <w:tab w:val="num" w:pos="5428"/>
        </w:tabs>
        <w:ind w:left="5428" w:hanging="360"/>
      </w:pPr>
      <w:rPr>
        <w:rFonts w:ascii="Courier New" w:hAnsi="Courier New" w:cs="Courier New" w:hint="default"/>
      </w:rPr>
    </w:lvl>
    <w:lvl w:ilvl="8" w:tplc="2F08B74A">
      <w:start w:val="1"/>
      <w:numFmt w:val="bullet"/>
      <w:lvlText w:val=""/>
      <w:lvlJc w:val="left"/>
      <w:pPr>
        <w:tabs>
          <w:tab w:val="num" w:pos="6148"/>
        </w:tabs>
        <w:ind w:left="6148" w:hanging="360"/>
      </w:pPr>
      <w:rPr>
        <w:rFonts w:ascii="Wingdings" w:hAnsi="Wingdings" w:cs="Wingdings" w:hint="default"/>
      </w:rPr>
    </w:lvl>
  </w:abstractNum>
  <w:abstractNum w:abstractNumId="74" w15:restartNumberingAfterBreak="0">
    <w:nsid w:val="6383647D"/>
    <w:multiLevelType w:val="hybridMultilevel"/>
    <w:tmpl w:val="D9EE2C6A"/>
    <w:lvl w:ilvl="0" w:tplc="9A12342A">
      <w:start w:val="1"/>
      <w:numFmt w:val="bullet"/>
      <w:lvlText w:val=""/>
      <w:lvlJc w:val="left"/>
      <w:pPr>
        <w:ind w:left="716" w:hanging="360"/>
      </w:pPr>
      <w:rPr>
        <w:rFonts w:ascii="Symbol" w:hAnsi="Symbol" w:hint="default"/>
      </w:rPr>
    </w:lvl>
    <w:lvl w:ilvl="1" w:tplc="BDAE4E0A" w:tentative="1">
      <w:start w:val="1"/>
      <w:numFmt w:val="bullet"/>
      <w:lvlText w:val="o"/>
      <w:lvlJc w:val="left"/>
      <w:pPr>
        <w:ind w:left="1436" w:hanging="360"/>
      </w:pPr>
      <w:rPr>
        <w:rFonts w:ascii="Courier New" w:hAnsi="Courier New" w:cs="Courier New" w:hint="default"/>
      </w:rPr>
    </w:lvl>
    <w:lvl w:ilvl="2" w:tplc="35BA6A66" w:tentative="1">
      <w:start w:val="1"/>
      <w:numFmt w:val="bullet"/>
      <w:lvlText w:val=""/>
      <w:lvlJc w:val="left"/>
      <w:pPr>
        <w:ind w:left="2156" w:hanging="360"/>
      </w:pPr>
      <w:rPr>
        <w:rFonts w:ascii="Wingdings" w:hAnsi="Wingdings" w:hint="default"/>
      </w:rPr>
    </w:lvl>
    <w:lvl w:ilvl="3" w:tplc="532E8548" w:tentative="1">
      <w:start w:val="1"/>
      <w:numFmt w:val="bullet"/>
      <w:lvlText w:val=""/>
      <w:lvlJc w:val="left"/>
      <w:pPr>
        <w:ind w:left="2876" w:hanging="360"/>
      </w:pPr>
      <w:rPr>
        <w:rFonts w:ascii="Symbol" w:hAnsi="Symbol" w:hint="default"/>
      </w:rPr>
    </w:lvl>
    <w:lvl w:ilvl="4" w:tplc="8A6E047C" w:tentative="1">
      <w:start w:val="1"/>
      <w:numFmt w:val="bullet"/>
      <w:lvlText w:val="o"/>
      <w:lvlJc w:val="left"/>
      <w:pPr>
        <w:ind w:left="3596" w:hanging="360"/>
      </w:pPr>
      <w:rPr>
        <w:rFonts w:ascii="Courier New" w:hAnsi="Courier New" w:cs="Courier New" w:hint="default"/>
      </w:rPr>
    </w:lvl>
    <w:lvl w:ilvl="5" w:tplc="574C8924" w:tentative="1">
      <w:start w:val="1"/>
      <w:numFmt w:val="bullet"/>
      <w:lvlText w:val=""/>
      <w:lvlJc w:val="left"/>
      <w:pPr>
        <w:ind w:left="4316" w:hanging="360"/>
      </w:pPr>
      <w:rPr>
        <w:rFonts w:ascii="Wingdings" w:hAnsi="Wingdings" w:hint="default"/>
      </w:rPr>
    </w:lvl>
    <w:lvl w:ilvl="6" w:tplc="AFBA2206" w:tentative="1">
      <w:start w:val="1"/>
      <w:numFmt w:val="bullet"/>
      <w:lvlText w:val=""/>
      <w:lvlJc w:val="left"/>
      <w:pPr>
        <w:ind w:left="5036" w:hanging="360"/>
      </w:pPr>
      <w:rPr>
        <w:rFonts w:ascii="Symbol" w:hAnsi="Symbol" w:hint="default"/>
      </w:rPr>
    </w:lvl>
    <w:lvl w:ilvl="7" w:tplc="A05EC4EA" w:tentative="1">
      <w:start w:val="1"/>
      <w:numFmt w:val="bullet"/>
      <w:lvlText w:val="o"/>
      <w:lvlJc w:val="left"/>
      <w:pPr>
        <w:ind w:left="5756" w:hanging="360"/>
      </w:pPr>
      <w:rPr>
        <w:rFonts w:ascii="Courier New" w:hAnsi="Courier New" w:cs="Courier New" w:hint="default"/>
      </w:rPr>
    </w:lvl>
    <w:lvl w:ilvl="8" w:tplc="D5BE79D8" w:tentative="1">
      <w:start w:val="1"/>
      <w:numFmt w:val="bullet"/>
      <w:lvlText w:val=""/>
      <w:lvlJc w:val="left"/>
      <w:pPr>
        <w:ind w:left="6476" w:hanging="360"/>
      </w:pPr>
      <w:rPr>
        <w:rFonts w:ascii="Wingdings" w:hAnsi="Wingdings" w:hint="default"/>
      </w:rPr>
    </w:lvl>
  </w:abstractNum>
  <w:abstractNum w:abstractNumId="75" w15:restartNumberingAfterBreak="0">
    <w:nsid w:val="654670A5"/>
    <w:multiLevelType w:val="hybridMultilevel"/>
    <w:tmpl w:val="7214E7A4"/>
    <w:lvl w:ilvl="0" w:tplc="F52C3D92">
      <w:start w:val="1"/>
      <w:numFmt w:val="bullet"/>
      <w:lvlText w:val=""/>
      <w:lvlJc w:val="left"/>
      <w:pPr>
        <w:ind w:left="720" w:hanging="360"/>
      </w:pPr>
      <w:rPr>
        <w:rFonts w:ascii="Symbol" w:hAnsi="Symbol" w:hint="default"/>
      </w:rPr>
    </w:lvl>
    <w:lvl w:ilvl="1" w:tplc="6A860706" w:tentative="1">
      <w:start w:val="1"/>
      <w:numFmt w:val="bullet"/>
      <w:lvlText w:val="o"/>
      <w:lvlJc w:val="left"/>
      <w:pPr>
        <w:ind w:left="1440" w:hanging="360"/>
      </w:pPr>
      <w:rPr>
        <w:rFonts w:ascii="Courier New" w:hAnsi="Courier New" w:cs="Courier New" w:hint="default"/>
      </w:rPr>
    </w:lvl>
    <w:lvl w:ilvl="2" w:tplc="E2F6A83A" w:tentative="1">
      <w:start w:val="1"/>
      <w:numFmt w:val="bullet"/>
      <w:lvlText w:val=""/>
      <w:lvlJc w:val="left"/>
      <w:pPr>
        <w:ind w:left="2160" w:hanging="360"/>
      </w:pPr>
      <w:rPr>
        <w:rFonts w:ascii="Wingdings" w:hAnsi="Wingdings" w:hint="default"/>
      </w:rPr>
    </w:lvl>
    <w:lvl w:ilvl="3" w:tplc="26A6F1DC" w:tentative="1">
      <w:start w:val="1"/>
      <w:numFmt w:val="bullet"/>
      <w:lvlText w:val=""/>
      <w:lvlJc w:val="left"/>
      <w:pPr>
        <w:ind w:left="2880" w:hanging="360"/>
      </w:pPr>
      <w:rPr>
        <w:rFonts w:ascii="Symbol" w:hAnsi="Symbol" w:hint="default"/>
      </w:rPr>
    </w:lvl>
    <w:lvl w:ilvl="4" w:tplc="2F6E0E58" w:tentative="1">
      <w:start w:val="1"/>
      <w:numFmt w:val="bullet"/>
      <w:lvlText w:val="o"/>
      <w:lvlJc w:val="left"/>
      <w:pPr>
        <w:ind w:left="3600" w:hanging="360"/>
      </w:pPr>
      <w:rPr>
        <w:rFonts w:ascii="Courier New" w:hAnsi="Courier New" w:cs="Courier New" w:hint="default"/>
      </w:rPr>
    </w:lvl>
    <w:lvl w:ilvl="5" w:tplc="BFEAF6DC" w:tentative="1">
      <w:start w:val="1"/>
      <w:numFmt w:val="bullet"/>
      <w:lvlText w:val=""/>
      <w:lvlJc w:val="left"/>
      <w:pPr>
        <w:ind w:left="4320" w:hanging="360"/>
      </w:pPr>
      <w:rPr>
        <w:rFonts w:ascii="Wingdings" w:hAnsi="Wingdings" w:hint="default"/>
      </w:rPr>
    </w:lvl>
    <w:lvl w:ilvl="6" w:tplc="0FD01F18" w:tentative="1">
      <w:start w:val="1"/>
      <w:numFmt w:val="bullet"/>
      <w:lvlText w:val=""/>
      <w:lvlJc w:val="left"/>
      <w:pPr>
        <w:ind w:left="5040" w:hanging="360"/>
      </w:pPr>
      <w:rPr>
        <w:rFonts w:ascii="Symbol" w:hAnsi="Symbol" w:hint="default"/>
      </w:rPr>
    </w:lvl>
    <w:lvl w:ilvl="7" w:tplc="24EE248E" w:tentative="1">
      <w:start w:val="1"/>
      <w:numFmt w:val="bullet"/>
      <w:lvlText w:val="o"/>
      <w:lvlJc w:val="left"/>
      <w:pPr>
        <w:ind w:left="5760" w:hanging="360"/>
      </w:pPr>
      <w:rPr>
        <w:rFonts w:ascii="Courier New" w:hAnsi="Courier New" w:cs="Courier New" w:hint="default"/>
      </w:rPr>
    </w:lvl>
    <w:lvl w:ilvl="8" w:tplc="AE5A300C" w:tentative="1">
      <w:start w:val="1"/>
      <w:numFmt w:val="bullet"/>
      <w:lvlText w:val=""/>
      <w:lvlJc w:val="left"/>
      <w:pPr>
        <w:ind w:left="6480" w:hanging="360"/>
      </w:pPr>
      <w:rPr>
        <w:rFonts w:ascii="Wingdings" w:hAnsi="Wingdings" w:hint="default"/>
      </w:rPr>
    </w:lvl>
  </w:abstractNum>
  <w:abstractNum w:abstractNumId="76" w15:restartNumberingAfterBreak="0">
    <w:nsid w:val="6578686E"/>
    <w:multiLevelType w:val="hybridMultilevel"/>
    <w:tmpl w:val="016AA782"/>
    <w:lvl w:ilvl="0" w:tplc="6BB6A9A0">
      <w:start w:val="1"/>
      <w:numFmt w:val="decimal"/>
      <w:pStyle w:val="slovanseznam"/>
      <w:lvlText w:val="%1."/>
      <w:lvlJc w:val="left"/>
      <w:pPr>
        <w:tabs>
          <w:tab w:val="num" w:pos="357"/>
        </w:tabs>
        <w:ind w:left="357" w:hanging="357"/>
      </w:pPr>
      <w:rPr>
        <w:rFonts w:hint="default"/>
      </w:rPr>
    </w:lvl>
    <w:lvl w:ilvl="1" w:tplc="CE621AAE" w:tentative="1">
      <w:start w:val="1"/>
      <w:numFmt w:val="lowerLetter"/>
      <w:lvlText w:val="%2."/>
      <w:lvlJc w:val="left"/>
      <w:pPr>
        <w:tabs>
          <w:tab w:val="num" w:pos="1440"/>
        </w:tabs>
        <w:ind w:left="1440" w:hanging="360"/>
      </w:pPr>
    </w:lvl>
    <w:lvl w:ilvl="2" w:tplc="F282F714" w:tentative="1">
      <w:start w:val="1"/>
      <w:numFmt w:val="lowerRoman"/>
      <w:lvlText w:val="%3."/>
      <w:lvlJc w:val="right"/>
      <w:pPr>
        <w:tabs>
          <w:tab w:val="num" w:pos="2160"/>
        </w:tabs>
        <w:ind w:left="2160" w:hanging="180"/>
      </w:pPr>
    </w:lvl>
    <w:lvl w:ilvl="3" w:tplc="77EACCE6" w:tentative="1">
      <w:start w:val="1"/>
      <w:numFmt w:val="decimal"/>
      <w:lvlText w:val="%4."/>
      <w:lvlJc w:val="left"/>
      <w:pPr>
        <w:tabs>
          <w:tab w:val="num" w:pos="2880"/>
        </w:tabs>
        <w:ind w:left="2880" w:hanging="360"/>
      </w:pPr>
    </w:lvl>
    <w:lvl w:ilvl="4" w:tplc="0F9E8370" w:tentative="1">
      <w:start w:val="1"/>
      <w:numFmt w:val="lowerLetter"/>
      <w:lvlText w:val="%5."/>
      <w:lvlJc w:val="left"/>
      <w:pPr>
        <w:tabs>
          <w:tab w:val="num" w:pos="3600"/>
        </w:tabs>
        <w:ind w:left="3600" w:hanging="360"/>
      </w:pPr>
    </w:lvl>
    <w:lvl w:ilvl="5" w:tplc="042C64F6" w:tentative="1">
      <w:start w:val="1"/>
      <w:numFmt w:val="lowerRoman"/>
      <w:lvlText w:val="%6."/>
      <w:lvlJc w:val="right"/>
      <w:pPr>
        <w:tabs>
          <w:tab w:val="num" w:pos="4320"/>
        </w:tabs>
        <w:ind w:left="4320" w:hanging="180"/>
      </w:pPr>
    </w:lvl>
    <w:lvl w:ilvl="6" w:tplc="BD0A9F8A" w:tentative="1">
      <w:start w:val="1"/>
      <w:numFmt w:val="decimal"/>
      <w:lvlText w:val="%7."/>
      <w:lvlJc w:val="left"/>
      <w:pPr>
        <w:tabs>
          <w:tab w:val="num" w:pos="5040"/>
        </w:tabs>
        <w:ind w:left="5040" w:hanging="360"/>
      </w:pPr>
    </w:lvl>
    <w:lvl w:ilvl="7" w:tplc="F7422620" w:tentative="1">
      <w:start w:val="1"/>
      <w:numFmt w:val="lowerLetter"/>
      <w:lvlText w:val="%8."/>
      <w:lvlJc w:val="left"/>
      <w:pPr>
        <w:tabs>
          <w:tab w:val="num" w:pos="5760"/>
        </w:tabs>
        <w:ind w:left="5760" w:hanging="360"/>
      </w:pPr>
    </w:lvl>
    <w:lvl w:ilvl="8" w:tplc="1646E562" w:tentative="1">
      <w:start w:val="1"/>
      <w:numFmt w:val="lowerRoman"/>
      <w:lvlText w:val="%9."/>
      <w:lvlJc w:val="right"/>
      <w:pPr>
        <w:tabs>
          <w:tab w:val="num" w:pos="6480"/>
        </w:tabs>
        <w:ind w:left="6480" w:hanging="180"/>
      </w:pPr>
    </w:lvl>
  </w:abstractNum>
  <w:abstractNum w:abstractNumId="77"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78"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79" w15:restartNumberingAfterBreak="0">
    <w:nsid w:val="66C67421"/>
    <w:multiLevelType w:val="hybridMultilevel"/>
    <w:tmpl w:val="D2F81C3E"/>
    <w:lvl w:ilvl="0" w:tplc="40E29EA0">
      <w:start w:val="1"/>
      <w:numFmt w:val="bullet"/>
      <w:lvlText w:val=""/>
      <w:lvlJc w:val="left"/>
      <w:pPr>
        <w:ind w:left="720" w:hanging="360"/>
      </w:pPr>
      <w:rPr>
        <w:rFonts w:ascii="Symbol" w:hAnsi="Symbol" w:hint="default"/>
      </w:rPr>
    </w:lvl>
    <w:lvl w:ilvl="1" w:tplc="CDE2E5C2">
      <w:start w:val="1"/>
      <w:numFmt w:val="bullet"/>
      <w:lvlText w:val="o"/>
      <w:lvlJc w:val="left"/>
      <w:pPr>
        <w:ind w:left="1440" w:hanging="360"/>
      </w:pPr>
      <w:rPr>
        <w:rFonts w:ascii="Courier New" w:hAnsi="Courier New" w:cs="Courier New" w:hint="default"/>
      </w:rPr>
    </w:lvl>
    <w:lvl w:ilvl="2" w:tplc="E37231B4" w:tentative="1">
      <w:start w:val="1"/>
      <w:numFmt w:val="bullet"/>
      <w:lvlText w:val=""/>
      <w:lvlJc w:val="left"/>
      <w:pPr>
        <w:ind w:left="2160" w:hanging="360"/>
      </w:pPr>
      <w:rPr>
        <w:rFonts w:ascii="Wingdings" w:hAnsi="Wingdings" w:hint="default"/>
      </w:rPr>
    </w:lvl>
    <w:lvl w:ilvl="3" w:tplc="2E4EF2E8" w:tentative="1">
      <w:start w:val="1"/>
      <w:numFmt w:val="bullet"/>
      <w:lvlText w:val=""/>
      <w:lvlJc w:val="left"/>
      <w:pPr>
        <w:ind w:left="2880" w:hanging="360"/>
      </w:pPr>
      <w:rPr>
        <w:rFonts w:ascii="Symbol" w:hAnsi="Symbol" w:hint="default"/>
      </w:rPr>
    </w:lvl>
    <w:lvl w:ilvl="4" w:tplc="4218E0E0" w:tentative="1">
      <w:start w:val="1"/>
      <w:numFmt w:val="bullet"/>
      <w:lvlText w:val="o"/>
      <w:lvlJc w:val="left"/>
      <w:pPr>
        <w:ind w:left="3600" w:hanging="360"/>
      </w:pPr>
      <w:rPr>
        <w:rFonts w:ascii="Courier New" w:hAnsi="Courier New" w:cs="Courier New" w:hint="default"/>
      </w:rPr>
    </w:lvl>
    <w:lvl w:ilvl="5" w:tplc="74D0E820" w:tentative="1">
      <w:start w:val="1"/>
      <w:numFmt w:val="bullet"/>
      <w:lvlText w:val=""/>
      <w:lvlJc w:val="left"/>
      <w:pPr>
        <w:ind w:left="4320" w:hanging="360"/>
      </w:pPr>
      <w:rPr>
        <w:rFonts w:ascii="Wingdings" w:hAnsi="Wingdings" w:hint="default"/>
      </w:rPr>
    </w:lvl>
    <w:lvl w:ilvl="6" w:tplc="A1944D9E" w:tentative="1">
      <w:start w:val="1"/>
      <w:numFmt w:val="bullet"/>
      <w:lvlText w:val=""/>
      <w:lvlJc w:val="left"/>
      <w:pPr>
        <w:ind w:left="5040" w:hanging="360"/>
      </w:pPr>
      <w:rPr>
        <w:rFonts w:ascii="Symbol" w:hAnsi="Symbol" w:hint="default"/>
      </w:rPr>
    </w:lvl>
    <w:lvl w:ilvl="7" w:tplc="00EA8F22" w:tentative="1">
      <w:start w:val="1"/>
      <w:numFmt w:val="bullet"/>
      <w:lvlText w:val="o"/>
      <w:lvlJc w:val="left"/>
      <w:pPr>
        <w:ind w:left="5760" w:hanging="360"/>
      </w:pPr>
      <w:rPr>
        <w:rFonts w:ascii="Courier New" w:hAnsi="Courier New" w:cs="Courier New" w:hint="default"/>
      </w:rPr>
    </w:lvl>
    <w:lvl w:ilvl="8" w:tplc="7B40D1A4" w:tentative="1">
      <w:start w:val="1"/>
      <w:numFmt w:val="bullet"/>
      <w:lvlText w:val=""/>
      <w:lvlJc w:val="left"/>
      <w:pPr>
        <w:ind w:left="6480" w:hanging="360"/>
      </w:pPr>
      <w:rPr>
        <w:rFonts w:ascii="Wingdings" w:hAnsi="Wingdings" w:hint="default"/>
      </w:rPr>
    </w:lvl>
  </w:abstractNum>
  <w:abstractNum w:abstractNumId="80" w15:restartNumberingAfterBreak="0">
    <w:nsid w:val="66DF4EDB"/>
    <w:multiLevelType w:val="multilevel"/>
    <w:tmpl w:val="167007B6"/>
    <w:lvl w:ilvl="0">
      <w:start w:val="1"/>
      <w:numFmt w:val="bullet"/>
      <w:pStyle w:val="list-bullet-color"/>
      <w:lvlText w:val=""/>
      <w:lvlJc w:val="left"/>
      <w:pPr>
        <w:ind w:left="284" w:hanging="284"/>
      </w:pPr>
      <w:rPr>
        <w:rFonts w:ascii="Symbol" w:hAnsi="Symbol" w:hint="default"/>
        <w:color w:val="006DB6"/>
      </w:rPr>
    </w:lvl>
    <w:lvl w:ilvl="1">
      <w:start w:val="1"/>
      <w:numFmt w:val="bullet"/>
      <w:lvlText w:val="-"/>
      <w:lvlJc w:val="left"/>
      <w:pPr>
        <w:ind w:left="568" w:hanging="284"/>
      </w:pPr>
      <w:rPr>
        <w:rFonts w:ascii="Arial" w:hAnsi="Arial" w:cs="Times New Roman" w:hint="default"/>
        <w:color w:val="006DB6"/>
      </w:rPr>
    </w:lvl>
    <w:lvl w:ilvl="2">
      <w:start w:val="1"/>
      <w:numFmt w:val="bullet"/>
      <w:lvlText w:val=""/>
      <w:lvlJc w:val="left"/>
      <w:pPr>
        <w:ind w:left="852" w:hanging="284"/>
      </w:pPr>
      <w:rPr>
        <w:rFonts w:ascii="Symbol" w:hAnsi="Symbol" w:hint="default"/>
        <w:color w:val="006DB6"/>
      </w:rPr>
    </w:lvl>
    <w:lvl w:ilvl="3">
      <w:start w:val="1"/>
      <w:numFmt w:val="bullet"/>
      <w:lvlText w:val="-"/>
      <w:lvlJc w:val="left"/>
      <w:pPr>
        <w:ind w:left="1136" w:hanging="284"/>
      </w:pPr>
      <w:rPr>
        <w:rFonts w:ascii="Arial" w:hAnsi="Arial" w:cs="Times New Roman" w:hint="default"/>
        <w:color w:val="006DB6"/>
      </w:rPr>
    </w:lvl>
    <w:lvl w:ilvl="4">
      <w:start w:val="1"/>
      <w:numFmt w:val="bullet"/>
      <w:lvlText w:val=""/>
      <w:lvlJc w:val="left"/>
      <w:pPr>
        <w:ind w:left="1420" w:hanging="284"/>
      </w:pPr>
      <w:rPr>
        <w:rFonts w:ascii="Symbol" w:hAnsi="Symbol" w:hint="default"/>
        <w:color w:val="006DB6"/>
      </w:rPr>
    </w:lvl>
    <w:lvl w:ilvl="5">
      <w:start w:val="1"/>
      <w:numFmt w:val="bullet"/>
      <w:lvlText w:val="-"/>
      <w:lvlJc w:val="left"/>
      <w:pPr>
        <w:ind w:left="1704" w:hanging="284"/>
      </w:pPr>
      <w:rPr>
        <w:rFonts w:ascii="Arial" w:hAnsi="Arial" w:cs="Times New Roman" w:hint="default"/>
        <w:color w:val="006DB6"/>
      </w:rPr>
    </w:lvl>
    <w:lvl w:ilvl="6">
      <w:start w:val="1"/>
      <w:numFmt w:val="bullet"/>
      <w:lvlText w:val=""/>
      <w:lvlJc w:val="left"/>
      <w:pPr>
        <w:ind w:left="1988" w:hanging="284"/>
      </w:pPr>
      <w:rPr>
        <w:rFonts w:ascii="Symbol" w:hAnsi="Symbol" w:hint="default"/>
        <w:color w:val="006DB6"/>
      </w:rPr>
    </w:lvl>
    <w:lvl w:ilvl="7">
      <w:start w:val="1"/>
      <w:numFmt w:val="bullet"/>
      <w:lvlText w:val="-"/>
      <w:lvlJc w:val="left"/>
      <w:pPr>
        <w:ind w:left="2272" w:hanging="284"/>
      </w:pPr>
      <w:rPr>
        <w:rFonts w:ascii="Arial" w:hAnsi="Arial" w:cs="Times New Roman" w:hint="default"/>
        <w:color w:val="006DB6"/>
      </w:rPr>
    </w:lvl>
    <w:lvl w:ilvl="8">
      <w:start w:val="1"/>
      <w:numFmt w:val="bullet"/>
      <w:lvlText w:val=""/>
      <w:lvlJc w:val="left"/>
      <w:pPr>
        <w:ind w:left="2556" w:hanging="284"/>
      </w:pPr>
      <w:rPr>
        <w:rFonts w:ascii="Symbol" w:hAnsi="Symbol" w:hint="default"/>
        <w:color w:val="006DB6"/>
      </w:rPr>
    </w:lvl>
  </w:abstractNum>
  <w:abstractNum w:abstractNumId="81" w15:restartNumberingAfterBreak="0">
    <w:nsid w:val="67637C28"/>
    <w:multiLevelType w:val="hybridMultilevel"/>
    <w:tmpl w:val="9C78542C"/>
    <w:lvl w:ilvl="0" w:tplc="DF1CE2E6">
      <w:start w:val="1"/>
      <w:numFmt w:val="bullet"/>
      <w:lvlText w:val=""/>
      <w:lvlJc w:val="left"/>
      <w:pPr>
        <w:ind w:left="718" w:hanging="360"/>
      </w:pPr>
      <w:rPr>
        <w:rFonts w:ascii="Symbol" w:hAnsi="Symbol" w:hint="default"/>
      </w:rPr>
    </w:lvl>
    <w:lvl w:ilvl="1" w:tplc="533450EE" w:tentative="1">
      <w:start w:val="1"/>
      <w:numFmt w:val="bullet"/>
      <w:lvlText w:val="o"/>
      <w:lvlJc w:val="left"/>
      <w:pPr>
        <w:ind w:left="1438" w:hanging="360"/>
      </w:pPr>
      <w:rPr>
        <w:rFonts w:ascii="Courier New" w:hAnsi="Courier New" w:cs="Courier New" w:hint="default"/>
      </w:rPr>
    </w:lvl>
    <w:lvl w:ilvl="2" w:tplc="3A82D544" w:tentative="1">
      <w:start w:val="1"/>
      <w:numFmt w:val="bullet"/>
      <w:lvlText w:val=""/>
      <w:lvlJc w:val="left"/>
      <w:pPr>
        <w:ind w:left="2158" w:hanging="360"/>
      </w:pPr>
      <w:rPr>
        <w:rFonts w:ascii="Wingdings" w:hAnsi="Wingdings" w:hint="default"/>
      </w:rPr>
    </w:lvl>
    <w:lvl w:ilvl="3" w:tplc="510480E6" w:tentative="1">
      <w:start w:val="1"/>
      <w:numFmt w:val="bullet"/>
      <w:lvlText w:val=""/>
      <w:lvlJc w:val="left"/>
      <w:pPr>
        <w:ind w:left="2878" w:hanging="360"/>
      </w:pPr>
      <w:rPr>
        <w:rFonts w:ascii="Symbol" w:hAnsi="Symbol" w:hint="default"/>
      </w:rPr>
    </w:lvl>
    <w:lvl w:ilvl="4" w:tplc="90F8196C" w:tentative="1">
      <w:start w:val="1"/>
      <w:numFmt w:val="bullet"/>
      <w:lvlText w:val="o"/>
      <w:lvlJc w:val="left"/>
      <w:pPr>
        <w:ind w:left="3598" w:hanging="360"/>
      </w:pPr>
      <w:rPr>
        <w:rFonts w:ascii="Courier New" w:hAnsi="Courier New" w:cs="Courier New" w:hint="default"/>
      </w:rPr>
    </w:lvl>
    <w:lvl w:ilvl="5" w:tplc="C8724DA4" w:tentative="1">
      <w:start w:val="1"/>
      <w:numFmt w:val="bullet"/>
      <w:lvlText w:val=""/>
      <w:lvlJc w:val="left"/>
      <w:pPr>
        <w:ind w:left="4318" w:hanging="360"/>
      </w:pPr>
      <w:rPr>
        <w:rFonts w:ascii="Wingdings" w:hAnsi="Wingdings" w:hint="default"/>
      </w:rPr>
    </w:lvl>
    <w:lvl w:ilvl="6" w:tplc="E5E88A62" w:tentative="1">
      <w:start w:val="1"/>
      <w:numFmt w:val="bullet"/>
      <w:lvlText w:val=""/>
      <w:lvlJc w:val="left"/>
      <w:pPr>
        <w:ind w:left="5038" w:hanging="360"/>
      </w:pPr>
      <w:rPr>
        <w:rFonts w:ascii="Symbol" w:hAnsi="Symbol" w:hint="default"/>
      </w:rPr>
    </w:lvl>
    <w:lvl w:ilvl="7" w:tplc="5B28875A" w:tentative="1">
      <w:start w:val="1"/>
      <w:numFmt w:val="bullet"/>
      <w:lvlText w:val="o"/>
      <w:lvlJc w:val="left"/>
      <w:pPr>
        <w:ind w:left="5758" w:hanging="360"/>
      </w:pPr>
      <w:rPr>
        <w:rFonts w:ascii="Courier New" w:hAnsi="Courier New" w:cs="Courier New" w:hint="default"/>
      </w:rPr>
    </w:lvl>
    <w:lvl w:ilvl="8" w:tplc="F7E6EF28" w:tentative="1">
      <w:start w:val="1"/>
      <w:numFmt w:val="bullet"/>
      <w:lvlText w:val=""/>
      <w:lvlJc w:val="left"/>
      <w:pPr>
        <w:ind w:left="6478" w:hanging="360"/>
      </w:pPr>
      <w:rPr>
        <w:rFonts w:ascii="Wingdings" w:hAnsi="Wingdings" w:hint="default"/>
      </w:rPr>
    </w:lvl>
  </w:abstractNum>
  <w:abstractNum w:abstractNumId="82"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83" w15:restartNumberingAfterBreak="0">
    <w:nsid w:val="67B856F6"/>
    <w:multiLevelType w:val="singleLevel"/>
    <w:tmpl w:val="0AB28E9C"/>
    <w:name w:val="Tiret 2"/>
    <w:lvl w:ilvl="0">
      <w:start w:val="1"/>
      <w:numFmt w:val="bullet"/>
      <w:pStyle w:val="Tiret2"/>
      <w:lvlText w:val="–"/>
      <w:lvlJc w:val="left"/>
      <w:pPr>
        <w:tabs>
          <w:tab w:val="num" w:pos="1984"/>
        </w:tabs>
        <w:ind w:left="1984" w:hanging="567"/>
      </w:pPr>
    </w:lvl>
  </w:abstractNum>
  <w:abstractNum w:abstractNumId="84" w15:restartNumberingAfterBreak="0">
    <w:nsid w:val="69E40CB1"/>
    <w:multiLevelType w:val="hybridMultilevel"/>
    <w:tmpl w:val="228A64B0"/>
    <w:lvl w:ilvl="0" w:tplc="300E0C1C">
      <w:start w:val="1"/>
      <w:numFmt w:val="bullet"/>
      <w:lvlText w:val=""/>
      <w:lvlJc w:val="left"/>
      <w:pPr>
        <w:ind w:left="719" w:hanging="360"/>
      </w:pPr>
      <w:rPr>
        <w:rFonts w:ascii="Symbol" w:hAnsi="Symbol" w:hint="default"/>
      </w:rPr>
    </w:lvl>
    <w:lvl w:ilvl="1" w:tplc="D56ACC40" w:tentative="1">
      <w:start w:val="1"/>
      <w:numFmt w:val="bullet"/>
      <w:lvlText w:val="o"/>
      <w:lvlJc w:val="left"/>
      <w:pPr>
        <w:ind w:left="1439" w:hanging="360"/>
      </w:pPr>
      <w:rPr>
        <w:rFonts w:ascii="Courier New" w:hAnsi="Courier New" w:cs="Courier New" w:hint="default"/>
      </w:rPr>
    </w:lvl>
    <w:lvl w:ilvl="2" w:tplc="5FE0A040" w:tentative="1">
      <w:start w:val="1"/>
      <w:numFmt w:val="bullet"/>
      <w:lvlText w:val=""/>
      <w:lvlJc w:val="left"/>
      <w:pPr>
        <w:ind w:left="2159" w:hanging="360"/>
      </w:pPr>
      <w:rPr>
        <w:rFonts w:ascii="Wingdings" w:hAnsi="Wingdings" w:hint="default"/>
      </w:rPr>
    </w:lvl>
    <w:lvl w:ilvl="3" w:tplc="38CA0A34" w:tentative="1">
      <w:start w:val="1"/>
      <w:numFmt w:val="bullet"/>
      <w:lvlText w:val=""/>
      <w:lvlJc w:val="left"/>
      <w:pPr>
        <w:ind w:left="2879" w:hanging="360"/>
      </w:pPr>
      <w:rPr>
        <w:rFonts w:ascii="Symbol" w:hAnsi="Symbol" w:hint="default"/>
      </w:rPr>
    </w:lvl>
    <w:lvl w:ilvl="4" w:tplc="B9B4D614" w:tentative="1">
      <w:start w:val="1"/>
      <w:numFmt w:val="bullet"/>
      <w:lvlText w:val="o"/>
      <w:lvlJc w:val="left"/>
      <w:pPr>
        <w:ind w:left="3599" w:hanging="360"/>
      </w:pPr>
      <w:rPr>
        <w:rFonts w:ascii="Courier New" w:hAnsi="Courier New" w:cs="Courier New" w:hint="default"/>
      </w:rPr>
    </w:lvl>
    <w:lvl w:ilvl="5" w:tplc="63B21A36" w:tentative="1">
      <w:start w:val="1"/>
      <w:numFmt w:val="bullet"/>
      <w:lvlText w:val=""/>
      <w:lvlJc w:val="left"/>
      <w:pPr>
        <w:ind w:left="4319" w:hanging="360"/>
      </w:pPr>
      <w:rPr>
        <w:rFonts w:ascii="Wingdings" w:hAnsi="Wingdings" w:hint="default"/>
      </w:rPr>
    </w:lvl>
    <w:lvl w:ilvl="6" w:tplc="E08C0EB2" w:tentative="1">
      <w:start w:val="1"/>
      <w:numFmt w:val="bullet"/>
      <w:lvlText w:val=""/>
      <w:lvlJc w:val="left"/>
      <w:pPr>
        <w:ind w:left="5039" w:hanging="360"/>
      </w:pPr>
      <w:rPr>
        <w:rFonts w:ascii="Symbol" w:hAnsi="Symbol" w:hint="default"/>
      </w:rPr>
    </w:lvl>
    <w:lvl w:ilvl="7" w:tplc="0E0642E0" w:tentative="1">
      <w:start w:val="1"/>
      <w:numFmt w:val="bullet"/>
      <w:lvlText w:val="o"/>
      <w:lvlJc w:val="left"/>
      <w:pPr>
        <w:ind w:left="5759" w:hanging="360"/>
      </w:pPr>
      <w:rPr>
        <w:rFonts w:ascii="Courier New" w:hAnsi="Courier New" w:cs="Courier New" w:hint="default"/>
      </w:rPr>
    </w:lvl>
    <w:lvl w:ilvl="8" w:tplc="EC26F1AE" w:tentative="1">
      <w:start w:val="1"/>
      <w:numFmt w:val="bullet"/>
      <w:lvlText w:val=""/>
      <w:lvlJc w:val="left"/>
      <w:pPr>
        <w:ind w:left="6479" w:hanging="360"/>
      </w:pPr>
      <w:rPr>
        <w:rFonts w:ascii="Wingdings" w:hAnsi="Wingdings" w:hint="default"/>
      </w:rPr>
    </w:lvl>
  </w:abstractNum>
  <w:abstractNum w:abstractNumId="85" w15:restartNumberingAfterBreak="0">
    <w:nsid w:val="6AAF1A1F"/>
    <w:multiLevelType w:val="multilevel"/>
    <w:tmpl w:val="1EE46C5A"/>
    <w:lvl w:ilvl="0">
      <w:start w:val="1"/>
      <w:numFmt w:val="decimal"/>
      <w:pStyle w:val="Textodstavce"/>
      <w:isLgl/>
      <w:lvlText w:val="(%1)"/>
      <w:lvlJc w:val="left"/>
      <w:pPr>
        <w:tabs>
          <w:tab w:val="num" w:pos="786"/>
        </w:tabs>
        <w:ind w:left="1" w:firstLine="425"/>
      </w:pPr>
      <w:rPr>
        <w:rFonts w:hint="default"/>
      </w:rPr>
    </w:lvl>
    <w:lvl w:ilvl="1">
      <w:start w:val="1"/>
      <w:numFmt w:val="lowerLetter"/>
      <w:pStyle w:val="Textpsmene"/>
      <w:lvlText w:val="%2)"/>
      <w:lvlJc w:val="left"/>
      <w:pPr>
        <w:tabs>
          <w:tab w:val="num" w:pos="426"/>
        </w:tabs>
        <w:ind w:left="426" w:hanging="425"/>
      </w:pPr>
      <w:rPr>
        <w:rFonts w:hint="default"/>
      </w:rPr>
    </w:lvl>
    <w:lvl w:ilvl="2">
      <w:start w:val="1"/>
      <w:numFmt w:val="decimal"/>
      <w:pStyle w:val="Textbodu"/>
      <w:isLgl/>
      <w:lvlText w:val="%3."/>
      <w:lvlJc w:val="left"/>
      <w:pPr>
        <w:tabs>
          <w:tab w:val="num" w:pos="852"/>
        </w:tabs>
        <w:ind w:left="852" w:hanging="426"/>
      </w:pPr>
      <w:rPr>
        <w:rFonts w:hint="default"/>
      </w:rPr>
    </w:lvl>
    <w:lvl w:ilvl="3">
      <w:start w:val="1"/>
      <w:numFmt w:val="decimal"/>
      <w:lvlText w:val="(%4)"/>
      <w:lvlJc w:val="left"/>
      <w:pPr>
        <w:tabs>
          <w:tab w:val="num" w:pos="1441"/>
        </w:tabs>
        <w:ind w:left="1441" w:hanging="360"/>
      </w:pPr>
      <w:rPr>
        <w:rFonts w:hint="default"/>
      </w:rPr>
    </w:lvl>
    <w:lvl w:ilvl="4">
      <w:start w:val="1"/>
      <w:numFmt w:val="lowerLetter"/>
      <w:lvlText w:val="(%5)"/>
      <w:lvlJc w:val="left"/>
      <w:pPr>
        <w:tabs>
          <w:tab w:val="num" w:pos="1801"/>
        </w:tabs>
        <w:ind w:left="1801" w:hanging="360"/>
      </w:pPr>
      <w:rPr>
        <w:rFonts w:hint="default"/>
      </w:rPr>
    </w:lvl>
    <w:lvl w:ilvl="5">
      <w:start w:val="1"/>
      <w:numFmt w:val="lowerRoman"/>
      <w:lvlText w:val="(%6)"/>
      <w:lvlJc w:val="left"/>
      <w:pPr>
        <w:tabs>
          <w:tab w:val="num" w:pos="2521"/>
        </w:tabs>
        <w:ind w:left="2161" w:hanging="360"/>
      </w:pPr>
      <w:rPr>
        <w:rFonts w:hint="default"/>
      </w:rPr>
    </w:lvl>
    <w:lvl w:ilvl="6">
      <w:start w:val="1"/>
      <w:numFmt w:val="decimal"/>
      <w:lvlText w:val="%7."/>
      <w:lvlJc w:val="left"/>
      <w:pPr>
        <w:tabs>
          <w:tab w:val="num" w:pos="2521"/>
        </w:tabs>
        <w:ind w:left="2521" w:hanging="360"/>
      </w:pPr>
      <w:rPr>
        <w:rFonts w:hint="default"/>
      </w:rPr>
    </w:lvl>
    <w:lvl w:ilvl="7">
      <w:start w:val="1"/>
      <w:numFmt w:val="lowerLetter"/>
      <w:lvlText w:val="%8."/>
      <w:lvlJc w:val="left"/>
      <w:pPr>
        <w:tabs>
          <w:tab w:val="num" w:pos="2881"/>
        </w:tabs>
        <w:ind w:left="2881" w:hanging="360"/>
      </w:pPr>
      <w:rPr>
        <w:rFonts w:hint="default"/>
      </w:rPr>
    </w:lvl>
    <w:lvl w:ilvl="8">
      <w:start w:val="1"/>
      <w:numFmt w:val="lowerRoman"/>
      <w:lvlText w:val="%9."/>
      <w:lvlJc w:val="left"/>
      <w:pPr>
        <w:tabs>
          <w:tab w:val="num" w:pos="3601"/>
        </w:tabs>
        <w:ind w:left="3241" w:hanging="360"/>
      </w:pPr>
      <w:rPr>
        <w:rFonts w:hint="default"/>
      </w:rPr>
    </w:lvl>
  </w:abstractNum>
  <w:abstractNum w:abstractNumId="86" w15:restartNumberingAfterBreak="0">
    <w:nsid w:val="6BAC6AF8"/>
    <w:multiLevelType w:val="hybridMultilevel"/>
    <w:tmpl w:val="E63E8D00"/>
    <w:lvl w:ilvl="0" w:tplc="6478C5F0">
      <w:start w:val="1"/>
      <w:numFmt w:val="bullet"/>
      <w:lvlText w:val=""/>
      <w:lvlJc w:val="left"/>
      <w:pPr>
        <w:ind w:left="720" w:hanging="360"/>
      </w:pPr>
      <w:rPr>
        <w:rFonts w:ascii="Symbol" w:hAnsi="Symbol" w:hint="default"/>
      </w:rPr>
    </w:lvl>
    <w:lvl w:ilvl="1" w:tplc="3AFC5DFC" w:tentative="1">
      <w:start w:val="1"/>
      <w:numFmt w:val="bullet"/>
      <w:lvlText w:val="o"/>
      <w:lvlJc w:val="left"/>
      <w:pPr>
        <w:ind w:left="1440" w:hanging="360"/>
      </w:pPr>
      <w:rPr>
        <w:rFonts w:ascii="Courier New" w:hAnsi="Courier New" w:cs="Courier New" w:hint="default"/>
      </w:rPr>
    </w:lvl>
    <w:lvl w:ilvl="2" w:tplc="E14832F2" w:tentative="1">
      <w:start w:val="1"/>
      <w:numFmt w:val="bullet"/>
      <w:lvlText w:val=""/>
      <w:lvlJc w:val="left"/>
      <w:pPr>
        <w:ind w:left="2160" w:hanging="360"/>
      </w:pPr>
      <w:rPr>
        <w:rFonts w:ascii="Wingdings" w:hAnsi="Wingdings" w:hint="default"/>
      </w:rPr>
    </w:lvl>
    <w:lvl w:ilvl="3" w:tplc="BDEC9DA8" w:tentative="1">
      <w:start w:val="1"/>
      <w:numFmt w:val="bullet"/>
      <w:lvlText w:val=""/>
      <w:lvlJc w:val="left"/>
      <w:pPr>
        <w:ind w:left="2880" w:hanging="360"/>
      </w:pPr>
      <w:rPr>
        <w:rFonts w:ascii="Symbol" w:hAnsi="Symbol" w:hint="default"/>
      </w:rPr>
    </w:lvl>
    <w:lvl w:ilvl="4" w:tplc="E1D44486" w:tentative="1">
      <w:start w:val="1"/>
      <w:numFmt w:val="bullet"/>
      <w:lvlText w:val="o"/>
      <w:lvlJc w:val="left"/>
      <w:pPr>
        <w:ind w:left="3600" w:hanging="360"/>
      </w:pPr>
      <w:rPr>
        <w:rFonts w:ascii="Courier New" w:hAnsi="Courier New" w:cs="Courier New" w:hint="default"/>
      </w:rPr>
    </w:lvl>
    <w:lvl w:ilvl="5" w:tplc="2BA6F9BA" w:tentative="1">
      <w:start w:val="1"/>
      <w:numFmt w:val="bullet"/>
      <w:lvlText w:val=""/>
      <w:lvlJc w:val="left"/>
      <w:pPr>
        <w:ind w:left="4320" w:hanging="360"/>
      </w:pPr>
      <w:rPr>
        <w:rFonts w:ascii="Wingdings" w:hAnsi="Wingdings" w:hint="default"/>
      </w:rPr>
    </w:lvl>
    <w:lvl w:ilvl="6" w:tplc="0BECB948" w:tentative="1">
      <w:start w:val="1"/>
      <w:numFmt w:val="bullet"/>
      <w:lvlText w:val=""/>
      <w:lvlJc w:val="left"/>
      <w:pPr>
        <w:ind w:left="5040" w:hanging="360"/>
      </w:pPr>
      <w:rPr>
        <w:rFonts w:ascii="Symbol" w:hAnsi="Symbol" w:hint="default"/>
      </w:rPr>
    </w:lvl>
    <w:lvl w:ilvl="7" w:tplc="B26EC94E" w:tentative="1">
      <w:start w:val="1"/>
      <w:numFmt w:val="bullet"/>
      <w:lvlText w:val="o"/>
      <w:lvlJc w:val="left"/>
      <w:pPr>
        <w:ind w:left="5760" w:hanging="360"/>
      </w:pPr>
      <w:rPr>
        <w:rFonts w:ascii="Courier New" w:hAnsi="Courier New" w:cs="Courier New" w:hint="default"/>
      </w:rPr>
    </w:lvl>
    <w:lvl w:ilvl="8" w:tplc="4262315C" w:tentative="1">
      <w:start w:val="1"/>
      <w:numFmt w:val="bullet"/>
      <w:lvlText w:val=""/>
      <w:lvlJc w:val="left"/>
      <w:pPr>
        <w:ind w:left="6480" w:hanging="360"/>
      </w:pPr>
      <w:rPr>
        <w:rFonts w:ascii="Wingdings" w:hAnsi="Wingdings" w:hint="default"/>
      </w:rPr>
    </w:lvl>
  </w:abstractNum>
  <w:abstractNum w:abstractNumId="87" w15:restartNumberingAfterBreak="0">
    <w:nsid w:val="6C815FAF"/>
    <w:multiLevelType w:val="hybridMultilevel"/>
    <w:tmpl w:val="B98805AA"/>
    <w:lvl w:ilvl="0" w:tplc="15DAB99E">
      <w:start w:val="1"/>
      <w:numFmt w:val="upperLetter"/>
      <w:pStyle w:val="zelen"/>
      <w:lvlText w:val="%1."/>
      <w:lvlJc w:val="left"/>
      <w:pPr>
        <w:ind w:left="360" w:hanging="360"/>
      </w:pPr>
      <w:rPr>
        <w:rFonts w:ascii="Cambria" w:hAnsi="Cambria" w:hint="default"/>
        <w:u w:val="single"/>
      </w:rPr>
    </w:lvl>
    <w:lvl w:ilvl="1" w:tplc="72FCB48A">
      <w:start w:val="1"/>
      <w:numFmt w:val="lowerLetter"/>
      <w:lvlText w:val="%2."/>
      <w:lvlJc w:val="left"/>
      <w:pPr>
        <w:ind w:left="1080" w:hanging="360"/>
      </w:pPr>
    </w:lvl>
    <w:lvl w:ilvl="2" w:tplc="A38CE2F2">
      <w:start w:val="1"/>
      <w:numFmt w:val="lowerRoman"/>
      <w:lvlText w:val="%3."/>
      <w:lvlJc w:val="right"/>
      <w:pPr>
        <w:ind w:left="1800" w:hanging="180"/>
      </w:pPr>
    </w:lvl>
    <w:lvl w:ilvl="3" w:tplc="E3A489D0">
      <w:numFmt w:val="bullet"/>
      <w:lvlText w:val="•"/>
      <w:lvlJc w:val="left"/>
      <w:pPr>
        <w:ind w:left="2865" w:hanging="705"/>
      </w:pPr>
      <w:rPr>
        <w:rFonts w:ascii="Garamond" w:eastAsia="Calibri" w:hAnsi="Garamond" w:cs="Times New Roman" w:hint="default"/>
      </w:rPr>
    </w:lvl>
    <w:lvl w:ilvl="4" w:tplc="7340FBC4" w:tentative="1">
      <w:start w:val="1"/>
      <w:numFmt w:val="lowerLetter"/>
      <w:lvlText w:val="%5."/>
      <w:lvlJc w:val="left"/>
      <w:pPr>
        <w:ind w:left="3240" w:hanging="360"/>
      </w:pPr>
    </w:lvl>
    <w:lvl w:ilvl="5" w:tplc="2C344214" w:tentative="1">
      <w:start w:val="1"/>
      <w:numFmt w:val="lowerRoman"/>
      <w:lvlText w:val="%6."/>
      <w:lvlJc w:val="right"/>
      <w:pPr>
        <w:ind w:left="3960" w:hanging="180"/>
      </w:pPr>
    </w:lvl>
    <w:lvl w:ilvl="6" w:tplc="6C88FAA6" w:tentative="1">
      <w:start w:val="1"/>
      <w:numFmt w:val="decimal"/>
      <w:lvlText w:val="%7."/>
      <w:lvlJc w:val="left"/>
      <w:pPr>
        <w:ind w:left="4680" w:hanging="360"/>
      </w:pPr>
    </w:lvl>
    <w:lvl w:ilvl="7" w:tplc="71B838B4" w:tentative="1">
      <w:start w:val="1"/>
      <w:numFmt w:val="lowerLetter"/>
      <w:lvlText w:val="%8."/>
      <w:lvlJc w:val="left"/>
      <w:pPr>
        <w:ind w:left="5400" w:hanging="360"/>
      </w:pPr>
    </w:lvl>
    <w:lvl w:ilvl="8" w:tplc="CE4E1980" w:tentative="1">
      <w:start w:val="1"/>
      <w:numFmt w:val="lowerRoman"/>
      <w:lvlText w:val="%9."/>
      <w:lvlJc w:val="right"/>
      <w:pPr>
        <w:ind w:left="6120" w:hanging="180"/>
      </w:pPr>
    </w:lvl>
  </w:abstractNum>
  <w:abstractNum w:abstractNumId="88"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89" w15:restartNumberingAfterBreak="0">
    <w:nsid w:val="6F19583B"/>
    <w:multiLevelType w:val="singleLevel"/>
    <w:tmpl w:val="FC060CD6"/>
    <w:lvl w:ilvl="0">
      <w:start w:val="1"/>
      <w:numFmt w:val="bullet"/>
      <w:pStyle w:val="odrky"/>
      <w:lvlText w:val=""/>
      <w:lvlJc w:val="left"/>
      <w:pPr>
        <w:tabs>
          <w:tab w:val="num" w:pos="644"/>
        </w:tabs>
        <w:ind w:left="624" w:hanging="340"/>
      </w:pPr>
      <w:rPr>
        <w:rFonts w:ascii="Symbol" w:hAnsi="Symbol" w:hint="default"/>
      </w:rPr>
    </w:lvl>
  </w:abstractNum>
  <w:abstractNum w:abstractNumId="90" w15:restartNumberingAfterBreak="0">
    <w:nsid w:val="7141088C"/>
    <w:multiLevelType w:val="hybridMultilevel"/>
    <w:tmpl w:val="3FE0C2EC"/>
    <w:lvl w:ilvl="0" w:tplc="7CC2B55E">
      <w:start w:val="1"/>
      <w:numFmt w:val="bullet"/>
      <w:lvlText w:val=""/>
      <w:lvlJc w:val="left"/>
      <w:pPr>
        <w:ind w:left="719" w:hanging="360"/>
      </w:pPr>
      <w:rPr>
        <w:rFonts w:ascii="Symbol" w:hAnsi="Symbol" w:hint="default"/>
      </w:rPr>
    </w:lvl>
    <w:lvl w:ilvl="1" w:tplc="7720930A" w:tentative="1">
      <w:start w:val="1"/>
      <w:numFmt w:val="bullet"/>
      <w:lvlText w:val="o"/>
      <w:lvlJc w:val="left"/>
      <w:pPr>
        <w:ind w:left="1439" w:hanging="360"/>
      </w:pPr>
      <w:rPr>
        <w:rFonts w:ascii="Courier New" w:hAnsi="Courier New" w:cs="Courier New" w:hint="default"/>
      </w:rPr>
    </w:lvl>
    <w:lvl w:ilvl="2" w:tplc="5E86D750" w:tentative="1">
      <w:start w:val="1"/>
      <w:numFmt w:val="bullet"/>
      <w:lvlText w:val=""/>
      <w:lvlJc w:val="left"/>
      <w:pPr>
        <w:ind w:left="2159" w:hanging="360"/>
      </w:pPr>
      <w:rPr>
        <w:rFonts w:ascii="Wingdings" w:hAnsi="Wingdings" w:hint="default"/>
      </w:rPr>
    </w:lvl>
    <w:lvl w:ilvl="3" w:tplc="B3CAD7F4" w:tentative="1">
      <w:start w:val="1"/>
      <w:numFmt w:val="bullet"/>
      <w:lvlText w:val=""/>
      <w:lvlJc w:val="left"/>
      <w:pPr>
        <w:ind w:left="2879" w:hanging="360"/>
      </w:pPr>
      <w:rPr>
        <w:rFonts w:ascii="Symbol" w:hAnsi="Symbol" w:hint="default"/>
      </w:rPr>
    </w:lvl>
    <w:lvl w:ilvl="4" w:tplc="46DCBE7E" w:tentative="1">
      <w:start w:val="1"/>
      <w:numFmt w:val="bullet"/>
      <w:lvlText w:val="o"/>
      <w:lvlJc w:val="left"/>
      <w:pPr>
        <w:ind w:left="3599" w:hanging="360"/>
      </w:pPr>
      <w:rPr>
        <w:rFonts w:ascii="Courier New" w:hAnsi="Courier New" w:cs="Courier New" w:hint="default"/>
      </w:rPr>
    </w:lvl>
    <w:lvl w:ilvl="5" w:tplc="89B4488E" w:tentative="1">
      <w:start w:val="1"/>
      <w:numFmt w:val="bullet"/>
      <w:lvlText w:val=""/>
      <w:lvlJc w:val="left"/>
      <w:pPr>
        <w:ind w:left="4319" w:hanging="360"/>
      </w:pPr>
      <w:rPr>
        <w:rFonts w:ascii="Wingdings" w:hAnsi="Wingdings" w:hint="default"/>
      </w:rPr>
    </w:lvl>
    <w:lvl w:ilvl="6" w:tplc="FEA0F4FE" w:tentative="1">
      <w:start w:val="1"/>
      <w:numFmt w:val="bullet"/>
      <w:lvlText w:val=""/>
      <w:lvlJc w:val="left"/>
      <w:pPr>
        <w:ind w:left="5039" w:hanging="360"/>
      </w:pPr>
      <w:rPr>
        <w:rFonts w:ascii="Symbol" w:hAnsi="Symbol" w:hint="default"/>
      </w:rPr>
    </w:lvl>
    <w:lvl w:ilvl="7" w:tplc="56322704" w:tentative="1">
      <w:start w:val="1"/>
      <w:numFmt w:val="bullet"/>
      <w:lvlText w:val="o"/>
      <w:lvlJc w:val="left"/>
      <w:pPr>
        <w:ind w:left="5759" w:hanging="360"/>
      </w:pPr>
      <w:rPr>
        <w:rFonts w:ascii="Courier New" w:hAnsi="Courier New" w:cs="Courier New" w:hint="default"/>
      </w:rPr>
    </w:lvl>
    <w:lvl w:ilvl="8" w:tplc="4498D9BC" w:tentative="1">
      <w:start w:val="1"/>
      <w:numFmt w:val="bullet"/>
      <w:lvlText w:val=""/>
      <w:lvlJc w:val="left"/>
      <w:pPr>
        <w:ind w:left="6479" w:hanging="360"/>
      </w:pPr>
      <w:rPr>
        <w:rFonts w:ascii="Wingdings" w:hAnsi="Wingdings" w:hint="default"/>
      </w:rPr>
    </w:lvl>
  </w:abstractNum>
  <w:abstractNum w:abstractNumId="91" w15:restartNumberingAfterBreak="0">
    <w:nsid w:val="748A1512"/>
    <w:multiLevelType w:val="hybridMultilevel"/>
    <w:tmpl w:val="F10CE0B8"/>
    <w:lvl w:ilvl="0" w:tplc="D362F412">
      <w:start w:val="1"/>
      <w:numFmt w:val="bullet"/>
      <w:pStyle w:val="Puce1"/>
      <w:lvlText w:val=""/>
      <w:lvlJc w:val="left"/>
      <w:pPr>
        <w:tabs>
          <w:tab w:val="num" w:pos="1069"/>
        </w:tabs>
        <w:ind w:left="993" w:hanging="284"/>
      </w:pPr>
      <w:rPr>
        <w:rFonts w:ascii="Symbol" w:hAnsi="Symbol" w:hint="default"/>
        <w:sz w:val="20"/>
      </w:rPr>
    </w:lvl>
    <w:lvl w:ilvl="1" w:tplc="1B0CF8FC">
      <w:start w:val="1"/>
      <w:numFmt w:val="bullet"/>
      <w:lvlText w:val="o"/>
      <w:lvlJc w:val="left"/>
      <w:pPr>
        <w:tabs>
          <w:tab w:val="num" w:pos="2149"/>
        </w:tabs>
        <w:ind w:left="2149" w:hanging="360"/>
      </w:pPr>
      <w:rPr>
        <w:rFonts w:ascii="Courier New" w:hAnsi="Courier New" w:hint="default"/>
      </w:rPr>
    </w:lvl>
    <w:lvl w:ilvl="2" w:tplc="90B054DE" w:tentative="1">
      <w:start w:val="1"/>
      <w:numFmt w:val="bullet"/>
      <w:lvlText w:val=""/>
      <w:lvlJc w:val="left"/>
      <w:pPr>
        <w:tabs>
          <w:tab w:val="num" w:pos="2869"/>
        </w:tabs>
        <w:ind w:left="2869" w:hanging="360"/>
      </w:pPr>
      <w:rPr>
        <w:rFonts w:ascii="Wingdings" w:hAnsi="Wingdings" w:hint="default"/>
      </w:rPr>
    </w:lvl>
    <w:lvl w:ilvl="3" w:tplc="3ED62A06" w:tentative="1">
      <w:start w:val="1"/>
      <w:numFmt w:val="bullet"/>
      <w:lvlText w:val=""/>
      <w:lvlJc w:val="left"/>
      <w:pPr>
        <w:tabs>
          <w:tab w:val="num" w:pos="3589"/>
        </w:tabs>
        <w:ind w:left="3589" w:hanging="360"/>
      </w:pPr>
      <w:rPr>
        <w:rFonts w:ascii="Symbol" w:hAnsi="Symbol" w:hint="default"/>
      </w:rPr>
    </w:lvl>
    <w:lvl w:ilvl="4" w:tplc="9D8A33E4" w:tentative="1">
      <w:start w:val="1"/>
      <w:numFmt w:val="bullet"/>
      <w:lvlText w:val="o"/>
      <w:lvlJc w:val="left"/>
      <w:pPr>
        <w:tabs>
          <w:tab w:val="num" w:pos="4309"/>
        </w:tabs>
        <w:ind w:left="4309" w:hanging="360"/>
      </w:pPr>
      <w:rPr>
        <w:rFonts w:ascii="Courier New" w:hAnsi="Courier New" w:hint="default"/>
      </w:rPr>
    </w:lvl>
    <w:lvl w:ilvl="5" w:tplc="35BE1378" w:tentative="1">
      <w:start w:val="1"/>
      <w:numFmt w:val="bullet"/>
      <w:lvlText w:val=""/>
      <w:lvlJc w:val="left"/>
      <w:pPr>
        <w:tabs>
          <w:tab w:val="num" w:pos="5029"/>
        </w:tabs>
        <w:ind w:left="5029" w:hanging="360"/>
      </w:pPr>
      <w:rPr>
        <w:rFonts w:ascii="Wingdings" w:hAnsi="Wingdings" w:hint="default"/>
      </w:rPr>
    </w:lvl>
    <w:lvl w:ilvl="6" w:tplc="67AA4F4C" w:tentative="1">
      <w:start w:val="1"/>
      <w:numFmt w:val="bullet"/>
      <w:lvlText w:val=""/>
      <w:lvlJc w:val="left"/>
      <w:pPr>
        <w:tabs>
          <w:tab w:val="num" w:pos="5749"/>
        </w:tabs>
        <w:ind w:left="5749" w:hanging="360"/>
      </w:pPr>
      <w:rPr>
        <w:rFonts w:ascii="Symbol" w:hAnsi="Symbol" w:hint="default"/>
      </w:rPr>
    </w:lvl>
    <w:lvl w:ilvl="7" w:tplc="9566F450" w:tentative="1">
      <w:start w:val="1"/>
      <w:numFmt w:val="bullet"/>
      <w:lvlText w:val="o"/>
      <w:lvlJc w:val="left"/>
      <w:pPr>
        <w:tabs>
          <w:tab w:val="num" w:pos="6469"/>
        </w:tabs>
        <w:ind w:left="6469" w:hanging="360"/>
      </w:pPr>
      <w:rPr>
        <w:rFonts w:ascii="Courier New" w:hAnsi="Courier New" w:hint="default"/>
      </w:rPr>
    </w:lvl>
    <w:lvl w:ilvl="8" w:tplc="585E93A2" w:tentative="1">
      <w:start w:val="1"/>
      <w:numFmt w:val="bullet"/>
      <w:lvlText w:val=""/>
      <w:lvlJc w:val="left"/>
      <w:pPr>
        <w:tabs>
          <w:tab w:val="num" w:pos="7189"/>
        </w:tabs>
        <w:ind w:left="7189" w:hanging="360"/>
      </w:pPr>
      <w:rPr>
        <w:rFonts w:ascii="Wingdings" w:hAnsi="Wingdings" w:hint="default"/>
      </w:rPr>
    </w:lvl>
  </w:abstractNum>
  <w:abstractNum w:abstractNumId="92" w15:restartNumberingAfterBreak="0">
    <w:nsid w:val="77C225BA"/>
    <w:multiLevelType w:val="hybridMultilevel"/>
    <w:tmpl w:val="FCD8AE62"/>
    <w:lvl w:ilvl="0" w:tplc="37A66362">
      <w:start w:val="1"/>
      <w:numFmt w:val="bullet"/>
      <w:lvlText w:val=""/>
      <w:lvlJc w:val="left"/>
      <w:pPr>
        <w:ind w:left="719" w:hanging="360"/>
      </w:pPr>
      <w:rPr>
        <w:rFonts w:ascii="Symbol" w:hAnsi="Symbol" w:hint="default"/>
      </w:rPr>
    </w:lvl>
    <w:lvl w:ilvl="1" w:tplc="0F86EBDC" w:tentative="1">
      <w:start w:val="1"/>
      <w:numFmt w:val="bullet"/>
      <w:lvlText w:val="o"/>
      <w:lvlJc w:val="left"/>
      <w:pPr>
        <w:ind w:left="1439" w:hanging="360"/>
      </w:pPr>
      <w:rPr>
        <w:rFonts w:ascii="Courier New" w:hAnsi="Courier New" w:cs="Courier New" w:hint="default"/>
      </w:rPr>
    </w:lvl>
    <w:lvl w:ilvl="2" w:tplc="07E66CB0" w:tentative="1">
      <w:start w:val="1"/>
      <w:numFmt w:val="bullet"/>
      <w:lvlText w:val=""/>
      <w:lvlJc w:val="left"/>
      <w:pPr>
        <w:ind w:left="2159" w:hanging="360"/>
      </w:pPr>
      <w:rPr>
        <w:rFonts w:ascii="Wingdings" w:hAnsi="Wingdings" w:hint="default"/>
      </w:rPr>
    </w:lvl>
    <w:lvl w:ilvl="3" w:tplc="3A9A8C84" w:tentative="1">
      <w:start w:val="1"/>
      <w:numFmt w:val="bullet"/>
      <w:lvlText w:val=""/>
      <w:lvlJc w:val="left"/>
      <w:pPr>
        <w:ind w:left="2879" w:hanging="360"/>
      </w:pPr>
      <w:rPr>
        <w:rFonts w:ascii="Symbol" w:hAnsi="Symbol" w:hint="default"/>
      </w:rPr>
    </w:lvl>
    <w:lvl w:ilvl="4" w:tplc="211C73CE" w:tentative="1">
      <w:start w:val="1"/>
      <w:numFmt w:val="bullet"/>
      <w:lvlText w:val="o"/>
      <w:lvlJc w:val="left"/>
      <w:pPr>
        <w:ind w:left="3599" w:hanging="360"/>
      </w:pPr>
      <w:rPr>
        <w:rFonts w:ascii="Courier New" w:hAnsi="Courier New" w:cs="Courier New" w:hint="default"/>
      </w:rPr>
    </w:lvl>
    <w:lvl w:ilvl="5" w:tplc="3A903352" w:tentative="1">
      <w:start w:val="1"/>
      <w:numFmt w:val="bullet"/>
      <w:lvlText w:val=""/>
      <w:lvlJc w:val="left"/>
      <w:pPr>
        <w:ind w:left="4319" w:hanging="360"/>
      </w:pPr>
      <w:rPr>
        <w:rFonts w:ascii="Wingdings" w:hAnsi="Wingdings" w:hint="default"/>
      </w:rPr>
    </w:lvl>
    <w:lvl w:ilvl="6" w:tplc="55B8D952" w:tentative="1">
      <w:start w:val="1"/>
      <w:numFmt w:val="bullet"/>
      <w:lvlText w:val=""/>
      <w:lvlJc w:val="left"/>
      <w:pPr>
        <w:ind w:left="5039" w:hanging="360"/>
      </w:pPr>
      <w:rPr>
        <w:rFonts w:ascii="Symbol" w:hAnsi="Symbol" w:hint="default"/>
      </w:rPr>
    </w:lvl>
    <w:lvl w:ilvl="7" w:tplc="D1E24398" w:tentative="1">
      <w:start w:val="1"/>
      <w:numFmt w:val="bullet"/>
      <w:lvlText w:val="o"/>
      <w:lvlJc w:val="left"/>
      <w:pPr>
        <w:ind w:left="5759" w:hanging="360"/>
      </w:pPr>
      <w:rPr>
        <w:rFonts w:ascii="Courier New" w:hAnsi="Courier New" w:cs="Courier New" w:hint="default"/>
      </w:rPr>
    </w:lvl>
    <w:lvl w:ilvl="8" w:tplc="A48C28AE" w:tentative="1">
      <w:start w:val="1"/>
      <w:numFmt w:val="bullet"/>
      <w:lvlText w:val=""/>
      <w:lvlJc w:val="left"/>
      <w:pPr>
        <w:ind w:left="6479" w:hanging="360"/>
      </w:pPr>
      <w:rPr>
        <w:rFonts w:ascii="Wingdings" w:hAnsi="Wingdings" w:hint="default"/>
      </w:rPr>
    </w:lvl>
  </w:abstractNum>
  <w:abstractNum w:abstractNumId="93" w15:restartNumberingAfterBreak="0">
    <w:nsid w:val="7A316C99"/>
    <w:multiLevelType w:val="hybridMultilevel"/>
    <w:tmpl w:val="E0E2F1FE"/>
    <w:lvl w:ilvl="0" w:tplc="19B69F0C">
      <w:start w:val="1"/>
      <w:numFmt w:val="bullet"/>
      <w:pStyle w:val="Spiegelstrich"/>
      <w:lvlText w:val=""/>
      <w:lvlJc w:val="left"/>
      <w:pPr>
        <w:ind w:left="720" w:hanging="360"/>
      </w:pPr>
      <w:rPr>
        <w:rFonts w:ascii="Symbol" w:hAnsi="Symbol" w:hint="default"/>
      </w:rPr>
    </w:lvl>
    <w:lvl w:ilvl="1" w:tplc="2376D478" w:tentative="1">
      <w:start w:val="1"/>
      <w:numFmt w:val="bullet"/>
      <w:lvlText w:val="o"/>
      <w:lvlJc w:val="left"/>
      <w:pPr>
        <w:ind w:left="1440" w:hanging="360"/>
      </w:pPr>
      <w:rPr>
        <w:rFonts w:ascii="Courier New" w:hAnsi="Courier New" w:hint="default"/>
      </w:rPr>
    </w:lvl>
    <w:lvl w:ilvl="2" w:tplc="85908832" w:tentative="1">
      <w:start w:val="1"/>
      <w:numFmt w:val="bullet"/>
      <w:lvlText w:val=""/>
      <w:lvlJc w:val="left"/>
      <w:pPr>
        <w:ind w:left="2160" w:hanging="360"/>
      </w:pPr>
      <w:rPr>
        <w:rFonts w:ascii="Wingdings" w:hAnsi="Wingdings" w:hint="default"/>
      </w:rPr>
    </w:lvl>
    <w:lvl w:ilvl="3" w:tplc="646C0494" w:tentative="1">
      <w:start w:val="1"/>
      <w:numFmt w:val="bullet"/>
      <w:lvlText w:val=""/>
      <w:lvlJc w:val="left"/>
      <w:pPr>
        <w:ind w:left="2880" w:hanging="360"/>
      </w:pPr>
      <w:rPr>
        <w:rFonts w:ascii="Symbol" w:hAnsi="Symbol" w:hint="default"/>
      </w:rPr>
    </w:lvl>
    <w:lvl w:ilvl="4" w:tplc="24C60EBA" w:tentative="1">
      <w:start w:val="1"/>
      <w:numFmt w:val="bullet"/>
      <w:lvlText w:val="o"/>
      <w:lvlJc w:val="left"/>
      <w:pPr>
        <w:ind w:left="3600" w:hanging="360"/>
      </w:pPr>
      <w:rPr>
        <w:rFonts w:ascii="Courier New" w:hAnsi="Courier New" w:hint="default"/>
      </w:rPr>
    </w:lvl>
    <w:lvl w:ilvl="5" w:tplc="50D46AAC" w:tentative="1">
      <w:start w:val="1"/>
      <w:numFmt w:val="bullet"/>
      <w:lvlText w:val=""/>
      <w:lvlJc w:val="left"/>
      <w:pPr>
        <w:ind w:left="4320" w:hanging="360"/>
      </w:pPr>
      <w:rPr>
        <w:rFonts w:ascii="Wingdings" w:hAnsi="Wingdings" w:hint="default"/>
      </w:rPr>
    </w:lvl>
    <w:lvl w:ilvl="6" w:tplc="D53CEC56" w:tentative="1">
      <w:start w:val="1"/>
      <w:numFmt w:val="bullet"/>
      <w:lvlText w:val=""/>
      <w:lvlJc w:val="left"/>
      <w:pPr>
        <w:ind w:left="5040" w:hanging="360"/>
      </w:pPr>
      <w:rPr>
        <w:rFonts w:ascii="Symbol" w:hAnsi="Symbol" w:hint="default"/>
      </w:rPr>
    </w:lvl>
    <w:lvl w:ilvl="7" w:tplc="65B42598" w:tentative="1">
      <w:start w:val="1"/>
      <w:numFmt w:val="bullet"/>
      <w:lvlText w:val="o"/>
      <w:lvlJc w:val="left"/>
      <w:pPr>
        <w:ind w:left="5760" w:hanging="360"/>
      </w:pPr>
      <w:rPr>
        <w:rFonts w:ascii="Courier New" w:hAnsi="Courier New" w:hint="default"/>
      </w:rPr>
    </w:lvl>
    <w:lvl w:ilvl="8" w:tplc="C4048A4C" w:tentative="1">
      <w:start w:val="1"/>
      <w:numFmt w:val="bullet"/>
      <w:lvlText w:val=""/>
      <w:lvlJc w:val="left"/>
      <w:pPr>
        <w:ind w:left="6480" w:hanging="360"/>
      </w:pPr>
      <w:rPr>
        <w:rFonts w:ascii="Wingdings" w:hAnsi="Wingdings" w:hint="default"/>
      </w:rPr>
    </w:lvl>
  </w:abstractNum>
  <w:abstractNum w:abstractNumId="94" w15:restartNumberingAfterBreak="0">
    <w:nsid w:val="7A625691"/>
    <w:multiLevelType w:val="hybridMultilevel"/>
    <w:tmpl w:val="7C8CA11C"/>
    <w:lvl w:ilvl="0" w:tplc="87FA00D0">
      <w:start w:val="1"/>
      <w:numFmt w:val="bullet"/>
      <w:pStyle w:val="Odstavecseseznamem1"/>
      <w:lvlText w:val=""/>
      <w:lvlJc w:val="left"/>
      <w:pPr>
        <w:ind w:left="1440" w:hanging="360"/>
      </w:pPr>
      <w:rPr>
        <w:rFonts w:ascii="Wingdings" w:hAnsi="Wingdings" w:hint="default"/>
      </w:rPr>
    </w:lvl>
    <w:lvl w:ilvl="1" w:tplc="95B26FA0" w:tentative="1">
      <w:start w:val="1"/>
      <w:numFmt w:val="bullet"/>
      <w:lvlText w:val="o"/>
      <w:lvlJc w:val="left"/>
      <w:pPr>
        <w:ind w:left="2160" w:hanging="360"/>
      </w:pPr>
      <w:rPr>
        <w:rFonts w:ascii="Courier New" w:hAnsi="Courier New" w:cs="Courier New" w:hint="default"/>
      </w:rPr>
    </w:lvl>
    <w:lvl w:ilvl="2" w:tplc="DDF24C18" w:tentative="1">
      <w:start w:val="1"/>
      <w:numFmt w:val="bullet"/>
      <w:lvlText w:val=""/>
      <w:lvlJc w:val="left"/>
      <w:pPr>
        <w:ind w:left="2880" w:hanging="360"/>
      </w:pPr>
      <w:rPr>
        <w:rFonts w:ascii="Wingdings" w:hAnsi="Wingdings" w:hint="default"/>
      </w:rPr>
    </w:lvl>
    <w:lvl w:ilvl="3" w:tplc="C2C6C158" w:tentative="1">
      <w:start w:val="1"/>
      <w:numFmt w:val="bullet"/>
      <w:lvlText w:val=""/>
      <w:lvlJc w:val="left"/>
      <w:pPr>
        <w:ind w:left="3600" w:hanging="360"/>
      </w:pPr>
      <w:rPr>
        <w:rFonts w:ascii="Symbol" w:hAnsi="Symbol" w:hint="default"/>
      </w:rPr>
    </w:lvl>
    <w:lvl w:ilvl="4" w:tplc="FC2824E0" w:tentative="1">
      <w:start w:val="1"/>
      <w:numFmt w:val="bullet"/>
      <w:lvlText w:val="o"/>
      <w:lvlJc w:val="left"/>
      <w:pPr>
        <w:ind w:left="4320" w:hanging="360"/>
      </w:pPr>
      <w:rPr>
        <w:rFonts w:ascii="Courier New" w:hAnsi="Courier New" w:cs="Courier New" w:hint="default"/>
      </w:rPr>
    </w:lvl>
    <w:lvl w:ilvl="5" w:tplc="FAA65E98" w:tentative="1">
      <w:start w:val="1"/>
      <w:numFmt w:val="bullet"/>
      <w:lvlText w:val=""/>
      <w:lvlJc w:val="left"/>
      <w:pPr>
        <w:ind w:left="5040" w:hanging="360"/>
      </w:pPr>
      <w:rPr>
        <w:rFonts w:ascii="Wingdings" w:hAnsi="Wingdings" w:hint="default"/>
      </w:rPr>
    </w:lvl>
    <w:lvl w:ilvl="6" w:tplc="81E49E1E" w:tentative="1">
      <w:start w:val="1"/>
      <w:numFmt w:val="bullet"/>
      <w:lvlText w:val=""/>
      <w:lvlJc w:val="left"/>
      <w:pPr>
        <w:ind w:left="5760" w:hanging="360"/>
      </w:pPr>
      <w:rPr>
        <w:rFonts w:ascii="Symbol" w:hAnsi="Symbol" w:hint="default"/>
      </w:rPr>
    </w:lvl>
    <w:lvl w:ilvl="7" w:tplc="568237D0" w:tentative="1">
      <w:start w:val="1"/>
      <w:numFmt w:val="bullet"/>
      <w:lvlText w:val="o"/>
      <w:lvlJc w:val="left"/>
      <w:pPr>
        <w:ind w:left="6480" w:hanging="360"/>
      </w:pPr>
      <w:rPr>
        <w:rFonts w:ascii="Courier New" w:hAnsi="Courier New" w:cs="Courier New" w:hint="default"/>
      </w:rPr>
    </w:lvl>
    <w:lvl w:ilvl="8" w:tplc="75AA8860" w:tentative="1">
      <w:start w:val="1"/>
      <w:numFmt w:val="bullet"/>
      <w:lvlText w:val=""/>
      <w:lvlJc w:val="left"/>
      <w:pPr>
        <w:ind w:left="7200" w:hanging="360"/>
      </w:pPr>
      <w:rPr>
        <w:rFonts w:ascii="Wingdings" w:hAnsi="Wingdings" w:hint="default"/>
      </w:rPr>
    </w:lvl>
  </w:abstractNum>
  <w:abstractNum w:abstractNumId="95" w15:restartNumberingAfterBreak="0">
    <w:nsid w:val="7AED3648"/>
    <w:multiLevelType w:val="multilevel"/>
    <w:tmpl w:val="AA96D182"/>
    <w:lvl w:ilvl="0">
      <w:start w:val="1"/>
      <w:numFmt w:val="decimal"/>
      <w:lvlText w:val="%1"/>
      <w:lvlJc w:val="left"/>
      <w:pPr>
        <w:ind w:left="432" w:hanging="432"/>
      </w:pPr>
      <w:rPr>
        <w:rFonts w:asciiTheme="majorHAnsi" w:hAnsiTheme="majorHAnsi" w:hint="default"/>
      </w:rPr>
    </w:lvl>
    <w:lvl w:ilvl="1">
      <w:start w:val="1"/>
      <w:numFmt w:val="upperLetter"/>
      <w:pStyle w:val="Nadpis2a"/>
      <w:lvlText w:val="%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15:restartNumberingAfterBreak="0">
    <w:nsid w:val="7B8609CC"/>
    <w:multiLevelType w:val="multilevel"/>
    <w:tmpl w:val="09426706"/>
    <w:styleLink w:val="WWOutlineListStyl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7" w15:restartNumberingAfterBreak="0">
    <w:nsid w:val="7CBE4812"/>
    <w:multiLevelType w:val="singleLevel"/>
    <w:tmpl w:val="23C821E4"/>
    <w:name w:val="Considérant"/>
    <w:lvl w:ilvl="0">
      <w:start w:val="1"/>
      <w:numFmt w:val="decimal"/>
      <w:pStyle w:val="Considrant"/>
      <w:lvlText w:val="(%1)"/>
      <w:lvlJc w:val="left"/>
      <w:pPr>
        <w:tabs>
          <w:tab w:val="num" w:pos="709"/>
        </w:tabs>
        <w:ind w:left="709" w:hanging="709"/>
      </w:pPr>
    </w:lvl>
  </w:abstractNum>
  <w:abstractNum w:abstractNumId="98" w15:restartNumberingAfterBreak="0">
    <w:nsid w:val="7DE93192"/>
    <w:multiLevelType w:val="multilevel"/>
    <w:tmpl w:val="646C230A"/>
    <w:lvl w:ilvl="0">
      <w:start w:val="1"/>
      <w:numFmt w:val="decimal"/>
      <w:pStyle w:val="Literatura"/>
      <w:lvlText w:val="[%1]"/>
      <w:lvlJc w:val="left"/>
      <w:pPr>
        <w:tabs>
          <w:tab w:val="num" w:pos="652"/>
        </w:tabs>
        <w:ind w:left="624" w:hanging="397"/>
      </w:pPr>
      <w:rPr>
        <w:b w:val="0"/>
      </w:rPr>
    </w:lvl>
    <w:lvl w:ilvl="1">
      <w:start w:val="1"/>
      <w:numFmt w:val="lowerLetter"/>
      <w:lvlText w:val="%2."/>
      <w:lvlJc w:val="left"/>
      <w:pPr>
        <w:tabs>
          <w:tab w:val="num" w:pos="1667"/>
        </w:tabs>
        <w:ind w:left="1667" w:hanging="360"/>
      </w:pPr>
    </w:lvl>
    <w:lvl w:ilvl="2">
      <w:start w:val="1"/>
      <w:numFmt w:val="lowerRoman"/>
      <w:lvlText w:val="%3."/>
      <w:lvlJc w:val="right"/>
      <w:pPr>
        <w:tabs>
          <w:tab w:val="num" w:pos="2387"/>
        </w:tabs>
        <w:ind w:left="2387" w:hanging="180"/>
      </w:pPr>
    </w:lvl>
    <w:lvl w:ilvl="3">
      <w:start w:val="1"/>
      <w:numFmt w:val="decimal"/>
      <w:lvlText w:val="%4."/>
      <w:lvlJc w:val="left"/>
      <w:pPr>
        <w:tabs>
          <w:tab w:val="num" w:pos="3107"/>
        </w:tabs>
        <w:ind w:left="3107" w:hanging="360"/>
      </w:pPr>
    </w:lvl>
    <w:lvl w:ilvl="4">
      <w:start w:val="1"/>
      <w:numFmt w:val="lowerLetter"/>
      <w:lvlText w:val="%5."/>
      <w:lvlJc w:val="left"/>
      <w:pPr>
        <w:tabs>
          <w:tab w:val="num" w:pos="3827"/>
        </w:tabs>
        <w:ind w:left="3827" w:hanging="360"/>
      </w:pPr>
    </w:lvl>
    <w:lvl w:ilvl="5">
      <w:start w:val="1"/>
      <w:numFmt w:val="lowerRoman"/>
      <w:lvlText w:val="%6."/>
      <w:lvlJc w:val="right"/>
      <w:pPr>
        <w:tabs>
          <w:tab w:val="num" w:pos="4547"/>
        </w:tabs>
        <w:ind w:left="4547" w:hanging="180"/>
      </w:pPr>
    </w:lvl>
    <w:lvl w:ilvl="6">
      <w:start w:val="1"/>
      <w:numFmt w:val="decimal"/>
      <w:lvlText w:val="%7."/>
      <w:lvlJc w:val="left"/>
      <w:pPr>
        <w:tabs>
          <w:tab w:val="num" w:pos="5267"/>
        </w:tabs>
        <w:ind w:left="5267" w:hanging="360"/>
      </w:pPr>
    </w:lvl>
    <w:lvl w:ilvl="7">
      <w:start w:val="1"/>
      <w:numFmt w:val="lowerLetter"/>
      <w:lvlText w:val="%8."/>
      <w:lvlJc w:val="left"/>
      <w:pPr>
        <w:tabs>
          <w:tab w:val="num" w:pos="5987"/>
        </w:tabs>
        <w:ind w:left="5987" w:hanging="360"/>
      </w:pPr>
    </w:lvl>
    <w:lvl w:ilvl="8">
      <w:start w:val="1"/>
      <w:numFmt w:val="lowerRoman"/>
      <w:lvlText w:val="%9."/>
      <w:lvlJc w:val="right"/>
      <w:pPr>
        <w:tabs>
          <w:tab w:val="num" w:pos="6707"/>
        </w:tabs>
        <w:ind w:left="6707" w:hanging="180"/>
      </w:pPr>
    </w:lvl>
  </w:abstractNum>
  <w:abstractNum w:abstractNumId="99" w15:restartNumberingAfterBreak="0">
    <w:nsid w:val="7E084B59"/>
    <w:multiLevelType w:val="hybridMultilevel"/>
    <w:tmpl w:val="A1E09356"/>
    <w:lvl w:ilvl="0" w:tplc="2D14A52C">
      <w:start w:val="1"/>
      <w:numFmt w:val="bullet"/>
      <w:pStyle w:val="neslovanseznam1"/>
      <w:lvlText w:val=""/>
      <w:lvlJc w:val="left"/>
      <w:pPr>
        <w:tabs>
          <w:tab w:val="num" w:pos="360"/>
        </w:tabs>
        <w:ind w:left="360" w:hanging="360"/>
      </w:pPr>
      <w:rPr>
        <w:rFonts w:ascii="Symbol" w:hAnsi="Symbol" w:hint="default"/>
        <w:color w:val="auto"/>
      </w:rPr>
    </w:lvl>
    <w:lvl w:ilvl="1" w:tplc="2F6A7114" w:tentative="1">
      <w:start w:val="1"/>
      <w:numFmt w:val="lowerLetter"/>
      <w:lvlText w:val="%2."/>
      <w:lvlJc w:val="left"/>
      <w:pPr>
        <w:tabs>
          <w:tab w:val="num" w:pos="1440"/>
        </w:tabs>
        <w:ind w:left="1440" w:hanging="360"/>
      </w:pPr>
    </w:lvl>
    <w:lvl w:ilvl="2" w:tplc="A732D5BA" w:tentative="1">
      <w:start w:val="1"/>
      <w:numFmt w:val="lowerRoman"/>
      <w:lvlText w:val="%3."/>
      <w:lvlJc w:val="right"/>
      <w:pPr>
        <w:tabs>
          <w:tab w:val="num" w:pos="2160"/>
        </w:tabs>
        <w:ind w:left="2160" w:hanging="180"/>
      </w:pPr>
    </w:lvl>
    <w:lvl w:ilvl="3" w:tplc="F38494A2" w:tentative="1">
      <w:start w:val="1"/>
      <w:numFmt w:val="decimal"/>
      <w:lvlText w:val="%4."/>
      <w:lvlJc w:val="left"/>
      <w:pPr>
        <w:tabs>
          <w:tab w:val="num" w:pos="2880"/>
        </w:tabs>
        <w:ind w:left="2880" w:hanging="360"/>
      </w:pPr>
    </w:lvl>
    <w:lvl w:ilvl="4" w:tplc="B7549168" w:tentative="1">
      <w:start w:val="1"/>
      <w:numFmt w:val="lowerLetter"/>
      <w:lvlText w:val="%5."/>
      <w:lvlJc w:val="left"/>
      <w:pPr>
        <w:tabs>
          <w:tab w:val="num" w:pos="3600"/>
        </w:tabs>
        <w:ind w:left="3600" w:hanging="360"/>
      </w:pPr>
    </w:lvl>
    <w:lvl w:ilvl="5" w:tplc="D2C6ADAA" w:tentative="1">
      <w:start w:val="1"/>
      <w:numFmt w:val="lowerRoman"/>
      <w:lvlText w:val="%6."/>
      <w:lvlJc w:val="right"/>
      <w:pPr>
        <w:tabs>
          <w:tab w:val="num" w:pos="4320"/>
        </w:tabs>
        <w:ind w:left="4320" w:hanging="180"/>
      </w:pPr>
    </w:lvl>
    <w:lvl w:ilvl="6" w:tplc="0706B758" w:tentative="1">
      <w:start w:val="1"/>
      <w:numFmt w:val="decimal"/>
      <w:lvlText w:val="%7."/>
      <w:lvlJc w:val="left"/>
      <w:pPr>
        <w:tabs>
          <w:tab w:val="num" w:pos="5040"/>
        </w:tabs>
        <w:ind w:left="5040" w:hanging="360"/>
      </w:pPr>
    </w:lvl>
    <w:lvl w:ilvl="7" w:tplc="39887AA6" w:tentative="1">
      <w:start w:val="1"/>
      <w:numFmt w:val="lowerLetter"/>
      <w:lvlText w:val="%8."/>
      <w:lvlJc w:val="left"/>
      <w:pPr>
        <w:tabs>
          <w:tab w:val="num" w:pos="5760"/>
        </w:tabs>
        <w:ind w:left="5760" w:hanging="360"/>
      </w:pPr>
    </w:lvl>
    <w:lvl w:ilvl="8" w:tplc="ABE8523A" w:tentative="1">
      <w:start w:val="1"/>
      <w:numFmt w:val="lowerRoman"/>
      <w:lvlText w:val="%9."/>
      <w:lvlJc w:val="right"/>
      <w:pPr>
        <w:tabs>
          <w:tab w:val="num" w:pos="6480"/>
        </w:tabs>
        <w:ind w:left="6480" w:hanging="180"/>
      </w:pPr>
    </w:lvl>
  </w:abstractNum>
  <w:abstractNum w:abstractNumId="100" w15:restartNumberingAfterBreak="0">
    <w:nsid w:val="7FF954A1"/>
    <w:multiLevelType w:val="multilevel"/>
    <w:tmpl w:val="CE3AFBC8"/>
    <w:lvl w:ilvl="0">
      <w:start w:val="1"/>
      <w:numFmt w:val="decimal"/>
      <w:lvlText w:val="%1"/>
      <w:lvlJc w:val="left"/>
      <w:pPr>
        <w:tabs>
          <w:tab w:val="num" w:pos="360"/>
        </w:tabs>
        <w:ind w:left="360" w:hanging="360"/>
      </w:pPr>
      <w:rPr>
        <w:rFonts w:hint="default"/>
      </w:rPr>
    </w:lvl>
    <w:lvl w:ilvl="1">
      <w:start w:val="1"/>
      <w:numFmt w:val="decimal"/>
      <w:pStyle w:val="Nadpis-11"/>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9"/>
  </w:num>
  <w:num w:numId="2">
    <w:abstractNumId w:val="22"/>
  </w:num>
  <w:num w:numId="3">
    <w:abstractNumId w:val="85"/>
  </w:num>
  <w:num w:numId="4">
    <w:abstractNumId w:val="100"/>
  </w:num>
  <w:num w:numId="5">
    <w:abstractNumId w:val="41"/>
  </w:num>
  <w:num w:numId="6">
    <w:abstractNumId w:val="60"/>
  </w:num>
  <w:num w:numId="7">
    <w:abstractNumId w:val="24"/>
  </w:num>
  <w:num w:numId="8">
    <w:abstractNumId w:val="73"/>
  </w:num>
  <w:num w:numId="9">
    <w:abstractNumId w:val="94"/>
  </w:num>
  <w:num w:numId="10">
    <w:abstractNumId w:val="15"/>
  </w:num>
  <w:num w:numId="11">
    <w:abstractNumId w:val="53"/>
  </w:num>
  <w:num w:numId="12">
    <w:abstractNumId w:val="40"/>
  </w:num>
  <w:num w:numId="13">
    <w:abstractNumId w:val="68"/>
  </w:num>
  <w:num w:numId="14">
    <w:abstractNumId w:val="95"/>
  </w:num>
  <w:num w:numId="15">
    <w:abstractNumId w:val="49"/>
  </w:num>
  <w:num w:numId="16">
    <w:abstractNumId w:val="3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9"/>
  </w:num>
  <w:num w:numId="18">
    <w:abstractNumId w:val="18"/>
  </w:num>
  <w:num w:numId="19">
    <w:abstractNumId w:val="45"/>
  </w:num>
  <w:num w:numId="20">
    <w:abstractNumId w:val="50"/>
  </w:num>
  <w:num w:numId="21">
    <w:abstractNumId w:val="76"/>
  </w:num>
  <w:num w:numId="22">
    <w:abstractNumId w:val="61"/>
  </w:num>
  <w:num w:numId="23">
    <w:abstractNumId w:val="54"/>
  </w:num>
  <w:num w:numId="24">
    <w:abstractNumId w:val="13"/>
  </w:num>
  <w:num w:numId="25">
    <w:abstractNumId w:val="3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7"/>
  </w:num>
  <w:num w:numId="27">
    <w:abstractNumId w:val="6"/>
  </w:num>
  <w:num w:numId="28">
    <w:abstractNumId w:val="0"/>
  </w:num>
  <w:num w:numId="29">
    <w:abstractNumId w:val="89"/>
  </w:num>
  <w:num w:numId="30">
    <w:abstractNumId w:val="1"/>
  </w:num>
  <w:num w:numId="31">
    <w:abstractNumId w:val="51"/>
  </w:num>
  <w:num w:numId="3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6"/>
  </w:num>
  <w:num w:numId="34">
    <w:abstractNumId w:val="7"/>
  </w:num>
  <w:num w:numId="35">
    <w:abstractNumId w:val="9"/>
  </w:num>
  <w:num w:numId="36">
    <w:abstractNumId w:val="39"/>
  </w:num>
  <w:num w:numId="37">
    <w:abstractNumId w:val="69"/>
  </w:num>
  <w:num w:numId="38">
    <w:abstractNumId w:val="47"/>
  </w:num>
  <w:num w:numId="39">
    <w:abstractNumId w:val="83"/>
  </w:num>
  <w:num w:numId="40">
    <w:abstractNumId w:val="36"/>
  </w:num>
  <w:num w:numId="41">
    <w:abstractNumId w:val="48"/>
  </w:num>
  <w:num w:numId="42">
    <w:abstractNumId w:val="29"/>
  </w:num>
  <w:num w:numId="43">
    <w:abstractNumId w:val="23"/>
  </w:num>
  <w:num w:numId="44">
    <w:abstractNumId w:val="52"/>
  </w:num>
  <w:num w:numId="45">
    <w:abstractNumId w:val="35"/>
  </w:num>
  <w:num w:numId="46">
    <w:abstractNumId w:val="63"/>
  </w:num>
  <w:num w:numId="47">
    <w:abstractNumId w:val="97"/>
  </w:num>
  <w:num w:numId="48">
    <w:abstractNumId w:val="4"/>
  </w:num>
  <w:num w:numId="49">
    <w:abstractNumId w:val="3"/>
  </w:num>
  <w:num w:numId="50">
    <w:abstractNumId w:val="26"/>
  </w:num>
  <w:num w:numId="51">
    <w:abstractNumId w:val="93"/>
  </w:num>
  <w:num w:numId="52">
    <w:abstractNumId w:val="91"/>
  </w:num>
  <w:num w:numId="53">
    <w:abstractNumId w:val="17"/>
  </w:num>
  <w:num w:numId="54">
    <w:abstractNumId w:val="80"/>
  </w:num>
  <w:num w:numId="55">
    <w:abstractNumId w:val="43"/>
  </w:num>
  <w:num w:numId="56">
    <w:abstractNumId w:val="19"/>
  </w:num>
  <w:num w:numId="57">
    <w:abstractNumId w:val="77"/>
  </w:num>
  <w:num w:numId="58">
    <w:abstractNumId w:val="82"/>
  </w:num>
  <w:num w:numId="59">
    <w:abstractNumId w:val="78"/>
  </w:num>
  <w:num w:numId="60">
    <w:abstractNumId w:val="88"/>
  </w:num>
  <w:num w:numId="61">
    <w:abstractNumId w:val="31"/>
  </w:num>
  <w:num w:numId="62">
    <w:abstractNumId w:val="56"/>
  </w:num>
  <w:num w:numId="63">
    <w:abstractNumId w:val="42"/>
  </w:num>
  <w:num w:numId="64">
    <w:abstractNumId w:val="5"/>
  </w:num>
  <w:num w:numId="65">
    <w:abstractNumId w:val="20"/>
  </w:num>
  <w:num w:numId="66">
    <w:abstractNumId w:val="59"/>
  </w:num>
  <w:num w:numId="67">
    <w:abstractNumId w:val="65"/>
  </w:num>
  <w:num w:numId="68">
    <w:abstractNumId w:val="25"/>
  </w:num>
  <w:num w:numId="69">
    <w:abstractNumId w:val="55"/>
  </w:num>
  <w:num w:numId="70">
    <w:abstractNumId w:val="72"/>
  </w:num>
  <w:num w:numId="71">
    <w:abstractNumId w:val="12"/>
  </w:num>
  <w:num w:numId="72">
    <w:abstractNumId w:val="79"/>
  </w:num>
  <w:num w:numId="73">
    <w:abstractNumId w:val="81"/>
  </w:num>
  <w:num w:numId="74">
    <w:abstractNumId w:val="30"/>
  </w:num>
  <w:num w:numId="75">
    <w:abstractNumId w:val="62"/>
  </w:num>
  <w:num w:numId="76">
    <w:abstractNumId w:val="34"/>
  </w:num>
  <w:num w:numId="77">
    <w:abstractNumId w:val="38"/>
  </w:num>
  <w:num w:numId="78">
    <w:abstractNumId w:val="44"/>
  </w:num>
  <w:num w:numId="79">
    <w:abstractNumId w:val="74"/>
  </w:num>
  <w:num w:numId="80">
    <w:abstractNumId w:val="70"/>
  </w:num>
  <w:num w:numId="81">
    <w:abstractNumId w:val="11"/>
  </w:num>
  <w:num w:numId="82">
    <w:abstractNumId w:val="21"/>
  </w:num>
  <w:num w:numId="83">
    <w:abstractNumId w:val="92"/>
  </w:num>
  <w:num w:numId="84">
    <w:abstractNumId w:val="33"/>
  </w:num>
  <w:num w:numId="85">
    <w:abstractNumId w:val="46"/>
  </w:num>
  <w:num w:numId="86">
    <w:abstractNumId w:val="14"/>
  </w:num>
  <w:num w:numId="87">
    <w:abstractNumId w:val="84"/>
  </w:num>
  <w:num w:numId="88">
    <w:abstractNumId w:val="90"/>
  </w:num>
  <w:num w:numId="89">
    <w:abstractNumId w:val="27"/>
  </w:num>
  <w:num w:numId="90">
    <w:abstractNumId w:val="71"/>
  </w:num>
  <w:num w:numId="91">
    <w:abstractNumId w:val="16"/>
  </w:num>
  <w:num w:numId="92">
    <w:abstractNumId w:val="32"/>
  </w:num>
  <w:num w:numId="93">
    <w:abstractNumId w:val="75"/>
  </w:num>
  <w:num w:numId="94">
    <w:abstractNumId w:val="64"/>
  </w:num>
  <w:num w:numId="95">
    <w:abstractNumId w:val="8"/>
  </w:num>
  <w:num w:numId="96">
    <w:abstractNumId w:val="86"/>
  </w:num>
  <w:num w:numId="97">
    <w:abstractNumId w:val="28"/>
  </w:num>
  <w:num w:numId="98">
    <w:abstractNumId w:val="10"/>
  </w:num>
  <w:num w:numId="99">
    <w:abstractNumId w:val="57"/>
  </w:num>
  <w:num w:numId="100">
    <w:abstractNumId w:val="58"/>
  </w:num>
  <w:num w:numId="101">
    <w:abstractNumId w:val="37"/>
  </w:num>
  <w:num w:numId="102">
    <w:abstractNumId w:val="25"/>
  </w:num>
  <w:num w:numId="103">
    <w:abstractNumId w:val="25"/>
  </w:num>
  <w:num w:numId="104">
    <w:abstractNumId w:val="25"/>
  </w:num>
  <w:num w:numId="105">
    <w:abstractNumId w:val="3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5"/>
  </w:num>
  <w:num w:numId="107">
    <w:abstractNumId w:val="25"/>
  </w:num>
  <w:num w:numId="108">
    <w:abstractNumId w:val="25"/>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405"/>
    <w:rsid w:val="00000082"/>
    <w:rsid w:val="000003D9"/>
    <w:rsid w:val="000003F2"/>
    <w:rsid w:val="000006EE"/>
    <w:rsid w:val="0000079A"/>
    <w:rsid w:val="00000845"/>
    <w:rsid w:val="00000992"/>
    <w:rsid w:val="000009DE"/>
    <w:rsid w:val="00001864"/>
    <w:rsid w:val="00001BD2"/>
    <w:rsid w:val="0000224A"/>
    <w:rsid w:val="000022FD"/>
    <w:rsid w:val="000023A3"/>
    <w:rsid w:val="000023BC"/>
    <w:rsid w:val="00002475"/>
    <w:rsid w:val="00002512"/>
    <w:rsid w:val="000026D0"/>
    <w:rsid w:val="0000287D"/>
    <w:rsid w:val="00002926"/>
    <w:rsid w:val="00002979"/>
    <w:rsid w:val="00002BBB"/>
    <w:rsid w:val="00002E6E"/>
    <w:rsid w:val="00002E84"/>
    <w:rsid w:val="00002E96"/>
    <w:rsid w:val="000036DD"/>
    <w:rsid w:val="0000386D"/>
    <w:rsid w:val="00003953"/>
    <w:rsid w:val="00003979"/>
    <w:rsid w:val="00003AC0"/>
    <w:rsid w:val="00003B16"/>
    <w:rsid w:val="00003C04"/>
    <w:rsid w:val="0000411E"/>
    <w:rsid w:val="0000422D"/>
    <w:rsid w:val="000046F8"/>
    <w:rsid w:val="0000477D"/>
    <w:rsid w:val="0000479D"/>
    <w:rsid w:val="000048FF"/>
    <w:rsid w:val="000049A8"/>
    <w:rsid w:val="00004A43"/>
    <w:rsid w:val="00004B32"/>
    <w:rsid w:val="00004CBE"/>
    <w:rsid w:val="00004CC4"/>
    <w:rsid w:val="00004DCF"/>
    <w:rsid w:val="0000519A"/>
    <w:rsid w:val="000052A2"/>
    <w:rsid w:val="00005572"/>
    <w:rsid w:val="00005AE8"/>
    <w:rsid w:val="00005B47"/>
    <w:rsid w:val="00005F27"/>
    <w:rsid w:val="000061A1"/>
    <w:rsid w:val="000063E0"/>
    <w:rsid w:val="0000647A"/>
    <w:rsid w:val="000066AF"/>
    <w:rsid w:val="000066CE"/>
    <w:rsid w:val="000066F6"/>
    <w:rsid w:val="00006722"/>
    <w:rsid w:val="00006A1A"/>
    <w:rsid w:val="00006E0B"/>
    <w:rsid w:val="00007188"/>
    <w:rsid w:val="000073B1"/>
    <w:rsid w:val="0000782F"/>
    <w:rsid w:val="00007F52"/>
    <w:rsid w:val="00007FBC"/>
    <w:rsid w:val="00010034"/>
    <w:rsid w:val="000100CE"/>
    <w:rsid w:val="000101A8"/>
    <w:rsid w:val="0001021A"/>
    <w:rsid w:val="00010678"/>
    <w:rsid w:val="00010DEA"/>
    <w:rsid w:val="00010E39"/>
    <w:rsid w:val="00010ED5"/>
    <w:rsid w:val="00011008"/>
    <w:rsid w:val="000111F8"/>
    <w:rsid w:val="00011368"/>
    <w:rsid w:val="0001170A"/>
    <w:rsid w:val="000118B7"/>
    <w:rsid w:val="00011C32"/>
    <w:rsid w:val="00011EE8"/>
    <w:rsid w:val="00012186"/>
    <w:rsid w:val="000121F0"/>
    <w:rsid w:val="00012257"/>
    <w:rsid w:val="0001271F"/>
    <w:rsid w:val="00012791"/>
    <w:rsid w:val="000128A0"/>
    <w:rsid w:val="00012D24"/>
    <w:rsid w:val="00012D31"/>
    <w:rsid w:val="00012E31"/>
    <w:rsid w:val="00013246"/>
    <w:rsid w:val="00013616"/>
    <w:rsid w:val="0001387D"/>
    <w:rsid w:val="000139E4"/>
    <w:rsid w:val="00013B26"/>
    <w:rsid w:val="00013F06"/>
    <w:rsid w:val="00013FEE"/>
    <w:rsid w:val="000140D2"/>
    <w:rsid w:val="000141C9"/>
    <w:rsid w:val="00014685"/>
    <w:rsid w:val="00014AF6"/>
    <w:rsid w:val="00014D16"/>
    <w:rsid w:val="00014E8A"/>
    <w:rsid w:val="00015210"/>
    <w:rsid w:val="0001525E"/>
    <w:rsid w:val="00015337"/>
    <w:rsid w:val="0001547C"/>
    <w:rsid w:val="00015495"/>
    <w:rsid w:val="00015597"/>
    <w:rsid w:val="00015713"/>
    <w:rsid w:val="00015A7F"/>
    <w:rsid w:val="00015D84"/>
    <w:rsid w:val="00015E21"/>
    <w:rsid w:val="00015F1A"/>
    <w:rsid w:val="0001605D"/>
    <w:rsid w:val="0001616A"/>
    <w:rsid w:val="00016339"/>
    <w:rsid w:val="00016392"/>
    <w:rsid w:val="000165B8"/>
    <w:rsid w:val="00016864"/>
    <w:rsid w:val="00016999"/>
    <w:rsid w:val="00017255"/>
    <w:rsid w:val="00017277"/>
    <w:rsid w:val="000172E1"/>
    <w:rsid w:val="00017355"/>
    <w:rsid w:val="0001745D"/>
    <w:rsid w:val="00017479"/>
    <w:rsid w:val="0001780D"/>
    <w:rsid w:val="00017BEC"/>
    <w:rsid w:val="00017FC8"/>
    <w:rsid w:val="000200BB"/>
    <w:rsid w:val="000202BA"/>
    <w:rsid w:val="00020385"/>
    <w:rsid w:val="000203AE"/>
    <w:rsid w:val="00020455"/>
    <w:rsid w:val="000204E7"/>
    <w:rsid w:val="000206C8"/>
    <w:rsid w:val="000207A6"/>
    <w:rsid w:val="00020819"/>
    <w:rsid w:val="00020856"/>
    <w:rsid w:val="00020C96"/>
    <w:rsid w:val="00020EE0"/>
    <w:rsid w:val="00021046"/>
    <w:rsid w:val="000210BC"/>
    <w:rsid w:val="00021481"/>
    <w:rsid w:val="000214DC"/>
    <w:rsid w:val="0002170F"/>
    <w:rsid w:val="00021B32"/>
    <w:rsid w:val="00021D77"/>
    <w:rsid w:val="00021E9F"/>
    <w:rsid w:val="00021F34"/>
    <w:rsid w:val="000220FC"/>
    <w:rsid w:val="00022184"/>
    <w:rsid w:val="000221F6"/>
    <w:rsid w:val="000222EB"/>
    <w:rsid w:val="00022374"/>
    <w:rsid w:val="00022391"/>
    <w:rsid w:val="000223F2"/>
    <w:rsid w:val="00022484"/>
    <w:rsid w:val="0002266A"/>
    <w:rsid w:val="00022672"/>
    <w:rsid w:val="000228EE"/>
    <w:rsid w:val="000229CE"/>
    <w:rsid w:val="00022C94"/>
    <w:rsid w:val="00023071"/>
    <w:rsid w:val="000230F5"/>
    <w:rsid w:val="00023120"/>
    <w:rsid w:val="000231FC"/>
    <w:rsid w:val="0002325A"/>
    <w:rsid w:val="000233B2"/>
    <w:rsid w:val="000234A3"/>
    <w:rsid w:val="000234AE"/>
    <w:rsid w:val="000234D0"/>
    <w:rsid w:val="000235E6"/>
    <w:rsid w:val="0002361E"/>
    <w:rsid w:val="00023911"/>
    <w:rsid w:val="00023A5A"/>
    <w:rsid w:val="00023ACF"/>
    <w:rsid w:val="00023BDB"/>
    <w:rsid w:val="00023D89"/>
    <w:rsid w:val="0002405F"/>
    <w:rsid w:val="000241C6"/>
    <w:rsid w:val="0002432E"/>
    <w:rsid w:val="00024377"/>
    <w:rsid w:val="000245EE"/>
    <w:rsid w:val="000247D8"/>
    <w:rsid w:val="00024D4F"/>
    <w:rsid w:val="00024D90"/>
    <w:rsid w:val="00024E55"/>
    <w:rsid w:val="00025001"/>
    <w:rsid w:val="0002506E"/>
    <w:rsid w:val="000250C8"/>
    <w:rsid w:val="00025275"/>
    <w:rsid w:val="000253D8"/>
    <w:rsid w:val="000254F1"/>
    <w:rsid w:val="0002559A"/>
    <w:rsid w:val="00025758"/>
    <w:rsid w:val="00025AA5"/>
    <w:rsid w:val="00025CD0"/>
    <w:rsid w:val="00025D6B"/>
    <w:rsid w:val="0002652E"/>
    <w:rsid w:val="00026645"/>
    <w:rsid w:val="00026A5E"/>
    <w:rsid w:val="00026B3D"/>
    <w:rsid w:val="00026F09"/>
    <w:rsid w:val="00026FAF"/>
    <w:rsid w:val="00027174"/>
    <w:rsid w:val="00027505"/>
    <w:rsid w:val="000278EC"/>
    <w:rsid w:val="00027A09"/>
    <w:rsid w:val="00027E9C"/>
    <w:rsid w:val="000303D0"/>
    <w:rsid w:val="00030715"/>
    <w:rsid w:val="0003086D"/>
    <w:rsid w:val="00030874"/>
    <w:rsid w:val="00030997"/>
    <w:rsid w:val="00030A4A"/>
    <w:rsid w:val="00030CC4"/>
    <w:rsid w:val="00030CEC"/>
    <w:rsid w:val="00030E7C"/>
    <w:rsid w:val="00030E84"/>
    <w:rsid w:val="000312A7"/>
    <w:rsid w:val="0003153E"/>
    <w:rsid w:val="00031557"/>
    <w:rsid w:val="0003188F"/>
    <w:rsid w:val="00031AA3"/>
    <w:rsid w:val="00031B35"/>
    <w:rsid w:val="00031B9A"/>
    <w:rsid w:val="00031DFC"/>
    <w:rsid w:val="00031E17"/>
    <w:rsid w:val="00032201"/>
    <w:rsid w:val="000322D0"/>
    <w:rsid w:val="00032840"/>
    <w:rsid w:val="0003298A"/>
    <w:rsid w:val="00032A5F"/>
    <w:rsid w:val="000332A8"/>
    <w:rsid w:val="000336BC"/>
    <w:rsid w:val="00033A2C"/>
    <w:rsid w:val="00033A86"/>
    <w:rsid w:val="00033C63"/>
    <w:rsid w:val="00033D75"/>
    <w:rsid w:val="00033EA4"/>
    <w:rsid w:val="00033F74"/>
    <w:rsid w:val="000344D6"/>
    <w:rsid w:val="00034527"/>
    <w:rsid w:val="000346B2"/>
    <w:rsid w:val="00034A3B"/>
    <w:rsid w:val="00034B3C"/>
    <w:rsid w:val="00034BD9"/>
    <w:rsid w:val="00034E9D"/>
    <w:rsid w:val="0003512D"/>
    <w:rsid w:val="00035636"/>
    <w:rsid w:val="00035A38"/>
    <w:rsid w:val="00035AB0"/>
    <w:rsid w:val="00035B3B"/>
    <w:rsid w:val="00035C0B"/>
    <w:rsid w:val="000362FA"/>
    <w:rsid w:val="000363AC"/>
    <w:rsid w:val="00036BA9"/>
    <w:rsid w:val="00036D8B"/>
    <w:rsid w:val="00036D9B"/>
    <w:rsid w:val="00037648"/>
    <w:rsid w:val="0003767C"/>
    <w:rsid w:val="000378A6"/>
    <w:rsid w:val="000379C3"/>
    <w:rsid w:val="000403A7"/>
    <w:rsid w:val="000406E5"/>
    <w:rsid w:val="00040DC5"/>
    <w:rsid w:val="00040F55"/>
    <w:rsid w:val="000410C9"/>
    <w:rsid w:val="0004115E"/>
    <w:rsid w:val="0004147F"/>
    <w:rsid w:val="000414A4"/>
    <w:rsid w:val="00041575"/>
    <w:rsid w:val="000419AC"/>
    <w:rsid w:val="00041A24"/>
    <w:rsid w:val="00041B6B"/>
    <w:rsid w:val="00041BD4"/>
    <w:rsid w:val="00041D2C"/>
    <w:rsid w:val="00041DDF"/>
    <w:rsid w:val="00041E6F"/>
    <w:rsid w:val="00042303"/>
    <w:rsid w:val="00042376"/>
    <w:rsid w:val="00042702"/>
    <w:rsid w:val="000428C2"/>
    <w:rsid w:val="00042BCA"/>
    <w:rsid w:val="00042C51"/>
    <w:rsid w:val="00042CC1"/>
    <w:rsid w:val="00042EEC"/>
    <w:rsid w:val="00043179"/>
    <w:rsid w:val="00043260"/>
    <w:rsid w:val="00043359"/>
    <w:rsid w:val="00043523"/>
    <w:rsid w:val="000435FB"/>
    <w:rsid w:val="00043613"/>
    <w:rsid w:val="00043B09"/>
    <w:rsid w:val="00043D33"/>
    <w:rsid w:val="00044035"/>
    <w:rsid w:val="00044369"/>
    <w:rsid w:val="000443FA"/>
    <w:rsid w:val="000445C6"/>
    <w:rsid w:val="0004479C"/>
    <w:rsid w:val="00044831"/>
    <w:rsid w:val="00044B50"/>
    <w:rsid w:val="00044C5E"/>
    <w:rsid w:val="00044D43"/>
    <w:rsid w:val="00044D91"/>
    <w:rsid w:val="00045035"/>
    <w:rsid w:val="0004506D"/>
    <w:rsid w:val="000456BB"/>
    <w:rsid w:val="0004576A"/>
    <w:rsid w:val="0004576B"/>
    <w:rsid w:val="00045929"/>
    <w:rsid w:val="00045B10"/>
    <w:rsid w:val="00045F48"/>
    <w:rsid w:val="00046299"/>
    <w:rsid w:val="000462F8"/>
    <w:rsid w:val="0004634C"/>
    <w:rsid w:val="0004645E"/>
    <w:rsid w:val="000467E4"/>
    <w:rsid w:val="000467F9"/>
    <w:rsid w:val="000469C4"/>
    <w:rsid w:val="000469DF"/>
    <w:rsid w:val="0004770E"/>
    <w:rsid w:val="00047793"/>
    <w:rsid w:val="000477E1"/>
    <w:rsid w:val="0004798F"/>
    <w:rsid w:val="00047B1A"/>
    <w:rsid w:val="00047C25"/>
    <w:rsid w:val="00047C89"/>
    <w:rsid w:val="00050001"/>
    <w:rsid w:val="0005009F"/>
    <w:rsid w:val="000501F5"/>
    <w:rsid w:val="00050349"/>
    <w:rsid w:val="00050501"/>
    <w:rsid w:val="00050665"/>
    <w:rsid w:val="000506A1"/>
    <w:rsid w:val="00050A2A"/>
    <w:rsid w:val="00050AA0"/>
    <w:rsid w:val="00050B98"/>
    <w:rsid w:val="00050C4B"/>
    <w:rsid w:val="00050E00"/>
    <w:rsid w:val="00050E1E"/>
    <w:rsid w:val="00051393"/>
    <w:rsid w:val="000519F1"/>
    <w:rsid w:val="00051CC4"/>
    <w:rsid w:val="00051D97"/>
    <w:rsid w:val="0005229E"/>
    <w:rsid w:val="000522F0"/>
    <w:rsid w:val="000523AC"/>
    <w:rsid w:val="000525CB"/>
    <w:rsid w:val="000527F4"/>
    <w:rsid w:val="0005287C"/>
    <w:rsid w:val="000528B4"/>
    <w:rsid w:val="000528B5"/>
    <w:rsid w:val="00052986"/>
    <w:rsid w:val="00052C1A"/>
    <w:rsid w:val="00052C4D"/>
    <w:rsid w:val="00052C78"/>
    <w:rsid w:val="00052EA5"/>
    <w:rsid w:val="00052FC0"/>
    <w:rsid w:val="0005367F"/>
    <w:rsid w:val="00053688"/>
    <w:rsid w:val="00053B15"/>
    <w:rsid w:val="00053B5D"/>
    <w:rsid w:val="000540C7"/>
    <w:rsid w:val="000545DF"/>
    <w:rsid w:val="00054767"/>
    <w:rsid w:val="00054780"/>
    <w:rsid w:val="00054984"/>
    <w:rsid w:val="00054B39"/>
    <w:rsid w:val="00054B4F"/>
    <w:rsid w:val="00054DC5"/>
    <w:rsid w:val="00054DF0"/>
    <w:rsid w:val="00054E30"/>
    <w:rsid w:val="00054E4E"/>
    <w:rsid w:val="00055062"/>
    <w:rsid w:val="0005514D"/>
    <w:rsid w:val="0005519D"/>
    <w:rsid w:val="00055508"/>
    <w:rsid w:val="000555AD"/>
    <w:rsid w:val="000555CF"/>
    <w:rsid w:val="00055A1A"/>
    <w:rsid w:val="00055B69"/>
    <w:rsid w:val="00055B6E"/>
    <w:rsid w:val="00055D32"/>
    <w:rsid w:val="00055DE6"/>
    <w:rsid w:val="000560CF"/>
    <w:rsid w:val="000562DF"/>
    <w:rsid w:val="00056347"/>
    <w:rsid w:val="00056573"/>
    <w:rsid w:val="000565BF"/>
    <w:rsid w:val="000565FA"/>
    <w:rsid w:val="0005670E"/>
    <w:rsid w:val="0005672C"/>
    <w:rsid w:val="000569A3"/>
    <w:rsid w:val="00056C03"/>
    <w:rsid w:val="00056CA8"/>
    <w:rsid w:val="00056CAD"/>
    <w:rsid w:val="000574A4"/>
    <w:rsid w:val="00057590"/>
    <w:rsid w:val="000575D5"/>
    <w:rsid w:val="00057868"/>
    <w:rsid w:val="000579CD"/>
    <w:rsid w:val="00057BCF"/>
    <w:rsid w:val="00057C1B"/>
    <w:rsid w:val="00057D97"/>
    <w:rsid w:val="0006009C"/>
    <w:rsid w:val="0006010D"/>
    <w:rsid w:val="00060CB6"/>
    <w:rsid w:val="00060EE3"/>
    <w:rsid w:val="00060F06"/>
    <w:rsid w:val="00061220"/>
    <w:rsid w:val="00061395"/>
    <w:rsid w:val="0006162F"/>
    <w:rsid w:val="00061647"/>
    <w:rsid w:val="00061739"/>
    <w:rsid w:val="00061870"/>
    <w:rsid w:val="000618EC"/>
    <w:rsid w:val="000619CB"/>
    <w:rsid w:val="00061C09"/>
    <w:rsid w:val="00061C13"/>
    <w:rsid w:val="00061CB1"/>
    <w:rsid w:val="00061CB4"/>
    <w:rsid w:val="00061D26"/>
    <w:rsid w:val="00061E14"/>
    <w:rsid w:val="00062261"/>
    <w:rsid w:val="00062286"/>
    <w:rsid w:val="000623F7"/>
    <w:rsid w:val="00062589"/>
    <w:rsid w:val="00062A35"/>
    <w:rsid w:val="00062F7A"/>
    <w:rsid w:val="000630B8"/>
    <w:rsid w:val="000630DD"/>
    <w:rsid w:val="000634D5"/>
    <w:rsid w:val="000635A5"/>
    <w:rsid w:val="0006377A"/>
    <w:rsid w:val="000637BD"/>
    <w:rsid w:val="000638FC"/>
    <w:rsid w:val="00063B26"/>
    <w:rsid w:val="00063B6F"/>
    <w:rsid w:val="00063C15"/>
    <w:rsid w:val="00063F7C"/>
    <w:rsid w:val="0006431F"/>
    <w:rsid w:val="000649C3"/>
    <w:rsid w:val="00064A7C"/>
    <w:rsid w:val="00064C9D"/>
    <w:rsid w:val="00065179"/>
    <w:rsid w:val="000654AE"/>
    <w:rsid w:val="00065558"/>
    <w:rsid w:val="0006588D"/>
    <w:rsid w:val="000661A9"/>
    <w:rsid w:val="00066320"/>
    <w:rsid w:val="00066537"/>
    <w:rsid w:val="00066D6C"/>
    <w:rsid w:val="00066E0D"/>
    <w:rsid w:val="00066ED3"/>
    <w:rsid w:val="00067968"/>
    <w:rsid w:val="00067A17"/>
    <w:rsid w:val="00067CD6"/>
    <w:rsid w:val="00067D9F"/>
    <w:rsid w:val="00067E3E"/>
    <w:rsid w:val="000701D1"/>
    <w:rsid w:val="00070257"/>
    <w:rsid w:val="000702A4"/>
    <w:rsid w:val="00070744"/>
    <w:rsid w:val="00070A58"/>
    <w:rsid w:val="00070AC2"/>
    <w:rsid w:val="00070AF3"/>
    <w:rsid w:val="00070C6E"/>
    <w:rsid w:val="00070CDC"/>
    <w:rsid w:val="00070E1F"/>
    <w:rsid w:val="00070F11"/>
    <w:rsid w:val="00070FB9"/>
    <w:rsid w:val="000712BE"/>
    <w:rsid w:val="0007133E"/>
    <w:rsid w:val="0007178A"/>
    <w:rsid w:val="0007180B"/>
    <w:rsid w:val="00071A5F"/>
    <w:rsid w:val="00071B11"/>
    <w:rsid w:val="00071DA7"/>
    <w:rsid w:val="00071EA4"/>
    <w:rsid w:val="00071EE4"/>
    <w:rsid w:val="00072429"/>
    <w:rsid w:val="000724D8"/>
    <w:rsid w:val="0007278D"/>
    <w:rsid w:val="00072AE1"/>
    <w:rsid w:val="00072B6B"/>
    <w:rsid w:val="00072C34"/>
    <w:rsid w:val="00072D58"/>
    <w:rsid w:val="000730D4"/>
    <w:rsid w:val="000730E5"/>
    <w:rsid w:val="000731C9"/>
    <w:rsid w:val="00073230"/>
    <w:rsid w:val="0007325B"/>
    <w:rsid w:val="000733A7"/>
    <w:rsid w:val="00073713"/>
    <w:rsid w:val="00073C1F"/>
    <w:rsid w:val="00073E96"/>
    <w:rsid w:val="00073EF3"/>
    <w:rsid w:val="000740EB"/>
    <w:rsid w:val="00074474"/>
    <w:rsid w:val="000745E0"/>
    <w:rsid w:val="00074614"/>
    <w:rsid w:val="00074668"/>
    <w:rsid w:val="00074876"/>
    <w:rsid w:val="000748B2"/>
    <w:rsid w:val="00074BB1"/>
    <w:rsid w:val="00074DC0"/>
    <w:rsid w:val="00074F29"/>
    <w:rsid w:val="00074FB0"/>
    <w:rsid w:val="000753FF"/>
    <w:rsid w:val="0007592A"/>
    <w:rsid w:val="00075977"/>
    <w:rsid w:val="000759A1"/>
    <w:rsid w:val="00075A5C"/>
    <w:rsid w:val="00075B43"/>
    <w:rsid w:val="00075B6F"/>
    <w:rsid w:val="00075E62"/>
    <w:rsid w:val="00075FE7"/>
    <w:rsid w:val="00076029"/>
    <w:rsid w:val="000761A4"/>
    <w:rsid w:val="0007666E"/>
    <w:rsid w:val="00076859"/>
    <w:rsid w:val="00076AB9"/>
    <w:rsid w:val="00076B0E"/>
    <w:rsid w:val="00076F61"/>
    <w:rsid w:val="00076F9B"/>
    <w:rsid w:val="00077150"/>
    <w:rsid w:val="000773A4"/>
    <w:rsid w:val="000773A6"/>
    <w:rsid w:val="000775C7"/>
    <w:rsid w:val="000776B9"/>
    <w:rsid w:val="000777BF"/>
    <w:rsid w:val="000777D7"/>
    <w:rsid w:val="0007786B"/>
    <w:rsid w:val="00077890"/>
    <w:rsid w:val="000779EE"/>
    <w:rsid w:val="00077A2A"/>
    <w:rsid w:val="00077A36"/>
    <w:rsid w:val="00077AFF"/>
    <w:rsid w:val="00077C38"/>
    <w:rsid w:val="00077D02"/>
    <w:rsid w:val="00077FDC"/>
    <w:rsid w:val="000802B7"/>
    <w:rsid w:val="000802E8"/>
    <w:rsid w:val="0008064D"/>
    <w:rsid w:val="0008069D"/>
    <w:rsid w:val="000807F3"/>
    <w:rsid w:val="00080A2A"/>
    <w:rsid w:val="00080B65"/>
    <w:rsid w:val="00080BFB"/>
    <w:rsid w:val="00080D0D"/>
    <w:rsid w:val="00080DC3"/>
    <w:rsid w:val="00080F72"/>
    <w:rsid w:val="0008114F"/>
    <w:rsid w:val="00081595"/>
    <w:rsid w:val="0008164B"/>
    <w:rsid w:val="00082168"/>
    <w:rsid w:val="00082188"/>
    <w:rsid w:val="000822D7"/>
    <w:rsid w:val="000822FC"/>
    <w:rsid w:val="0008243B"/>
    <w:rsid w:val="000824E4"/>
    <w:rsid w:val="00082863"/>
    <w:rsid w:val="00083076"/>
    <w:rsid w:val="00083194"/>
    <w:rsid w:val="00083463"/>
    <w:rsid w:val="00083582"/>
    <w:rsid w:val="00083A52"/>
    <w:rsid w:val="00083CF6"/>
    <w:rsid w:val="00083D34"/>
    <w:rsid w:val="00083E58"/>
    <w:rsid w:val="0008400A"/>
    <w:rsid w:val="00084265"/>
    <w:rsid w:val="00084556"/>
    <w:rsid w:val="000845B0"/>
    <w:rsid w:val="00084772"/>
    <w:rsid w:val="00084CDE"/>
    <w:rsid w:val="00084DEC"/>
    <w:rsid w:val="0008505F"/>
    <w:rsid w:val="000855AB"/>
    <w:rsid w:val="00085680"/>
    <w:rsid w:val="000856C3"/>
    <w:rsid w:val="00085A85"/>
    <w:rsid w:val="00085CE1"/>
    <w:rsid w:val="00085D7C"/>
    <w:rsid w:val="00086062"/>
    <w:rsid w:val="000863CA"/>
    <w:rsid w:val="00086456"/>
    <w:rsid w:val="00086487"/>
    <w:rsid w:val="000865D6"/>
    <w:rsid w:val="00086641"/>
    <w:rsid w:val="000866E3"/>
    <w:rsid w:val="000869BF"/>
    <w:rsid w:val="00086A53"/>
    <w:rsid w:val="00086AF3"/>
    <w:rsid w:val="00086B70"/>
    <w:rsid w:val="00086C05"/>
    <w:rsid w:val="00086E1C"/>
    <w:rsid w:val="00086E5C"/>
    <w:rsid w:val="00087003"/>
    <w:rsid w:val="00087279"/>
    <w:rsid w:val="00087735"/>
    <w:rsid w:val="00087751"/>
    <w:rsid w:val="0008787C"/>
    <w:rsid w:val="00087A33"/>
    <w:rsid w:val="00087AF2"/>
    <w:rsid w:val="00087D65"/>
    <w:rsid w:val="00087F01"/>
    <w:rsid w:val="0009011E"/>
    <w:rsid w:val="00090171"/>
    <w:rsid w:val="000903F9"/>
    <w:rsid w:val="000906BD"/>
    <w:rsid w:val="00090765"/>
    <w:rsid w:val="00090B2E"/>
    <w:rsid w:val="00090B9F"/>
    <w:rsid w:val="00090D25"/>
    <w:rsid w:val="00090DF8"/>
    <w:rsid w:val="00090EA0"/>
    <w:rsid w:val="00090EE9"/>
    <w:rsid w:val="00090EEE"/>
    <w:rsid w:val="000911A3"/>
    <w:rsid w:val="000915CB"/>
    <w:rsid w:val="000916E9"/>
    <w:rsid w:val="00091883"/>
    <w:rsid w:val="000918B3"/>
    <w:rsid w:val="000918F9"/>
    <w:rsid w:val="0009197D"/>
    <w:rsid w:val="00091E9B"/>
    <w:rsid w:val="00091FDC"/>
    <w:rsid w:val="0009234F"/>
    <w:rsid w:val="0009241C"/>
    <w:rsid w:val="0009260E"/>
    <w:rsid w:val="00092662"/>
    <w:rsid w:val="000926A0"/>
    <w:rsid w:val="00092796"/>
    <w:rsid w:val="00092A99"/>
    <w:rsid w:val="00092C20"/>
    <w:rsid w:val="00092CEA"/>
    <w:rsid w:val="00092DD0"/>
    <w:rsid w:val="0009311B"/>
    <w:rsid w:val="000931DB"/>
    <w:rsid w:val="000933AA"/>
    <w:rsid w:val="0009348A"/>
    <w:rsid w:val="00093542"/>
    <w:rsid w:val="000935C9"/>
    <w:rsid w:val="0009370C"/>
    <w:rsid w:val="00093C24"/>
    <w:rsid w:val="00093EC2"/>
    <w:rsid w:val="00093F3D"/>
    <w:rsid w:val="00094120"/>
    <w:rsid w:val="0009426E"/>
    <w:rsid w:val="000945ED"/>
    <w:rsid w:val="00094A74"/>
    <w:rsid w:val="00094E05"/>
    <w:rsid w:val="0009550C"/>
    <w:rsid w:val="000956D9"/>
    <w:rsid w:val="000956FA"/>
    <w:rsid w:val="00095A64"/>
    <w:rsid w:val="00095A8E"/>
    <w:rsid w:val="00095AC6"/>
    <w:rsid w:val="000961A5"/>
    <w:rsid w:val="00096529"/>
    <w:rsid w:val="00096627"/>
    <w:rsid w:val="00096A17"/>
    <w:rsid w:val="00096C0C"/>
    <w:rsid w:val="00096E37"/>
    <w:rsid w:val="00096EE3"/>
    <w:rsid w:val="0009736B"/>
    <w:rsid w:val="0009736F"/>
    <w:rsid w:val="0009760C"/>
    <w:rsid w:val="0009771D"/>
    <w:rsid w:val="000978C0"/>
    <w:rsid w:val="00097955"/>
    <w:rsid w:val="00097ACD"/>
    <w:rsid w:val="00097BD0"/>
    <w:rsid w:val="00097BE8"/>
    <w:rsid w:val="000A0001"/>
    <w:rsid w:val="000A0009"/>
    <w:rsid w:val="000A004C"/>
    <w:rsid w:val="000A010E"/>
    <w:rsid w:val="000A036B"/>
    <w:rsid w:val="000A0674"/>
    <w:rsid w:val="000A06CF"/>
    <w:rsid w:val="000A076B"/>
    <w:rsid w:val="000A07CE"/>
    <w:rsid w:val="000A0B9F"/>
    <w:rsid w:val="000A0D2A"/>
    <w:rsid w:val="000A0F84"/>
    <w:rsid w:val="000A10A8"/>
    <w:rsid w:val="000A16A1"/>
    <w:rsid w:val="000A16AD"/>
    <w:rsid w:val="000A1823"/>
    <w:rsid w:val="000A1ABE"/>
    <w:rsid w:val="000A1D88"/>
    <w:rsid w:val="000A1F85"/>
    <w:rsid w:val="000A2496"/>
    <w:rsid w:val="000A28A6"/>
    <w:rsid w:val="000A2918"/>
    <w:rsid w:val="000A2A76"/>
    <w:rsid w:val="000A2ACB"/>
    <w:rsid w:val="000A2B2B"/>
    <w:rsid w:val="000A2F0D"/>
    <w:rsid w:val="000A2F9B"/>
    <w:rsid w:val="000A30AF"/>
    <w:rsid w:val="000A33B8"/>
    <w:rsid w:val="000A3462"/>
    <w:rsid w:val="000A3718"/>
    <w:rsid w:val="000A37BB"/>
    <w:rsid w:val="000A37DC"/>
    <w:rsid w:val="000A387E"/>
    <w:rsid w:val="000A3A47"/>
    <w:rsid w:val="000A3E92"/>
    <w:rsid w:val="000A3F21"/>
    <w:rsid w:val="000A4055"/>
    <w:rsid w:val="000A40B2"/>
    <w:rsid w:val="000A42A6"/>
    <w:rsid w:val="000A46A1"/>
    <w:rsid w:val="000A499D"/>
    <w:rsid w:val="000A4B12"/>
    <w:rsid w:val="000A5037"/>
    <w:rsid w:val="000A524A"/>
    <w:rsid w:val="000A5433"/>
    <w:rsid w:val="000A56CF"/>
    <w:rsid w:val="000A590C"/>
    <w:rsid w:val="000A594D"/>
    <w:rsid w:val="000A5965"/>
    <w:rsid w:val="000A5C0B"/>
    <w:rsid w:val="000A5CF7"/>
    <w:rsid w:val="000A612D"/>
    <w:rsid w:val="000A633A"/>
    <w:rsid w:val="000A637D"/>
    <w:rsid w:val="000A6398"/>
    <w:rsid w:val="000A646F"/>
    <w:rsid w:val="000A64B6"/>
    <w:rsid w:val="000A65A2"/>
    <w:rsid w:val="000A6814"/>
    <w:rsid w:val="000A6E5C"/>
    <w:rsid w:val="000A7118"/>
    <w:rsid w:val="000A71EE"/>
    <w:rsid w:val="000A7331"/>
    <w:rsid w:val="000A785E"/>
    <w:rsid w:val="000A7BBC"/>
    <w:rsid w:val="000A7EBE"/>
    <w:rsid w:val="000A7F56"/>
    <w:rsid w:val="000A7FCC"/>
    <w:rsid w:val="000B0061"/>
    <w:rsid w:val="000B02BF"/>
    <w:rsid w:val="000B0327"/>
    <w:rsid w:val="000B0461"/>
    <w:rsid w:val="000B068E"/>
    <w:rsid w:val="000B06BD"/>
    <w:rsid w:val="000B070A"/>
    <w:rsid w:val="000B0945"/>
    <w:rsid w:val="000B09F7"/>
    <w:rsid w:val="000B0C7B"/>
    <w:rsid w:val="000B0DC1"/>
    <w:rsid w:val="000B135A"/>
    <w:rsid w:val="000B1430"/>
    <w:rsid w:val="000B159C"/>
    <w:rsid w:val="000B19D8"/>
    <w:rsid w:val="000B1BD2"/>
    <w:rsid w:val="000B1EC8"/>
    <w:rsid w:val="000B208A"/>
    <w:rsid w:val="000B210D"/>
    <w:rsid w:val="000B2309"/>
    <w:rsid w:val="000B25BB"/>
    <w:rsid w:val="000B28F5"/>
    <w:rsid w:val="000B2C94"/>
    <w:rsid w:val="000B3214"/>
    <w:rsid w:val="000B33F6"/>
    <w:rsid w:val="000B3597"/>
    <w:rsid w:val="000B35A1"/>
    <w:rsid w:val="000B3610"/>
    <w:rsid w:val="000B3792"/>
    <w:rsid w:val="000B3835"/>
    <w:rsid w:val="000B3937"/>
    <w:rsid w:val="000B399F"/>
    <w:rsid w:val="000B3AA8"/>
    <w:rsid w:val="000B3CE9"/>
    <w:rsid w:val="000B3E2F"/>
    <w:rsid w:val="000B408B"/>
    <w:rsid w:val="000B4367"/>
    <w:rsid w:val="000B453F"/>
    <w:rsid w:val="000B461A"/>
    <w:rsid w:val="000B49A6"/>
    <w:rsid w:val="000B4A13"/>
    <w:rsid w:val="000B4CFB"/>
    <w:rsid w:val="000B4D0D"/>
    <w:rsid w:val="000B4F34"/>
    <w:rsid w:val="000B5151"/>
    <w:rsid w:val="000B546B"/>
    <w:rsid w:val="000B5822"/>
    <w:rsid w:val="000B5837"/>
    <w:rsid w:val="000B5A03"/>
    <w:rsid w:val="000B5B18"/>
    <w:rsid w:val="000B5D3A"/>
    <w:rsid w:val="000B5D64"/>
    <w:rsid w:val="000B61C0"/>
    <w:rsid w:val="000B627A"/>
    <w:rsid w:val="000B633C"/>
    <w:rsid w:val="000B63CA"/>
    <w:rsid w:val="000B6403"/>
    <w:rsid w:val="000B6455"/>
    <w:rsid w:val="000B64D9"/>
    <w:rsid w:val="000B6527"/>
    <w:rsid w:val="000B67E8"/>
    <w:rsid w:val="000B68B3"/>
    <w:rsid w:val="000B6B70"/>
    <w:rsid w:val="000B6C61"/>
    <w:rsid w:val="000B709C"/>
    <w:rsid w:val="000B720C"/>
    <w:rsid w:val="000B72B0"/>
    <w:rsid w:val="000B7FE7"/>
    <w:rsid w:val="000C00BF"/>
    <w:rsid w:val="000C016D"/>
    <w:rsid w:val="000C034B"/>
    <w:rsid w:val="000C03F3"/>
    <w:rsid w:val="000C0701"/>
    <w:rsid w:val="000C09D2"/>
    <w:rsid w:val="000C0A7E"/>
    <w:rsid w:val="000C0AAE"/>
    <w:rsid w:val="000C0DF9"/>
    <w:rsid w:val="000C101E"/>
    <w:rsid w:val="000C13AD"/>
    <w:rsid w:val="000C178B"/>
    <w:rsid w:val="000C17C0"/>
    <w:rsid w:val="000C18A8"/>
    <w:rsid w:val="000C1F0E"/>
    <w:rsid w:val="000C2018"/>
    <w:rsid w:val="000C20A6"/>
    <w:rsid w:val="000C20FF"/>
    <w:rsid w:val="000C2109"/>
    <w:rsid w:val="000C234B"/>
    <w:rsid w:val="000C24D9"/>
    <w:rsid w:val="000C28C0"/>
    <w:rsid w:val="000C2A96"/>
    <w:rsid w:val="000C2B31"/>
    <w:rsid w:val="000C2BE2"/>
    <w:rsid w:val="000C2C55"/>
    <w:rsid w:val="000C2C5B"/>
    <w:rsid w:val="000C2D6B"/>
    <w:rsid w:val="000C2E83"/>
    <w:rsid w:val="000C2F69"/>
    <w:rsid w:val="000C3147"/>
    <w:rsid w:val="000C3203"/>
    <w:rsid w:val="000C3498"/>
    <w:rsid w:val="000C35B4"/>
    <w:rsid w:val="000C36EF"/>
    <w:rsid w:val="000C380A"/>
    <w:rsid w:val="000C3904"/>
    <w:rsid w:val="000C3B90"/>
    <w:rsid w:val="000C4151"/>
    <w:rsid w:val="000C4965"/>
    <w:rsid w:val="000C4C86"/>
    <w:rsid w:val="000C4CEF"/>
    <w:rsid w:val="000C4EE9"/>
    <w:rsid w:val="000C4FD3"/>
    <w:rsid w:val="000C519D"/>
    <w:rsid w:val="000C5264"/>
    <w:rsid w:val="000C5455"/>
    <w:rsid w:val="000C547A"/>
    <w:rsid w:val="000C548A"/>
    <w:rsid w:val="000C5520"/>
    <w:rsid w:val="000C55D7"/>
    <w:rsid w:val="000C5607"/>
    <w:rsid w:val="000C56BD"/>
    <w:rsid w:val="000C5770"/>
    <w:rsid w:val="000C58DB"/>
    <w:rsid w:val="000C5A61"/>
    <w:rsid w:val="000C5BB4"/>
    <w:rsid w:val="000C5C07"/>
    <w:rsid w:val="000C5D5D"/>
    <w:rsid w:val="000C5D86"/>
    <w:rsid w:val="000C62C9"/>
    <w:rsid w:val="000C65F2"/>
    <w:rsid w:val="000C6885"/>
    <w:rsid w:val="000C68C3"/>
    <w:rsid w:val="000C69D5"/>
    <w:rsid w:val="000C6A16"/>
    <w:rsid w:val="000C6A86"/>
    <w:rsid w:val="000C6AC2"/>
    <w:rsid w:val="000C7019"/>
    <w:rsid w:val="000C7843"/>
    <w:rsid w:val="000C7AC9"/>
    <w:rsid w:val="000C7AD2"/>
    <w:rsid w:val="000C7D06"/>
    <w:rsid w:val="000C7D6D"/>
    <w:rsid w:val="000D01B7"/>
    <w:rsid w:val="000D020A"/>
    <w:rsid w:val="000D021D"/>
    <w:rsid w:val="000D0575"/>
    <w:rsid w:val="000D0693"/>
    <w:rsid w:val="000D0C02"/>
    <w:rsid w:val="000D0C32"/>
    <w:rsid w:val="000D0D40"/>
    <w:rsid w:val="000D0E0E"/>
    <w:rsid w:val="000D0ED3"/>
    <w:rsid w:val="000D0EF4"/>
    <w:rsid w:val="000D0F50"/>
    <w:rsid w:val="000D1102"/>
    <w:rsid w:val="000D113D"/>
    <w:rsid w:val="000D1159"/>
    <w:rsid w:val="000D1174"/>
    <w:rsid w:val="000D139A"/>
    <w:rsid w:val="000D1431"/>
    <w:rsid w:val="000D1535"/>
    <w:rsid w:val="000D15D7"/>
    <w:rsid w:val="000D17AE"/>
    <w:rsid w:val="000D1BE9"/>
    <w:rsid w:val="000D1E11"/>
    <w:rsid w:val="000D1EDB"/>
    <w:rsid w:val="000D2379"/>
    <w:rsid w:val="000D254F"/>
    <w:rsid w:val="000D2600"/>
    <w:rsid w:val="000D2AE2"/>
    <w:rsid w:val="000D2EBA"/>
    <w:rsid w:val="000D30C4"/>
    <w:rsid w:val="000D3654"/>
    <w:rsid w:val="000D3A0F"/>
    <w:rsid w:val="000D3B3B"/>
    <w:rsid w:val="000D3BCB"/>
    <w:rsid w:val="000D3EFF"/>
    <w:rsid w:val="000D3F0C"/>
    <w:rsid w:val="000D4154"/>
    <w:rsid w:val="000D4199"/>
    <w:rsid w:val="000D41DA"/>
    <w:rsid w:val="000D45A9"/>
    <w:rsid w:val="000D46B4"/>
    <w:rsid w:val="000D473E"/>
    <w:rsid w:val="000D48A5"/>
    <w:rsid w:val="000D4A60"/>
    <w:rsid w:val="000D4CCE"/>
    <w:rsid w:val="000D4DC3"/>
    <w:rsid w:val="000D51B0"/>
    <w:rsid w:val="000D527C"/>
    <w:rsid w:val="000D5397"/>
    <w:rsid w:val="000D5708"/>
    <w:rsid w:val="000D5990"/>
    <w:rsid w:val="000D5BE0"/>
    <w:rsid w:val="000D5D75"/>
    <w:rsid w:val="000D5DE3"/>
    <w:rsid w:val="000D6070"/>
    <w:rsid w:val="000D60D6"/>
    <w:rsid w:val="000D6201"/>
    <w:rsid w:val="000D63D8"/>
    <w:rsid w:val="000D63ED"/>
    <w:rsid w:val="000D6E2D"/>
    <w:rsid w:val="000D6EF0"/>
    <w:rsid w:val="000D755C"/>
    <w:rsid w:val="000D783E"/>
    <w:rsid w:val="000D7D99"/>
    <w:rsid w:val="000E00E2"/>
    <w:rsid w:val="000E00EF"/>
    <w:rsid w:val="000E0113"/>
    <w:rsid w:val="000E01A9"/>
    <w:rsid w:val="000E031C"/>
    <w:rsid w:val="000E0459"/>
    <w:rsid w:val="000E06D0"/>
    <w:rsid w:val="000E090A"/>
    <w:rsid w:val="000E0915"/>
    <w:rsid w:val="000E0A68"/>
    <w:rsid w:val="000E0AA9"/>
    <w:rsid w:val="000E0EE6"/>
    <w:rsid w:val="000E1360"/>
    <w:rsid w:val="000E14B3"/>
    <w:rsid w:val="000E1579"/>
    <w:rsid w:val="000E1595"/>
    <w:rsid w:val="000E1EC3"/>
    <w:rsid w:val="000E21F6"/>
    <w:rsid w:val="000E28B7"/>
    <w:rsid w:val="000E2A8D"/>
    <w:rsid w:val="000E2E10"/>
    <w:rsid w:val="000E2FEE"/>
    <w:rsid w:val="000E31E3"/>
    <w:rsid w:val="000E35E9"/>
    <w:rsid w:val="000E37B5"/>
    <w:rsid w:val="000E39A9"/>
    <w:rsid w:val="000E3A87"/>
    <w:rsid w:val="000E3AE5"/>
    <w:rsid w:val="000E41C3"/>
    <w:rsid w:val="000E42EA"/>
    <w:rsid w:val="000E44AB"/>
    <w:rsid w:val="000E45AE"/>
    <w:rsid w:val="000E4719"/>
    <w:rsid w:val="000E472E"/>
    <w:rsid w:val="000E48E2"/>
    <w:rsid w:val="000E4980"/>
    <w:rsid w:val="000E4AB4"/>
    <w:rsid w:val="000E4BA0"/>
    <w:rsid w:val="000E4D0D"/>
    <w:rsid w:val="000E4E3C"/>
    <w:rsid w:val="000E4F51"/>
    <w:rsid w:val="000E5177"/>
    <w:rsid w:val="000E51FB"/>
    <w:rsid w:val="000E5416"/>
    <w:rsid w:val="000E5436"/>
    <w:rsid w:val="000E54F4"/>
    <w:rsid w:val="000E561A"/>
    <w:rsid w:val="000E56A2"/>
    <w:rsid w:val="000E5812"/>
    <w:rsid w:val="000E5885"/>
    <w:rsid w:val="000E5924"/>
    <w:rsid w:val="000E5AC0"/>
    <w:rsid w:val="000E6202"/>
    <w:rsid w:val="000E6276"/>
    <w:rsid w:val="000E635F"/>
    <w:rsid w:val="000E645F"/>
    <w:rsid w:val="000E655A"/>
    <w:rsid w:val="000E6664"/>
    <w:rsid w:val="000E6A6B"/>
    <w:rsid w:val="000E6AEE"/>
    <w:rsid w:val="000E6B0E"/>
    <w:rsid w:val="000E7417"/>
    <w:rsid w:val="000E7682"/>
    <w:rsid w:val="000E76F8"/>
    <w:rsid w:val="000E7B0E"/>
    <w:rsid w:val="000F0230"/>
    <w:rsid w:val="000F060F"/>
    <w:rsid w:val="000F061E"/>
    <w:rsid w:val="000F0675"/>
    <w:rsid w:val="000F0930"/>
    <w:rsid w:val="000F09AB"/>
    <w:rsid w:val="000F0ACA"/>
    <w:rsid w:val="000F0BA0"/>
    <w:rsid w:val="000F12BD"/>
    <w:rsid w:val="000F1302"/>
    <w:rsid w:val="000F144C"/>
    <w:rsid w:val="000F159D"/>
    <w:rsid w:val="000F15A0"/>
    <w:rsid w:val="000F1908"/>
    <w:rsid w:val="000F1C21"/>
    <w:rsid w:val="000F1E75"/>
    <w:rsid w:val="000F20DE"/>
    <w:rsid w:val="000F20EC"/>
    <w:rsid w:val="000F238B"/>
    <w:rsid w:val="000F2489"/>
    <w:rsid w:val="000F2695"/>
    <w:rsid w:val="000F26C0"/>
    <w:rsid w:val="000F27A6"/>
    <w:rsid w:val="000F2E0B"/>
    <w:rsid w:val="000F2E60"/>
    <w:rsid w:val="000F2F05"/>
    <w:rsid w:val="000F3011"/>
    <w:rsid w:val="000F303D"/>
    <w:rsid w:val="000F33FB"/>
    <w:rsid w:val="000F351F"/>
    <w:rsid w:val="000F3739"/>
    <w:rsid w:val="000F398A"/>
    <w:rsid w:val="000F39D6"/>
    <w:rsid w:val="000F3B25"/>
    <w:rsid w:val="000F3B59"/>
    <w:rsid w:val="000F3CE0"/>
    <w:rsid w:val="000F3E36"/>
    <w:rsid w:val="000F4604"/>
    <w:rsid w:val="000F48D8"/>
    <w:rsid w:val="000F4B47"/>
    <w:rsid w:val="000F4BB1"/>
    <w:rsid w:val="000F4E9D"/>
    <w:rsid w:val="000F4FCC"/>
    <w:rsid w:val="000F5107"/>
    <w:rsid w:val="000F518D"/>
    <w:rsid w:val="000F574F"/>
    <w:rsid w:val="000F57C2"/>
    <w:rsid w:val="000F5B62"/>
    <w:rsid w:val="000F5F53"/>
    <w:rsid w:val="000F5F69"/>
    <w:rsid w:val="000F5F87"/>
    <w:rsid w:val="000F6208"/>
    <w:rsid w:val="000F62AB"/>
    <w:rsid w:val="000F6364"/>
    <w:rsid w:val="000F667C"/>
    <w:rsid w:val="000F6722"/>
    <w:rsid w:val="000F68E7"/>
    <w:rsid w:val="000F6C35"/>
    <w:rsid w:val="000F6C94"/>
    <w:rsid w:val="000F6DEB"/>
    <w:rsid w:val="000F701D"/>
    <w:rsid w:val="000F71B8"/>
    <w:rsid w:val="000F7230"/>
    <w:rsid w:val="000F73A7"/>
    <w:rsid w:val="000F7588"/>
    <w:rsid w:val="000F7598"/>
    <w:rsid w:val="000F77EB"/>
    <w:rsid w:val="000F7869"/>
    <w:rsid w:val="000F7870"/>
    <w:rsid w:val="000F79A8"/>
    <w:rsid w:val="000F7A8D"/>
    <w:rsid w:val="000F7B87"/>
    <w:rsid w:val="000F7B8B"/>
    <w:rsid w:val="000F7C6C"/>
    <w:rsid w:val="000F7C88"/>
    <w:rsid w:val="000F7DA9"/>
    <w:rsid w:val="000F7E43"/>
    <w:rsid w:val="00100050"/>
    <w:rsid w:val="00100249"/>
    <w:rsid w:val="00100393"/>
    <w:rsid w:val="0010064F"/>
    <w:rsid w:val="00100765"/>
    <w:rsid w:val="001009A4"/>
    <w:rsid w:val="00101196"/>
    <w:rsid w:val="0010119E"/>
    <w:rsid w:val="00101606"/>
    <w:rsid w:val="001017E8"/>
    <w:rsid w:val="0010182A"/>
    <w:rsid w:val="00101895"/>
    <w:rsid w:val="00101B3B"/>
    <w:rsid w:val="00101CFA"/>
    <w:rsid w:val="00101E0F"/>
    <w:rsid w:val="00101EDC"/>
    <w:rsid w:val="00101F07"/>
    <w:rsid w:val="001021F9"/>
    <w:rsid w:val="00102329"/>
    <w:rsid w:val="0010294C"/>
    <w:rsid w:val="0010331C"/>
    <w:rsid w:val="001033FD"/>
    <w:rsid w:val="00103632"/>
    <w:rsid w:val="001036B5"/>
    <w:rsid w:val="00103730"/>
    <w:rsid w:val="0010398D"/>
    <w:rsid w:val="00103AE7"/>
    <w:rsid w:val="00103CEA"/>
    <w:rsid w:val="00104179"/>
    <w:rsid w:val="00104295"/>
    <w:rsid w:val="00104341"/>
    <w:rsid w:val="00104437"/>
    <w:rsid w:val="00104476"/>
    <w:rsid w:val="00104674"/>
    <w:rsid w:val="001046D1"/>
    <w:rsid w:val="0010473B"/>
    <w:rsid w:val="00104783"/>
    <w:rsid w:val="00104913"/>
    <w:rsid w:val="00104EAA"/>
    <w:rsid w:val="0010504A"/>
    <w:rsid w:val="00105059"/>
    <w:rsid w:val="00105475"/>
    <w:rsid w:val="00105478"/>
    <w:rsid w:val="001054DB"/>
    <w:rsid w:val="00105A5C"/>
    <w:rsid w:val="00105B53"/>
    <w:rsid w:val="00105B83"/>
    <w:rsid w:val="00105B98"/>
    <w:rsid w:val="00105E11"/>
    <w:rsid w:val="00106023"/>
    <w:rsid w:val="0010614F"/>
    <w:rsid w:val="00106560"/>
    <w:rsid w:val="001065FF"/>
    <w:rsid w:val="00106658"/>
    <w:rsid w:val="00106BC1"/>
    <w:rsid w:val="00106C1A"/>
    <w:rsid w:val="00107306"/>
    <w:rsid w:val="00107477"/>
    <w:rsid w:val="001076E9"/>
    <w:rsid w:val="001078C3"/>
    <w:rsid w:val="00107921"/>
    <w:rsid w:val="001079ED"/>
    <w:rsid w:val="00107EDD"/>
    <w:rsid w:val="001100F7"/>
    <w:rsid w:val="001101CE"/>
    <w:rsid w:val="00110616"/>
    <w:rsid w:val="00110849"/>
    <w:rsid w:val="00110B23"/>
    <w:rsid w:val="00110EE7"/>
    <w:rsid w:val="001110E5"/>
    <w:rsid w:val="00111346"/>
    <w:rsid w:val="001114AA"/>
    <w:rsid w:val="00111544"/>
    <w:rsid w:val="001115B7"/>
    <w:rsid w:val="00111988"/>
    <w:rsid w:val="00111A45"/>
    <w:rsid w:val="00111BF2"/>
    <w:rsid w:val="00111E61"/>
    <w:rsid w:val="00111F32"/>
    <w:rsid w:val="00112099"/>
    <w:rsid w:val="001120E7"/>
    <w:rsid w:val="00112233"/>
    <w:rsid w:val="0011226B"/>
    <w:rsid w:val="0011247F"/>
    <w:rsid w:val="001125D1"/>
    <w:rsid w:val="0011291D"/>
    <w:rsid w:val="00112962"/>
    <w:rsid w:val="00112BD5"/>
    <w:rsid w:val="00112CA4"/>
    <w:rsid w:val="00112EB7"/>
    <w:rsid w:val="0011321F"/>
    <w:rsid w:val="001134AD"/>
    <w:rsid w:val="001134F3"/>
    <w:rsid w:val="0011354C"/>
    <w:rsid w:val="0011355D"/>
    <w:rsid w:val="0011357C"/>
    <w:rsid w:val="0011360C"/>
    <w:rsid w:val="00113A5E"/>
    <w:rsid w:val="00113AEB"/>
    <w:rsid w:val="00113B5C"/>
    <w:rsid w:val="00113B8E"/>
    <w:rsid w:val="00113D82"/>
    <w:rsid w:val="00113F53"/>
    <w:rsid w:val="0011409E"/>
    <w:rsid w:val="001142B3"/>
    <w:rsid w:val="001145EC"/>
    <w:rsid w:val="00114697"/>
    <w:rsid w:val="001147F7"/>
    <w:rsid w:val="00114889"/>
    <w:rsid w:val="001148D2"/>
    <w:rsid w:val="00114B5D"/>
    <w:rsid w:val="00114C9A"/>
    <w:rsid w:val="00114CDE"/>
    <w:rsid w:val="00114E42"/>
    <w:rsid w:val="00114F8D"/>
    <w:rsid w:val="00115052"/>
    <w:rsid w:val="001151BA"/>
    <w:rsid w:val="001152B9"/>
    <w:rsid w:val="00115611"/>
    <w:rsid w:val="00115918"/>
    <w:rsid w:val="00115C3C"/>
    <w:rsid w:val="00115CC6"/>
    <w:rsid w:val="00115FCD"/>
    <w:rsid w:val="001160EB"/>
    <w:rsid w:val="001161D5"/>
    <w:rsid w:val="00116563"/>
    <w:rsid w:val="0011667B"/>
    <w:rsid w:val="00116682"/>
    <w:rsid w:val="001166F7"/>
    <w:rsid w:val="00116818"/>
    <w:rsid w:val="00116863"/>
    <w:rsid w:val="00116877"/>
    <w:rsid w:val="00116AF6"/>
    <w:rsid w:val="00116D1D"/>
    <w:rsid w:val="00116D73"/>
    <w:rsid w:val="00117069"/>
    <w:rsid w:val="0011727A"/>
    <w:rsid w:val="001178A7"/>
    <w:rsid w:val="001178ED"/>
    <w:rsid w:val="00117932"/>
    <w:rsid w:val="0011793A"/>
    <w:rsid w:val="0011797D"/>
    <w:rsid w:val="00117A19"/>
    <w:rsid w:val="00117C26"/>
    <w:rsid w:val="00117CDA"/>
    <w:rsid w:val="0012010C"/>
    <w:rsid w:val="00120472"/>
    <w:rsid w:val="001205F2"/>
    <w:rsid w:val="00120866"/>
    <w:rsid w:val="0012086F"/>
    <w:rsid w:val="00120951"/>
    <w:rsid w:val="00120987"/>
    <w:rsid w:val="00120A47"/>
    <w:rsid w:val="00120B56"/>
    <w:rsid w:val="00120D2D"/>
    <w:rsid w:val="00120D56"/>
    <w:rsid w:val="00120F32"/>
    <w:rsid w:val="00120F8D"/>
    <w:rsid w:val="00120FF5"/>
    <w:rsid w:val="00121028"/>
    <w:rsid w:val="0012152B"/>
    <w:rsid w:val="0012157E"/>
    <w:rsid w:val="001217E6"/>
    <w:rsid w:val="00121C62"/>
    <w:rsid w:val="00121EC0"/>
    <w:rsid w:val="00121FA8"/>
    <w:rsid w:val="001220B5"/>
    <w:rsid w:val="001221FC"/>
    <w:rsid w:val="00122243"/>
    <w:rsid w:val="00122290"/>
    <w:rsid w:val="00122365"/>
    <w:rsid w:val="001226C2"/>
    <w:rsid w:val="00122843"/>
    <w:rsid w:val="00122B1F"/>
    <w:rsid w:val="00122E80"/>
    <w:rsid w:val="0012301E"/>
    <w:rsid w:val="00123069"/>
    <w:rsid w:val="001230B9"/>
    <w:rsid w:val="00123337"/>
    <w:rsid w:val="0012335B"/>
    <w:rsid w:val="001234EA"/>
    <w:rsid w:val="00123536"/>
    <w:rsid w:val="0012354B"/>
    <w:rsid w:val="0012376E"/>
    <w:rsid w:val="0012391E"/>
    <w:rsid w:val="00123948"/>
    <w:rsid w:val="00123A04"/>
    <w:rsid w:val="00123A62"/>
    <w:rsid w:val="00123A99"/>
    <w:rsid w:val="00123AF2"/>
    <w:rsid w:val="00123B42"/>
    <w:rsid w:val="00123B73"/>
    <w:rsid w:val="00123E17"/>
    <w:rsid w:val="00123F10"/>
    <w:rsid w:val="001240D1"/>
    <w:rsid w:val="00124258"/>
    <w:rsid w:val="00124511"/>
    <w:rsid w:val="001246FC"/>
    <w:rsid w:val="001248DF"/>
    <w:rsid w:val="00124957"/>
    <w:rsid w:val="0012495C"/>
    <w:rsid w:val="00124ADE"/>
    <w:rsid w:val="00124DE0"/>
    <w:rsid w:val="00124E79"/>
    <w:rsid w:val="00124FA6"/>
    <w:rsid w:val="0012501E"/>
    <w:rsid w:val="00125057"/>
    <w:rsid w:val="0012507C"/>
    <w:rsid w:val="001253D1"/>
    <w:rsid w:val="0012548F"/>
    <w:rsid w:val="00125494"/>
    <w:rsid w:val="0012553B"/>
    <w:rsid w:val="001258EB"/>
    <w:rsid w:val="001259FE"/>
    <w:rsid w:val="00125C42"/>
    <w:rsid w:val="00125C64"/>
    <w:rsid w:val="00125DE7"/>
    <w:rsid w:val="00125E26"/>
    <w:rsid w:val="0012659C"/>
    <w:rsid w:val="001266BB"/>
    <w:rsid w:val="0012675B"/>
    <w:rsid w:val="00126936"/>
    <w:rsid w:val="00126A8F"/>
    <w:rsid w:val="00126AAF"/>
    <w:rsid w:val="00126E7D"/>
    <w:rsid w:val="00126F0B"/>
    <w:rsid w:val="001271D2"/>
    <w:rsid w:val="00127226"/>
    <w:rsid w:val="001272E2"/>
    <w:rsid w:val="001273DC"/>
    <w:rsid w:val="0012744D"/>
    <w:rsid w:val="001274EB"/>
    <w:rsid w:val="0012750F"/>
    <w:rsid w:val="00127B5C"/>
    <w:rsid w:val="00127B74"/>
    <w:rsid w:val="00127C76"/>
    <w:rsid w:val="00127D02"/>
    <w:rsid w:val="00127DF9"/>
    <w:rsid w:val="00127EE4"/>
    <w:rsid w:val="001308A1"/>
    <w:rsid w:val="001309B5"/>
    <w:rsid w:val="001309F9"/>
    <w:rsid w:val="00130B35"/>
    <w:rsid w:val="00130C22"/>
    <w:rsid w:val="00130C77"/>
    <w:rsid w:val="00130D91"/>
    <w:rsid w:val="00131016"/>
    <w:rsid w:val="001311E9"/>
    <w:rsid w:val="00131410"/>
    <w:rsid w:val="0013142B"/>
    <w:rsid w:val="0013160F"/>
    <w:rsid w:val="00131633"/>
    <w:rsid w:val="0013163E"/>
    <w:rsid w:val="001317EB"/>
    <w:rsid w:val="001318ED"/>
    <w:rsid w:val="00131D5C"/>
    <w:rsid w:val="00131DD1"/>
    <w:rsid w:val="0013296B"/>
    <w:rsid w:val="00132A1A"/>
    <w:rsid w:val="00132A29"/>
    <w:rsid w:val="00132A83"/>
    <w:rsid w:val="00132CF3"/>
    <w:rsid w:val="00133058"/>
    <w:rsid w:val="00133522"/>
    <w:rsid w:val="00133580"/>
    <w:rsid w:val="001337CA"/>
    <w:rsid w:val="001339A9"/>
    <w:rsid w:val="00133A48"/>
    <w:rsid w:val="00133B05"/>
    <w:rsid w:val="00133B3B"/>
    <w:rsid w:val="00133DCF"/>
    <w:rsid w:val="00133FA0"/>
    <w:rsid w:val="00134617"/>
    <w:rsid w:val="00134660"/>
    <w:rsid w:val="0013498F"/>
    <w:rsid w:val="00134DA2"/>
    <w:rsid w:val="001357A9"/>
    <w:rsid w:val="00135847"/>
    <w:rsid w:val="00135CDC"/>
    <w:rsid w:val="00135D01"/>
    <w:rsid w:val="001360D2"/>
    <w:rsid w:val="0013620B"/>
    <w:rsid w:val="001364CE"/>
    <w:rsid w:val="001368EE"/>
    <w:rsid w:val="00136A87"/>
    <w:rsid w:val="00136E59"/>
    <w:rsid w:val="00136E5B"/>
    <w:rsid w:val="00136E88"/>
    <w:rsid w:val="00137521"/>
    <w:rsid w:val="00137906"/>
    <w:rsid w:val="00137A87"/>
    <w:rsid w:val="00137E1C"/>
    <w:rsid w:val="00137EF4"/>
    <w:rsid w:val="0014017C"/>
    <w:rsid w:val="001401AD"/>
    <w:rsid w:val="001401C1"/>
    <w:rsid w:val="001401CD"/>
    <w:rsid w:val="001402AF"/>
    <w:rsid w:val="00140450"/>
    <w:rsid w:val="00140B0A"/>
    <w:rsid w:val="00140E0F"/>
    <w:rsid w:val="00140ED7"/>
    <w:rsid w:val="00141055"/>
    <w:rsid w:val="001411EF"/>
    <w:rsid w:val="001413B6"/>
    <w:rsid w:val="001413C8"/>
    <w:rsid w:val="00141512"/>
    <w:rsid w:val="0014171C"/>
    <w:rsid w:val="0014178D"/>
    <w:rsid w:val="00141936"/>
    <w:rsid w:val="0014194A"/>
    <w:rsid w:val="001419C4"/>
    <w:rsid w:val="00141D37"/>
    <w:rsid w:val="00142034"/>
    <w:rsid w:val="00142233"/>
    <w:rsid w:val="001422EE"/>
    <w:rsid w:val="00142483"/>
    <w:rsid w:val="0014257F"/>
    <w:rsid w:val="00142968"/>
    <w:rsid w:val="00142971"/>
    <w:rsid w:val="001429E2"/>
    <w:rsid w:val="00142D54"/>
    <w:rsid w:val="00142EDF"/>
    <w:rsid w:val="00142F6F"/>
    <w:rsid w:val="001430CA"/>
    <w:rsid w:val="001432B9"/>
    <w:rsid w:val="00143553"/>
    <w:rsid w:val="001436C8"/>
    <w:rsid w:val="001436F8"/>
    <w:rsid w:val="0014372A"/>
    <w:rsid w:val="001438A3"/>
    <w:rsid w:val="00143945"/>
    <w:rsid w:val="00143949"/>
    <w:rsid w:val="001439DB"/>
    <w:rsid w:val="00143B4F"/>
    <w:rsid w:val="00143B62"/>
    <w:rsid w:val="00144224"/>
    <w:rsid w:val="00144557"/>
    <w:rsid w:val="00144599"/>
    <w:rsid w:val="0014465C"/>
    <w:rsid w:val="00144939"/>
    <w:rsid w:val="00144A19"/>
    <w:rsid w:val="00144D1E"/>
    <w:rsid w:val="00144E2B"/>
    <w:rsid w:val="00144EE0"/>
    <w:rsid w:val="00145247"/>
    <w:rsid w:val="001452F5"/>
    <w:rsid w:val="001454A9"/>
    <w:rsid w:val="001455D2"/>
    <w:rsid w:val="00145910"/>
    <w:rsid w:val="00145CD2"/>
    <w:rsid w:val="00145E0E"/>
    <w:rsid w:val="00145F80"/>
    <w:rsid w:val="001460F9"/>
    <w:rsid w:val="00146233"/>
    <w:rsid w:val="00146236"/>
    <w:rsid w:val="0014624E"/>
    <w:rsid w:val="0014651F"/>
    <w:rsid w:val="0014687C"/>
    <w:rsid w:val="001469DC"/>
    <w:rsid w:val="00146BEF"/>
    <w:rsid w:val="00146E63"/>
    <w:rsid w:val="00147059"/>
    <w:rsid w:val="001470DB"/>
    <w:rsid w:val="00147208"/>
    <w:rsid w:val="00147209"/>
    <w:rsid w:val="00147285"/>
    <w:rsid w:val="0014756C"/>
    <w:rsid w:val="0014761B"/>
    <w:rsid w:val="00147BCF"/>
    <w:rsid w:val="00147CC5"/>
    <w:rsid w:val="00147FAF"/>
    <w:rsid w:val="0015000E"/>
    <w:rsid w:val="00150852"/>
    <w:rsid w:val="00150BA3"/>
    <w:rsid w:val="00150C1A"/>
    <w:rsid w:val="00150C4A"/>
    <w:rsid w:val="00150CDB"/>
    <w:rsid w:val="00150E3E"/>
    <w:rsid w:val="00150E8A"/>
    <w:rsid w:val="00151596"/>
    <w:rsid w:val="00151668"/>
    <w:rsid w:val="00151757"/>
    <w:rsid w:val="00151816"/>
    <w:rsid w:val="0015199B"/>
    <w:rsid w:val="00151B76"/>
    <w:rsid w:val="00151BE6"/>
    <w:rsid w:val="00151E36"/>
    <w:rsid w:val="00151F87"/>
    <w:rsid w:val="0015211F"/>
    <w:rsid w:val="00152154"/>
    <w:rsid w:val="00152331"/>
    <w:rsid w:val="00152590"/>
    <w:rsid w:val="00152597"/>
    <w:rsid w:val="0015275C"/>
    <w:rsid w:val="0015290B"/>
    <w:rsid w:val="0015291C"/>
    <w:rsid w:val="00152AD0"/>
    <w:rsid w:val="00152E6C"/>
    <w:rsid w:val="001530A3"/>
    <w:rsid w:val="001530CE"/>
    <w:rsid w:val="00153217"/>
    <w:rsid w:val="00153224"/>
    <w:rsid w:val="00153407"/>
    <w:rsid w:val="0015343A"/>
    <w:rsid w:val="0015369B"/>
    <w:rsid w:val="0015375F"/>
    <w:rsid w:val="0015395B"/>
    <w:rsid w:val="00153CE7"/>
    <w:rsid w:val="00154010"/>
    <w:rsid w:val="001540B9"/>
    <w:rsid w:val="001540F8"/>
    <w:rsid w:val="00154115"/>
    <w:rsid w:val="0015422E"/>
    <w:rsid w:val="0015425A"/>
    <w:rsid w:val="00154574"/>
    <w:rsid w:val="00154812"/>
    <w:rsid w:val="00154990"/>
    <w:rsid w:val="001549A7"/>
    <w:rsid w:val="00154B79"/>
    <w:rsid w:val="00154EB5"/>
    <w:rsid w:val="00154FA6"/>
    <w:rsid w:val="00155076"/>
    <w:rsid w:val="001552AA"/>
    <w:rsid w:val="0015537A"/>
    <w:rsid w:val="00155460"/>
    <w:rsid w:val="00155608"/>
    <w:rsid w:val="00155610"/>
    <w:rsid w:val="001557C9"/>
    <w:rsid w:val="00155AA0"/>
    <w:rsid w:val="00155AAE"/>
    <w:rsid w:val="00155BE2"/>
    <w:rsid w:val="00155C4C"/>
    <w:rsid w:val="00155CD3"/>
    <w:rsid w:val="00156156"/>
    <w:rsid w:val="00156258"/>
    <w:rsid w:val="00156275"/>
    <w:rsid w:val="0015628A"/>
    <w:rsid w:val="0015646A"/>
    <w:rsid w:val="001565F4"/>
    <w:rsid w:val="001567A7"/>
    <w:rsid w:val="00156EA8"/>
    <w:rsid w:val="00156FFF"/>
    <w:rsid w:val="001571EC"/>
    <w:rsid w:val="0015726B"/>
    <w:rsid w:val="001573CD"/>
    <w:rsid w:val="00157477"/>
    <w:rsid w:val="001574B2"/>
    <w:rsid w:val="0015777E"/>
    <w:rsid w:val="001577CA"/>
    <w:rsid w:val="00157A60"/>
    <w:rsid w:val="00157A61"/>
    <w:rsid w:val="00157BF2"/>
    <w:rsid w:val="00157D7B"/>
    <w:rsid w:val="00157DF9"/>
    <w:rsid w:val="00157F19"/>
    <w:rsid w:val="0016027D"/>
    <w:rsid w:val="0016039F"/>
    <w:rsid w:val="001603A0"/>
    <w:rsid w:val="001605FA"/>
    <w:rsid w:val="00160823"/>
    <w:rsid w:val="00160931"/>
    <w:rsid w:val="00160958"/>
    <w:rsid w:val="00160C45"/>
    <w:rsid w:val="00160D83"/>
    <w:rsid w:val="00160EAB"/>
    <w:rsid w:val="00161307"/>
    <w:rsid w:val="00161349"/>
    <w:rsid w:val="00161547"/>
    <w:rsid w:val="0016183B"/>
    <w:rsid w:val="00161891"/>
    <w:rsid w:val="001618B0"/>
    <w:rsid w:val="00161DC8"/>
    <w:rsid w:val="00161E81"/>
    <w:rsid w:val="0016200D"/>
    <w:rsid w:val="0016201E"/>
    <w:rsid w:val="0016206D"/>
    <w:rsid w:val="001624B8"/>
    <w:rsid w:val="001625AD"/>
    <w:rsid w:val="00162711"/>
    <w:rsid w:val="00162759"/>
    <w:rsid w:val="0016290F"/>
    <w:rsid w:val="0016299E"/>
    <w:rsid w:val="00162B51"/>
    <w:rsid w:val="00162CB7"/>
    <w:rsid w:val="00162D38"/>
    <w:rsid w:val="00162F62"/>
    <w:rsid w:val="00162FF5"/>
    <w:rsid w:val="001635AA"/>
    <w:rsid w:val="0016366C"/>
    <w:rsid w:val="001637AB"/>
    <w:rsid w:val="001638A7"/>
    <w:rsid w:val="001639EE"/>
    <w:rsid w:val="00163A1B"/>
    <w:rsid w:val="00163C34"/>
    <w:rsid w:val="00163D1C"/>
    <w:rsid w:val="00163D9D"/>
    <w:rsid w:val="00163DE4"/>
    <w:rsid w:val="00163DF4"/>
    <w:rsid w:val="00163EEC"/>
    <w:rsid w:val="00164167"/>
    <w:rsid w:val="001642D4"/>
    <w:rsid w:val="001644C2"/>
    <w:rsid w:val="00164585"/>
    <w:rsid w:val="001645A6"/>
    <w:rsid w:val="001646F6"/>
    <w:rsid w:val="00164926"/>
    <w:rsid w:val="00164955"/>
    <w:rsid w:val="00164C54"/>
    <w:rsid w:val="00164C97"/>
    <w:rsid w:val="00164DEF"/>
    <w:rsid w:val="00164F56"/>
    <w:rsid w:val="00164F62"/>
    <w:rsid w:val="00165117"/>
    <w:rsid w:val="0016523E"/>
    <w:rsid w:val="001652F4"/>
    <w:rsid w:val="0016546A"/>
    <w:rsid w:val="001655F1"/>
    <w:rsid w:val="001657EE"/>
    <w:rsid w:val="001658D7"/>
    <w:rsid w:val="00165A1B"/>
    <w:rsid w:val="00165A48"/>
    <w:rsid w:val="00165A9F"/>
    <w:rsid w:val="00165B4A"/>
    <w:rsid w:val="00165F9B"/>
    <w:rsid w:val="00166086"/>
    <w:rsid w:val="0016614E"/>
    <w:rsid w:val="0016640E"/>
    <w:rsid w:val="0016654D"/>
    <w:rsid w:val="00166704"/>
    <w:rsid w:val="001667B4"/>
    <w:rsid w:val="001668EE"/>
    <w:rsid w:val="00166B8A"/>
    <w:rsid w:val="00167068"/>
    <w:rsid w:val="001672F3"/>
    <w:rsid w:val="0016737F"/>
    <w:rsid w:val="0016740E"/>
    <w:rsid w:val="001676A1"/>
    <w:rsid w:val="0016776A"/>
    <w:rsid w:val="001679AD"/>
    <w:rsid w:val="00167A7C"/>
    <w:rsid w:val="00167EE6"/>
    <w:rsid w:val="00167EEF"/>
    <w:rsid w:val="001700EA"/>
    <w:rsid w:val="001701F0"/>
    <w:rsid w:val="00170227"/>
    <w:rsid w:val="001704C8"/>
    <w:rsid w:val="001705A3"/>
    <w:rsid w:val="001705AC"/>
    <w:rsid w:val="00170629"/>
    <w:rsid w:val="00170663"/>
    <w:rsid w:val="00170795"/>
    <w:rsid w:val="00170797"/>
    <w:rsid w:val="001707A9"/>
    <w:rsid w:val="001707D5"/>
    <w:rsid w:val="00170C52"/>
    <w:rsid w:val="00170C8D"/>
    <w:rsid w:val="00170D4A"/>
    <w:rsid w:val="001710F0"/>
    <w:rsid w:val="0017118D"/>
    <w:rsid w:val="0017133E"/>
    <w:rsid w:val="001713AA"/>
    <w:rsid w:val="0017142A"/>
    <w:rsid w:val="00171511"/>
    <w:rsid w:val="00171534"/>
    <w:rsid w:val="0017158C"/>
    <w:rsid w:val="00171B2E"/>
    <w:rsid w:val="00171CC3"/>
    <w:rsid w:val="00171F06"/>
    <w:rsid w:val="00171F0D"/>
    <w:rsid w:val="001720D2"/>
    <w:rsid w:val="001724AB"/>
    <w:rsid w:val="00172513"/>
    <w:rsid w:val="0017262D"/>
    <w:rsid w:val="0017271B"/>
    <w:rsid w:val="00172773"/>
    <w:rsid w:val="001727AE"/>
    <w:rsid w:val="00172D17"/>
    <w:rsid w:val="00172D29"/>
    <w:rsid w:val="00172E6F"/>
    <w:rsid w:val="0017304B"/>
    <w:rsid w:val="001730C9"/>
    <w:rsid w:val="00173215"/>
    <w:rsid w:val="0017328F"/>
    <w:rsid w:val="001735E1"/>
    <w:rsid w:val="00173754"/>
    <w:rsid w:val="001738E3"/>
    <w:rsid w:val="00173A63"/>
    <w:rsid w:val="00173B16"/>
    <w:rsid w:val="00173C36"/>
    <w:rsid w:val="00173EC1"/>
    <w:rsid w:val="0017417D"/>
    <w:rsid w:val="001741A7"/>
    <w:rsid w:val="00174201"/>
    <w:rsid w:val="001742EF"/>
    <w:rsid w:val="001748F8"/>
    <w:rsid w:val="00174963"/>
    <w:rsid w:val="00174A84"/>
    <w:rsid w:val="00174B3C"/>
    <w:rsid w:val="00174E22"/>
    <w:rsid w:val="00174EFA"/>
    <w:rsid w:val="00175025"/>
    <w:rsid w:val="00175422"/>
    <w:rsid w:val="00175806"/>
    <w:rsid w:val="001758F7"/>
    <w:rsid w:val="0017590F"/>
    <w:rsid w:val="00175CD6"/>
    <w:rsid w:val="00175D7E"/>
    <w:rsid w:val="00175FB9"/>
    <w:rsid w:val="00176219"/>
    <w:rsid w:val="001762A3"/>
    <w:rsid w:val="00176331"/>
    <w:rsid w:val="001763A2"/>
    <w:rsid w:val="0017683F"/>
    <w:rsid w:val="00176EFE"/>
    <w:rsid w:val="00176F81"/>
    <w:rsid w:val="001770F7"/>
    <w:rsid w:val="0017710F"/>
    <w:rsid w:val="00177346"/>
    <w:rsid w:val="001774A0"/>
    <w:rsid w:val="001774C5"/>
    <w:rsid w:val="0017757D"/>
    <w:rsid w:val="001777AC"/>
    <w:rsid w:val="00177A37"/>
    <w:rsid w:val="00177A3C"/>
    <w:rsid w:val="00177D58"/>
    <w:rsid w:val="00177D78"/>
    <w:rsid w:val="00177DC6"/>
    <w:rsid w:val="00177E0F"/>
    <w:rsid w:val="00177E74"/>
    <w:rsid w:val="00177EA9"/>
    <w:rsid w:val="00177F10"/>
    <w:rsid w:val="001801B9"/>
    <w:rsid w:val="0018034C"/>
    <w:rsid w:val="00180912"/>
    <w:rsid w:val="00180C63"/>
    <w:rsid w:val="00180F3C"/>
    <w:rsid w:val="0018122C"/>
    <w:rsid w:val="00181315"/>
    <w:rsid w:val="00181F4D"/>
    <w:rsid w:val="001824A8"/>
    <w:rsid w:val="00182719"/>
    <w:rsid w:val="001828DC"/>
    <w:rsid w:val="00182C77"/>
    <w:rsid w:val="00183312"/>
    <w:rsid w:val="001833BF"/>
    <w:rsid w:val="001835C4"/>
    <w:rsid w:val="00183636"/>
    <w:rsid w:val="001836CC"/>
    <w:rsid w:val="001836FC"/>
    <w:rsid w:val="0018382B"/>
    <w:rsid w:val="00183AFD"/>
    <w:rsid w:val="00183B98"/>
    <w:rsid w:val="00183D06"/>
    <w:rsid w:val="00183EB2"/>
    <w:rsid w:val="00183FDE"/>
    <w:rsid w:val="00184019"/>
    <w:rsid w:val="00184165"/>
    <w:rsid w:val="001841BC"/>
    <w:rsid w:val="001842DB"/>
    <w:rsid w:val="001845C9"/>
    <w:rsid w:val="001847D8"/>
    <w:rsid w:val="001849D3"/>
    <w:rsid w:val="00184B2A"/>
    <w:rsid w:val="00184DC0"/>
    <w:rsid w:val="00184FA1"/>
    <w:rsid w:val="00185207"/>
    <w:rsid w:val="0018544C"/>
    <w:rsid w:val="001855BD"/>
    <w:rsid w:val="00185A7D"/>
    <w:rsid w:val="00185A98"/>
    <w:rsid w:val="00185B1E"/>
    <w:rsid w:val="00185BAD"/>
    <w:rsid w:val="00185D21"/>
    <w:rsid w:val="00185D2D"/>
    <w:rsid w:val="00185DFF"/>
    <w:rsid w:val="00185FDE"/>
    <w:rsid w:val="00186041"/>
    <w:rsid w:val="00186248"/>
    <w:rsid w:val="001862A4"/>
    <w:rsid w:val="001865D3"/>
    <w:rsid w:val="0018665C"/>
    <w:rsid w:val="0018679A"/>
    <w:rsid w:val="001867C9"/>
    <w:rsid w:val="001868D0"/>
    <w:rsid w:val="001869EF"/>
    <w:rsid w:val="00186AE1"/>
    <w:rsid w:val="00186C4B"/>
    <w:rsid w:val="00186C90"/>
    <w:rsid w:val="00186FC6"/>
    <w:rsid w:val="00187081"/>
    <w:rsid w:val="001870CB"/>
    <w:rsid w:val="001871E0"/>
    <w:rsid w:val="001873DA"/>
    <w:rsid w:val="001874A7"/>
    <w:rsid w:val="001875F3"/>
    <w:rsid w:val="00187744"/>
    <w:rsid w:val="00187912"/>
    <w:rsid w:val="00187B9A"/>
    <w:rsid w:val="00187CE7"/>
    <w:rsid w:val="00187D6B"/>
    <w:rsid w:val="00187F38"/>
    <w:rsid w:val="0019001D"/>
    <w:rsid w:val="00190405"/>
    <w:rsid w:val="001905AD"/>
    <w:rsid w:val="0019074E"/>
    <w:rsid w:val="0019084F"/>
    <w:rsid w:val="00190AC0"/>
    <w:rsid w:val="00190C69"/>
    <w:rsid w:val="001911D9"/>
    <w:rsid w:val="001912D6"/>
    <w:rsid w:val="00191567"/>
    <w:rsid w:val="00191672"/>
    <w:rsid w:val="0019191F"/>
    <w:rsid w:val="0019194C"/>
    <w:rsid w:val="001919BA"/>
    <w:rsid w:val="00191ADA"/>
    <w:rsid w:val="00192039"/>
    <w:rsid w:val="00192348"/>
    <w:rsid w:val="00192369"/>
    <w:rsid w:val="0019240D"/>
    <w:rsid w:val="00192596"/>
    <w:rsid w:val="00192668"/>
    <w:rsid w:val="00192741"/>
    <w:rsid w:val="0019276F"/>
    <w:rsid w:val="0019280B"/>
    <w:rsid w:val="00192A48"/>
    <w:rsid w:val="00192AA6"/>
    <w:rsid w:val="00192CFE"/>
    <w:rsid w:val="00192F97"/>
    <w:rsid w:val="00193036"/>
    <w:rsid w:val="001930D6"/>
    <w:rsid w:val="00193185"/>
    <w:rsid w:val="001931A8"/>
    <w:rsid w:val="00193230"/>
    <w:rsid w:val="001932C8"/>
    <w:rsid w:val="00193333"/>
    <w:rsid w:val="00193393"/>
    <w:rsid w:val="001936FE"/>
    <w:rsid w:val="00193782"/>
    <w:rsid w:val="00193947"/>
    <w:rsid w:val="00193993"/>
    <w:rsid w:val="00193A70"/>
    <w:rsid w:val="00193C35"/>
    <w:rsid w:val="00193E1D"/>
    <w:rsid w:val="00193E60"/>
    <w:rsid w:val="00193ED2"/>
    <w:rsid w:val="00193F45"/>
    <w:rsid w:val="00194044"/>
    <w:rsid w:val="001944D7"/>
    <w:rsid w:val="001946FB"/>
    <w:rsid w:val="00194994"/>
    <w:rsid w:val="00194BDD"/>
    <w:rsid w:val="00194CAA"/>
    <w:rsid w:val="00194DC4"/>
    <w:rsid w:val="00195152"/>
    <w:rsid w:val="0019520F"/>
    <w:rsid w:val="0019555A"/>
    <w:rsid w:val="001956A0"/>
    <w:rsid w:val="001957EE"/>
    <w:rsid w:val="00195823"/>
    <w:rsid w:val="001958CC"/>
    <w:rsid w:val="001959F1"/>
    <w:rsid w:val="00195ADB"/>
    <w:rsid w:val="00195EBF"/>
    <w:rsid w:val="0019626C"/>
    <w:rsid w:val="001962DD"/>
    <w:rsid w:val="001962F8"/>
    <w:rsid w:val="00196347"/>
    <w:rsid w:val="00196551"/>
    <w:rsid w:val="001966E9"/>
    <w:rsid w:val="00196836"/>
    <w:rsid w:val="00196B51"/>
    <w:rsid w:val="00196B55"/>
    <w:rsid w:val="00196E5B"/>
    <w:rsid w:val="00196F45"/>
    <w:rsid w:val="00197042"/>
    <w:rsid w:val="00197117"/>
    <w:rsid w:val="001971B9"/>
    <w:rsid w:val="001972F1"/>
    <w:rsid w:val="001974E9"/>
    <w:rsid w:val="001977E6"/>
    <w:rsid w:val="00197A1B"/>
    <w:rsid w:val="00197C09"/>
    <w:rsid w:val="00197F77"/>
    <w:rsid w:val="001A035F"/>
    <w:rsid w:val="001A038D"/>
    <w:rsid w:val="001A058F"/>
    <w:rsid w:val="001A09BB"/>
    <w:rsid w:val="001A0C29"/>
    <w:rsid w:val="001A0DFD"/>
    <w:rsid w:val="001A0E5C"/>
    <w:rsid w:val="001A0E7F"/>
    <w:rsid w:val="001A0F18"/>
    <w:rsid w:val="001A1012"/>
    <w:rsid w:val="001A1127"/>
    <w:rsid w:val="001A16C8"/>
    <w:rsid w:val="001A17B3"/>
    <w:rsid w:val="001A1B19"/>
    <w:rsid w:val="001A1D29"/>
    <w:rsid w:val="001A1EA4"/>
    <w:rsid w:val="001A22A5"/>
    <w:rsid w:val="001A23F9"/>
    <w:rsid w:val="001A2482"/>
    <w:rsid w:val="001A268C"/>
    <w:rsid w:val="001A2908"/>
    <w:rsid w:val="001A29E2"/>
    <w:rsid w:val="001A2D13"/>
    <w:rsid w:val="001A305C"/>
    <w:rsid w:val="001A30B6"/>
    <w:rsid w:val="001A30E6"/>
    <w:rsid w:val="001A3562"/>
    <w:rsid w:val="001A3828"/>
    <w:rsid w:val="001A3A5D"/>
    <w:rsid w:val="001A3B0F"/>
    <w:rsid w:val="001A3B93"/>
    <w:rsid w:val="001A3CCD"/>
    <w:rsid w:val="001A3DF0"/>
    <w:rsid w:val="001A4060"/>
    <w:rsid w:val="001A4696"/>
    <w:rsid w:val="001A4815"/>
    <w:rsid w:val="001A4A45"/>
    <w:rsid w:val="001A4B86"/>
    <w:rsid w:val="001A4BD7"/>
    <w:rsid w:val="001A503F"/>
    <w:rsid w:val="001A521A"/>
    <w:rsid w:val="001A5317"/>
    <w:rsid w:val="001A5991"/>
    <w:rsid w:val="001A59DC"/>
    <w:rsid w:val="001A5BA1"/>
    <w:rsid w:val="001A5CFB"/>
    <w:rsid w:val="001A5E2F"/>
    <w:rsid w:val="001A62B7"/>
    <w:rsid w:val="001A658A"/>
    <w:rsid w:val="001A6627"/>
    <w:rsid w:val="001A667B"/>
    <w:rsid w:val="001A6813"/>
    <w:rsid w:val="001A687A"/>
    <w:rsid w:val="001A68E7"/>
    <w:rsid w:val="001A699E"/>
    <w:rsid w:val="001A6A07"/>
    <w:rsid w:val="001A6AD8"/>
    <w:rsid w:val="001A6EE0"/>
    <w:rsid w:val="001A73C4"/>
    <w:rsid w:val="001A7975"/>
    <w:rsid w:val="001A7AFF"/>
    <w:rsid w:val="001A7B0A"/>
    <w:rsid w:val="001A7E5A"/>
    <w:rsid w:val="001A7EBE"/>
    <w:rsid w:val="001B0159"/>
    <w:rsid w:val="001B0754"/>
    <w:rsid w:val="001B0B3D"/>
    <w:rsid w:val="001B0D56"/>
    <w:rsid w:val="001B119F"/>
    <w:rsid w:val="001B13DC"/>
    <w:rsid w:val="001B1476"/>
    <w:rsid w:val="001B1489"/>
    <w:rsid w:val="001B155F"/>
    <w:rsid w:val="001B158E"/>
    <w:rsid w:val="001B1601"/>
    <w:rsid w:val="001B1627"/>
    <w:rsid w:val="001B1656"/>
    <w:rsid w:val="001B17AF"/>
    <w:rsid w:val="001B18BC"/>
    <w:rsid w:val="001B1B5E"/>
    <w:rsid w:val="001B1BD5"/>
    <w:rsid w:val="001B1E88"/>
    <w:rsid w:val="001B1F3D"/>
    <w:rsid w:val="001B1F9F"/>
    <w:rsid w:val="001B2162"/>
    <w:rsid w:val="001B2817"/>
    <w:rsid w:val="001B2819"/>
    <w:rsid w:val="001B29A6"/>
    <w:rsid w:val="001B3136"/>
    <w:rsid w:val="001B3293"/>
    <w:rsid w:val="001B33C6"/>
    <w:rsid w:val="001B393C"/>
    <w:rsid w:val="001B3A59"/>
    <w:rsid w:val="001B3C82"/>
    <w:rsid w:val="001B3CCC"/>
    <w:rsid w:val="001B3E37"/>
    <w:rsid w:val="001B4581"/>
    <w:rsid w:val="001B460E"/>
    <w:rsid w:val="001B4B79"/>
    <w:rsid w:val="001B4B7E"/>
    <w:rsid w:val="001B4C5B"/>
    <w:rsid w:val="001B5076"/>
    <w:rsid w:val="001B53DE"/>
    <w:rsid w:val="001B56B3"/>
    <w:rsid w:val="001B56D4"/>
    <w:rsid w:val="001B5819"/>
    <w:rsid w:val="001B5878"/>
    <w:rsid w:val="001B58DA"/>
    <w:rsid w:val="001B5D00"/>
    <w:rsid w:val="001B5D14"/>
    <w:rsid w:val="001B6005"/>
    <w:rsid w:val="001B6084"/>
    <w:rsid w:val="001B636B"/>
    <w:rsid w:val="001B63B8"/>
    <w:rsid w:val="001B642D"/>
    <w:rsid w:val="001B64AD"/>
    <w:rsid w:val="001B657F"/>
    <w:rsid w:val="001B6783"/>
    <w:rsid w:val="001B67CE"/>
    <w:rsid w:val="001B6C65"/>
    <w:rsid w:val="001B6F5B"/>
    <w:rsid w:val="001B7257"/>
    <w:rsid w:val="001B746F"/>
    <w:rsid w:val="001B7673"/>
    <w:rsid w:val="001B767F"/>
    <w:rsid w:val="001B76B9"/>
    <w:rsid w:val="001B7847"/>
    <w:rsid w:val="001B7917"/>
    <w:rsid w:val="001C0095"/>
    <w:rsid w:val="001C0193"/>
    <w:rsid w:val="001C062D"/>
    <w:rsid w:val="001C0675"/>
    <w:rsid w:val="001C09B4"/>
    <w:rsid w:val="001C0C0A"/>
    <w:rsid w:val="001C0D89"/>
    <w:rsid w:val="001C0FFD"/>
    <w:rsid w:val="001C11A0"/>
    <w:rsid w:val="001C11EF"/>
    <w:rsid w:val="001C132E"/>
    <w:rsid w:val="001C141D"/>
    <w:rsid w:val="001C16D8"/>
    <w:rsid w:val="001C1794"/>
    <w:rsid w:val="001C1A7B"/>
    <w:rsid w:val="001C2BE8"/>
    <w:rsid w:val="001C2FF9"/>
    <w:rsid w:val="001C30B5"/>
    <w:rsid w:val="001C3162"/>
    <w:rsid w:val="001C3281"/>
    <w:rsid w:val="001C3520"/>
    <w:rsid w:val="001C37CE"/>
    <w:rsid w:val="001C3A4B"/>
    <w:rsid w:val="001C3AC2"/>
    <w:rsid w:val="001C4094"/>
    <w:rsid w:val="001C40AC"/>
    <w:rsid w:val="001C46D0"/>
    <w:rsid w:val="001C4772"/>
    <w:rsid w:val="001C48BC"/>
    <w:rsid w:val="001C495E"/>
    <w:rsid w:val="001C49D0"/>
    <w:rsid w:val="001C4A4C"/>
    <w:rsid w:val="001C4BAB"/>
    <w:rsid w:val="001C4BBF"/>
    <w:rsid w:val="001C4CE2"/>
    <w:rsid w:val="001C4ED0"/>
    <w:rsid w:val="001C503A"/>
    <w:rsid w:val="001C50CD"/>
    <w:rsid w:val="001C5163"/>
    <w:rsid w:val="001C5238"/>
    <w:rsid w:val="001C523D"/>
    <w:rsid w:val="001C52B6"/>
    <w:rsid w:val="001C532F"/>
    <w:rsid w:val="001C5434"/>
    <w:rsid w:val="001C5707"/>
    <w:rsid w:val="001C5B41"/>
    <w:rsid w:val="001C5CC1"/>
    <w:rsid w:val="001C5D9E"/>
    <w:rsid w:val="001C61F1"/>
    <w:rsid w:val="001C65E0"/>
    <w:rsid w:val="001C66E4"/>
    <w:rsid w:val="001C691D"/>
    <w:rsid w:val="001C6940"/>
    <w:rsid w:val="001C6A7D"/>
    <w:rsid w:val="001C6C5B"/>
    <w:rsid w:val="001C6CA0"/>
    <w:rsid w:val="001C6DAA"/>
    <w:rsid w:val="001C6DD4"/>
    <w:rsid w:val="001C6EF0"/>
    <w:rsid w:val="001C6F07"/>
    <w:rsid w:val="001C7079"/>
    <w:rsid w:val="001C70A2"/>
    <w:rsid w:val="001C70ED"/>
    <w:rsid w:val="001C7341"/>
    <w:rsid w:val="001C7576"/>
    <w:rsid w:val="001C7666"/>
    <w:rsid w:val="001C773B"/>
    <w:rsid w:val="001C774E"/>
    <w:rsid w:val="001C7951"/>
    <w:rsid w:val="001C79F7"/>
    <w:rsid w:val="001C7ABB"/>
    <w:rsid w:val="001C7E3A"/>
    <w:rsid w:val="001D024C"/>
    <w:rsid w:val="001D0395"/>
    <w:rsid w:val="001D0990"/>
    <w:rsid w:val="001D0DA1"/>
    <w:rsid w:val="001D0DB4"/>
    <w:rsid w:val="001D109B"/>
    <w:rsid w:val="001D10E5"/>
    <w:rsid w:val="001D1392"/>
    <w:rsid w:val="001D1647"/>
    <w:rsid w:val="001D169E"/>
    <w:rsid w:val="001D17F3"/>
    <w:rsid w:val="001D1899"/>
    <w:rsid w:val="001D18C5"/>
    <w:rsid w:val="001D194C"/>
    <w:rsid w:val="001D1B67"/>
    <w:rsid w:val="001D1CBE"/>
    <w:rsid w:val="001D1D02"/>
    <w:rsid w:val="001D1DF1"/>
    <w:rsid w:val="001D1F03"/>
    <w:rsid w:val="001D1F1A"/>
    <w:rsid w:val="001D2026"/>
    <w:rsid w:val="001D20E2"/>
    <w:rsid w:val="001D266B"/>
    <w:rsid w:val="001D27A1"/>
    <w:rsid w:val="001D2E7F"/>
    <w:rsid w:val="001D32C5"/>
    <w:rsid w:val="001D3440"/>
    <w:rsid w:val="001D3949"/>
    <w:rsid w:val="001D3B77"/>
    <w:rsid w:val="001D3CDF"/>
    <w:rsid w:val="001D3E18"/>
    <w:rsid w:val="001D3EA8"/>
    <w:rsid w:val="001D3F03"/>
    <w:rsid w:val="001D3F91"/>
    <w:rsid w:val="001D42FD"/>
    <w:rsid w:val="001D43AE"/>
    <w:rsid w:val="001D4530"/>
    <w:rsid w:val="001D4556"/>
    <w:rsid w:val="001D4573"/>
    <w:rsid w:val="001D46C8"/>
    <w:rsid w:val="001D473D"/>
    <w:rsid w:val="001D480C"/>
    <w:rsid w:val="001D48AC"/>
    <w:rsid w:val="001D497B"/>
    <w:rsid w:val="001D4A8C"/>
    <w:rsid w:val="001D4B1D"/>
    <w:rsid w:val="001D4D9F"/>
    <w:rsid w:val="001D4EDC"/>
    <w:rsid w:val="001D500F"/>
    <w:rsid w:val="001D5119"/>
    <w:rsid w:val="001D53BB"/>
    <w:rsid w:val="001D55A5"/>
    <w:rsid w:val="001D55E2"/>
    <w:rsid w:val="001D579C"/>
    <w:rsid w:val="001D5839"/>
    <w:rsid w:val="001D5887"/>
    <w:rsid w:val="001D5E88"/>
    <w:rsid w:val="001D5F33"/>
    <w:rsid w:val="001D6135"/>
    <w:rsid w:val="001D620D"/>
    <w:rsid w:val="001D6285"/>
    <w:rsid w:val="001D629A"/>
    <w:rsid w:val="001D6540"/>
    <w:rsid w:val="001D699D"/>
    <w:rsid w:val="001D6D75"/>
    <w:rsid w:val="001D71F5"/>
    <w:rsid w:val="001D7237"/>
    <w:rsid w:val="001D7468"/>
    <w:rsid w:val="001D74FE"/>
    <w:rsid w:val="001D7540"/>
    <w:rsid w:val="001D78B1"/>
    <w:rsid w:val="001D799A"/>
    <w:rsid w:val="001D7B73"/>
    <w:rsid w:val="001E006E"/>
    <w:rsid w:val="001E0415"/>
    <w:rsid w:val="001E068A"/>
    <w:rsid w:val="001E06B8"/>
    <w:rsid w:val="001E07CE"/>
    <w:rsid w:val="001E0A0A"/>
    <w:rsid w:val="001E0E94"/>
    <w:rsid w:val="001E0F98"/>
    <w:rsid w:val="001E114D"/>
    <w:rsid w:val="001E1917"/>
    <w:rsid w:val="001E1C6E"/>
    <w:rsid w:val="001E1D07"/>
    <w:rsid w:val="001E1FF5"/>
    <w:rsid w:val="001E2308"/>
    <w:rsid w:val="001E2398"/>
    <w:rsid w:val="001E259E"/>
    <w:rsid w:val="001E26D2"/>
    <w:rsid w:val="001E28A7"/>
    <w:rsid w:val="001E2BC6"/>
    <w:rsid w:val="001E2C49"/>
    <w:rsid w:val="001E2C94"/>
    <w:rsid w:val="001E2CEE"/>
    <w:rsid w:val="001E2D01"/>
    <w:rsid w:val="001E2D0D"/>
    <w:rsid w:val="001E2F75"/>
    <w:rsid w:val="001E2FDF"/>
    <w:rsid w:val="001E349A"/>
    <w:rsid w:val="001E34BF"/>
    <w:rsid w:val="001E353E"/>
    <w:rsid w:val="001E387D"/>
    <w:rsid w:val="001E3893"/>
    <w:rsid w:val="001E3CDA"/>
    <w:rsid w:val="001E3FC7"/>
    <w:rsid w:val="001E4012"/>
    <w:rsid w:val="001E403B"/>
    <w:rsid w:val="001E40D1"/>
    <w:rsid w:val="001E4146"/>
    <w:rsid w:val="001E4944"/>
    <w:rsid w:val="001E4D0F"/>
    <w:rsid w:val="001E4D7A"/>
    <w:rsid w:val="001E4E06"/>
    <w:rsid w:val="001E4F24"/>
    <w:rsid w:val="001E5213"/>
    <w:rsid w:val="001E55B9"/>
    <w:rsid w:val="001E5949"/>
    <w:rsid w:val="001E5E63"/>
    <w:rsid w:val="001E636C"/>
    <w:rsid w:val="001E655E"/>
    <w:rsid w:val="001E65EA"/>
    <w:rsid w:val="001E65FD"/>
    <w:rsid w:val="001E6970"/>
    <w:rsid w:val="001E6EDF"/>
    <w:rsid w:val="001E6FB6"/>
    <w:rsid w:val="001E72E2"/>
    <w:rsid w:val="001E750A"/>
    <w:rsid w:val="001E75C8"/>
    <w:rsid w:val="001E7713"/>
    <w:rsid w:val="001E788B"/>
    <w:rsid w:val="001E7B8E"/>
    <w:rsid w:val="001E7E33"/>
    <w:rsid w:val="001E7E7F"/>
    <w:rsid w:val="001E7FD5"/>
    <w:rsid w:val="001F030F"/>
    <w:rsid w:val="001F0D9C"/>
    <w:rsid w:val="001F0F4A"/>
    <w:rsid w:val="001F1247"/>
    <w:rsid w:val="001F12E4"/>
    <w:rsid w:val="001F13B3"/>
    <w:rsid w:val="001F1631"/>
    <w:rsid w:val="001F17A8"/>
    <w:rsid w:val="001F1BDC"/>
    <w:rsid w:val="001F1CCE"/>
    <w:rsid w:val="001F224F"/>
    <w:rsid w:val="001F279B"/>
    <w:rsid w:val="001F2819"/>
    <w:rsid w:val="001F2840"/>
    <w:rsid w:val="001F2AC8"/>
    <w:rsid w:val="001F2B72"/>
    <w:rsid w:val="001F2CE3"/>
    <w:rsid w:val="001F341B"/>
    <w:rsid w:val="001F3890"/>
    <w:rsid w:val="001F394F"/>
    <w:rsid w:val="001F3A3A"/>
    <w:rsid w:val="001F3A42"/>
    <w:rsid w:val="001F3A81"/>
    <w:rsid w:val="001F3D88"/>
    <w:rsid w:val="001F3FA8"/>
    <w:rsid w:val="001F412E"/>
    <w:rsid w:val="001F41A1"/>
    <w:rsid w:val="001F41B9"/>
    <w:rsid w:val="001F4675"/>
    <w:rsid w:val="001F4B1A"/>
    <w:rsid w:val="001F4BE5"/>
    <w:rsid w:val="001F4C3D"/>
    <w:rsid w:val="001F4C55"/>
    <w:rsid w:val="001F5560"/>
    <w:rsid w:val="001F594C"/>
    <w:rsid w:val="001F59F2"/>
    <w:rsid w:val="001F5E65"/>
    <w:rsid w:val="001F5FD6"/>
    <w:rsid w:val="001F65F9"/>
    <w:rsid w:val="001F6F31"/>
    <w:rsid w:val="001F71C2"/>
    <w:rsid w:val="001F71F9"/>
    <w:rsid w:val="001F720F"/>
    <w:rsid w:val="001F761D"/>
    <w:rsid w:val="001F772F"/>
    <w:rsid w:val="001F7762"/>
    <w:rsid w:val="001F7928"/>
    <w:rsid w:val="001F7A95"/>
    <w:rsid w:val="001F7D1F"/>
    <w:rsid w:val="001F7E4B"/>
    <w:rsid w:val="001F7F19"/>
    <w:rsid w:val="001F7FAB"/>
    <w:rsid w:val="00200104"/>
    <w:rsid w:val="0020037F"/>
    <w:rsid w:val="00200A2B"/>
    <w:rsid w:val="00200A47"/>
    <w:rsid w:val="00200AAF"/>
    <w:rsid w:val="00200ABD"/>
    <w:rsid w:val="00200DEC"/>
    <w:rsid w:val="00200E98"/>
    <w:rsid w:val="00200FA0"/>
    <w:rsid w:val="0020136C"/>
    <w:rsid w:val="002014A6"/>
    <w:rsid w:val="002015A4"/>
    <w:rsid w:val="0020164D"/>
    <w:rsid w:val="002016AE"/>
    <w:rsid w:val="0020171B"/>
    <w:rsid w:val="00201935"/>
    <w:rsid w:val="00201969"/>
    <w:rsid w:val="002019EB"/>
    <w:rsid w:val="002020CE"/>
    <w:rsid w:val="002020DE"/>
    <w:rsid w:val="002022B2"/>
    <w:rsid w:val="002025E4"/>
    <w:rsid w:val="00202621"/>
    <w:rsid w:val="00202659"/>
    <w:rsid w:val="00202B05"/>
    <w:rsid w:val="00202BB5"/>
    <w:rsid w:val="00202BFF"/>
    <w:rsid w:val="00202F8C"/>
    <w:rsid w:val="002030FF"/>
    <w:rsid w:val="002033FC"/>
    <w:rsid w:val="00203502"/>
    <w:rsid w:val="00203578"/>
    <w:rsid w:val="00203705"/>
    <w:rsid w:val="00203833"/>
    <w:rsid w:val="002038AD"/>
    <w:rsid w:val="00203AD2"/>
    <w:rsid w:val="00203E5D"/>
    <w:rsid w:val="00203F99"/>
    <w:rsid w:val="00203FC9"/>
    <w:rsid w:val="00204307"/>
    <w:rsid w:val="00204B2C"/>
    <w:rsid w:val="00204FDF"/>
    <w:rsid w:val="0020505D"/>
    <w:rsid w:val="00205140"/>
    <w:rsid w:val="002053E3"/>
    <w:rsid w:val="0020549F"/>
    <w:rsid w:val="002054A5"/>
    <w:rsid w:val="002055F4"/>
    <w:rsid w:val="0020573F"/>
    <w:rsid w:val="002059B9"/>
    <w:rsid w:val="00205AD2"/>
    <w:rsid w:val="0020609A"/>
    <w:rsid w:val="002060B9"/>
    <w:rsid w:val="0020642D"/>
    <w:rsid w:val="002066E3"/>
    <w:rsid w:val="00206712"/>
    <w:rsid w:val="002069FA"/>
    <w:rsid w:val="00206DEB"/>
    <w:rsid w:val="002070B2"/>
    <w:rsid w:val="002070BB"/>
    <w:rsid w:val="00207285"/>
    <w:rsid w:val="002072AA"/>
    <w:rsid w:val="00207323"/>
    <w:rsid w:val="00207434"/>
    <w:rsid w:val="002075AF"/>
    <w:rsid w:val="00207CC2"/>
    <w:rsid w:val="00207D56"/>
    <w:rsid w:val="00207F95"/>
    <w:rsid w:val="002105D2"/>
    <w:rsid w:val="00210652"/>
    <w:rsid w:val="002106E4"/>
    <w:rsid w:val="00210929"/>
    <w:rsid w:val="00210C45"/>
    <w:rsid w:val="00210D7B"/>
    <w:rsid w:val="00211158"/>
    <w:rsid w:val="00211251"/>
    <w:rsid w:val="0021128E"/>
    <w:rsid w:val="00211940"/>
    <w:rsid w:val="00211B95"/>
    <w:rsid w:val="00211F6F"/>
    <w:rsid w:val="002127FA"/>
    <w:rsid w:val="00212804"/>
    <w:rsid w:val="00212876"/>
    <w:rsid w:val="00212EE8"/>
    <w:rsid w:val="00213014"/>
    <w:rsid w:val="0021301E"/>
    <w:rsid w:val="002131F7"/>
    <w:rsid w:val="0021339B"/>
    <w:rsid w:val="002134F2"/>
    <w:rsid w:val="0021376C"/>
    <w:rsid w:val="00213A33"/>
    <w:rsid w:val="00213B14"/>
    <w:rsid w:val="00213DCD"/>
    <w:rsid w:val="00213E05"/>
    <w:rsid w:val="00213EB6"/>
    <w:rsid w:val="00214048"/>
    <w:rsid w:val="00214224"/>
    <w:rsid w:val="00214482"/>
    <w:rsid w:val="002144C3"/>
    <w:rsid w:val="002149DD"/>
    <w:rsid w:val="002149EF"/>
    <w:rsid w:val="00214B12"/>
    <w:rsid w:val="00214E49"/>
    <w:rsid w:val="0021540F"/>
    <w:rsid w:val="002156C3"/>
    <w:rsid w:val="0021599D"/>
    <w:rsid w:val="00215D45"/>
    <w:rsid w:val="00215D86"/>
    <w:rsid w:val="00215DDF"/>
    <w:rsid w:val="0021643F"/>
    <w:rsid w:val="002164F4"/>
    <w:rsid w:val="0021651D"/>
    <w:rsid w:val="00216685"/>
    <w:rsid w:val="002166C9"/>
    <w:rsid w:val="0021676D"/>
    <w:rsid w:val="00216775"/>
    <w:rsid w:val="00216A4E"/>
    <w:rsid w:val="00216AC5"/>
    <w:rsid w:val="00216D40"/>
    <w:rsid w:val="00216E89"/>
    <w:rsid w:val="00217077"/>
    <w:rsid w:val="002170F9"/>
    <w:rsid w:val="002176D4"/>
    <w:rsid w:val="0021781A"/>
    <w:rsid w:val="00217BC4"/>
    <w:rsid w:val="00217D3F"/>
    <w:rsid w:val="00217ED6"/>
    <w:rsid w:val="00220020"/>
    <w:rsid w:val="002201B2"/>
    <w:rsid w:val="00220365"/>
    <w:rsid w:val="002206B4"/>
    <w:rsid w:val="002207E7"/>
    <w:rsid w:val="00220A84"/>
    <w:rsid w:val="00220B84"/>
    <w:rsid w:val="00220DA8"/>
    <w:rsid w:val="00220E68"/>
    <w:rsid w:val="00221531"/>
    <w:rsid w:val="0022169C"/>
    <w:rsid w:val="00221739"/>
    <w:rsid w:val="00222251"/>
    <w:rsid w:val="002224FF"/>
    <w:rsid w:val="002225AA"/>
    <w:rsid w:val="00222659"/>
    <w:rsid w:val="00222805"/>
    <w:rsid w:val="002228A3"/>
    <w:rsid w:val="002229C5"/>
    <w:rsid w:val="002229D3"/>
    <w:rsid w:val="00222B3F"/>
    <w:rsid w:val="0022319D"/>
    <w:rsid w:val="002233AD"/>
    <w:rsid w:val="00223548"/>
    <w:rsid w:val="002235F4"/>
    <w:rsid w:val="00223659"/>
    <w:rsid w:val="00223662"/>
    <w:rsid w:val="00223933"/>
    <w:rsid w:val="00223C11"/>
    <w:rsid w:val="00223E6C"/>
    <w:rsid w:val="00223F7F"/>
    <w:rsid w:val="002242B7"/>
    <w:rsid w:val="0022431A"/>
    <w:rsid w:val="00224451"/>
    <w:rsid w:val="002246B2"/>
    <w:rsid w:val="0022483C"/>
    <w:rsid w:val="00224B48"/>
    <w:rsid w:val="00224B64"/>
    <w:rsid w:val="00224C5A"/>
    <w:rsid w:val="00224C6A"/>
    <w:rsid w:val="00224D47"/>
    <w:rsid w:val="00224E33"/>
    <w:rsid w:val="00224E7B"/>
    <w:rsid w:val="00224F20"/>
    <w:rsid w:val="00225172"/>
    <w:rsid w:val="002251E9"/>
    <w:rsid w:val="002252A0"/>
    <w:rsid w:val="002253F8"/>
    <w:rsid w:val="00225529"/>
    <w:rsid w:val="00225562"/>
    <w:rsid w:val="002256EE"/>
    <w:rsid w:val="002257AA"/>
    <w:rsid w:val="002258EC"/>
    <w:rsid w:val="00225983"/>
    <w:rsid w:val="00225B28"/>
    <w:rsid w:val="00225CCD"/>
    <w:rsid w:val="00226519"/>
    <w:rsid w:val="0022655B"/>
    <w:rsid w:val="002265BC"/>
    <w:rsid w:val="002266B8"/>
    <w:rsid w:val="002267CA"/>
    <w:rsid w:val="002269AB"/>
    <w:rsid w:val="00226A7B"/>
    <w:rsid w:val="00226B05"/>
    <w:rsid w:val="00226B26"/>
    <w:rsid w:val="00226C27"/>
    <w:rsid w:val="00226D4C"/>
    <w:rsid w:val="00227753"/>
    <w:rsid w:val="00227837"/>
    <w:rsid w:val="0022799C"/>
    <w:rsid w:val="002303C3"/>
    <w:rsid w:val="00230459"/>
    <w:rsid w:val="0023075A"/>
    <w:rsid w:val="002307E4"/>
    <w:rsid w:val="00230871"/>
    <w:rsid w:val="00231142"/>
    <w:rsid w:val="0023136C"/>
    <w:rsid w:val="002317AC"/>
    <w:rsid w:val="0023186F"/>
    <w:rsid w:val="00231A7F"/>
    <w:rsid w:val="00231C00"/>
    <w:rsid w:val="00231CC2"/>
    <w:rsid w:val="00231CEB"/>
    <w:rsid w:val="00231E2F"/>
    <w:rsid w:val="00231E3B"/>
    <w:rsid w:val="00231EB8"/>
    <w:rsid w:val="002322C4"/>
    <w:rsid w:val="002323E6"/>
    <w:rsid w:val="002325F8"/>
    <w:rsid w:val="00232638"/>
    <w:rsid w:val="0023265D"/>
    <w:rsid w:val="00232B47"/>
    <w:rsid w:val="00232B4C"/>
    <w:rsid w:val="0023309D"/>
    <w:rsid w:val="00233271"/>
    <w:rsid w:val="00233651"/>
    <w:rsid w:val="0023365A"/>
    <w:rsid w:val="002336B0"/>
    <w:rsid w:val="002337D6"/>
    <w:rsid w:val="00233B46"/>
    <w:rsid w:val="00233F8A"/>
    <w:rsid w:val="002343AD"/>
    <w:rsid w:val="00234457"/>
    <w:rsid w:val="00234493"/>
    <w:rsid w:val="0023457F"/>
    <w:rsid w:val="002346A7"/>
    <w:rsid w:val="00234781"/>
    <w:rsid w:val="002348F2"/>
    <w:rsid w:val="00234A28"/>
    <w:rsid w:val="00234FC3"/>
    <w:rsid w:val="0023500A"/>
    <w:rsid w:val="002350EE"/>
    <w:rsid w:val="00235150"/>
    <w:rsid w:val="002353D1"/>
    <w:rsid w:val="002354B9"/>
    <w:rsid w:val="002357D7"/>
    <w:rsid w:val="002358EF"/>
    <w:rsid w:val="0023592B"/>
    <w:rsid w:val="00235BF1"/>
    <w:rsid w:val="00235CCC"/>
    <w:rsid w:val="00235EB3"/>
    <w:rsid w:val="00236222"/>
    <w:rsid w:val="002366A4"/>
    <w:rsid w:val="00236984"/>
    <w:rsid w:val="002369FE"/>
    <w:rsid w:val="00236C9F"/>
    <w:rsid w:val="00236CB4"/>
    <w:rsid w:val="00237194"/>
    <w:rsid w:val="00237669"/>
    <w:rsid w:val="002376BE"/>
    <w:rsid w:val="002377AA"/>
    <w:rsid w:val="002377EF"/>
    <w:rsid w:val="00237897"/>
    <w:rsid w:val="00237C70"/>
    <w:rsid w:val="00237E3B"/>
    <w:rsid w:val="00240564"/>
    <w:rsid w:val="002406B5"/>
    <w:rsid w:val="002406D7"/>
    <w:rsid w:val="00240947"/>
    <w:rsid w:val="002409E8"/>
    <w:rsid w:val="00240BBC"/>
    <w:rsid w:val="002410B2"/>
    <w:rsid w:val="002412A9"/>
    <w:rsid w:val="0024154B"/>
    <w:rsid w:val="00241691"/>
    <w:rsid w:val="002416E8"/>
    <w:rsid w:val="00241726"/>
    <w:rsid w:val="00241B46"/>
    <w:rsid w:val="00241D46"/>
    <w:rsid w:val="00241E02"/>
    <w:rsid w:val="00241ECA"/>
    <w:rsid w:val="00241FA9"/>
    <w:rsid w:val="00241FBD"/>
    <w:rsid w:val="00242148"/>
    <w:rsid w:val="00242264"/>
    <w:rsid w:val="00242403"/>
    <w:rsid w:val="00242512"/>
    <w:rsid w:val="002426B8"/>
    <w:rsid w:val="00242A7D"/>
    <w:rsid w:val="00242C00"/>
    <w:rsid w:val="00242C7A"/>
    <w:rsid w:val="00242F2E"/>
    <w:rsid w:val="00242F53"/>
    <w:rsid w:val="00242FD4"/>
    <w:rsid w:val="00243058"/>
    <w:rsid w:val="00243288"/>
    <w:rsid w:val="00243591"/>
    <w:rsid w:val="00243636"/>
    <w:rsid w:val="002437C7"/>
    <w:rsid w:val="00243B4C"/>
    <w:rsid w:val="00243B72"/>
    <w:rsid w:val="00243CA3"/>
    <w:rsid w:val="00243EB8"/>
    <w:rsid w:val="00243F8E"/>
    <w:rsid w:val="00244099"/>
    <w:rsid w:val="00244164"/>
    <w:rsid w:val="002441E5"/>
    <w:rsid w:val="0024478D"/>
    <w:rsid w:val="00244804"/>
    <w:rsid w:val="00244C45"/>
    <w:rsid w:val="00245009"/>
    <w:rsid w:val="0024504B"/>
    <w:rsid w:val="002450A4"/>
    <w:rsid w:val="00245161"/>
    <w:rsid w:val="00245174"/>
    <w:rsid w:val="0024523A"/>
    <w:rsid w:val="0024553F"/>
    <w:rsid w:val="00245546"/>
    <w:rsid w:val="00245619"/>
    <w:rsid w:val="002459CF"/>
    <w:rsid w:val="00245EA4"/>
    <w:rsid w:val="00245EC6"/>
    <w:rsid w:val="00245F2C"/>
    <w:rsid w:val="00245F58"/>
    <w:rsid w:val="00245FBF"/>
    <w:rsid w:val="002460F9"/>
    <w:rsid w:val="002464BC"/>
    <w:rsid w:val="00246B43"/>
    <w:rsid w:val="00246CC7"/>
    <w:rsid w:val="0024708D"/>
    <w:rsid w:val="00247108"/>
    <w:rsid w:val="00247242"/>
    <w:rsid w:val="00247319"/>
    <w:rsid w:val="00247436"/>
    <w:rsid w:val="0024743E"/>
    <w:rsid w:val="0024760F"/>
    <w:rsid w:val="002476C4"/>
    <w:rsid w:val="00247A06"/>
    <w:rsid w:val="00247FAD"/>
    <w:rsid w:val="00247FE4"/>
    <w:rsid w:val="0025021A"/>
    <w:rsid w:val="0025036A"/>
    <w:rsid w:val="00250672"/>
    <w:rsid w:val="002506DA"/>
    <w:rsid w:val="00250C2A"/>
    <w:rsid w:val="00250EEE"/>
    <w:rsid w:val="002510AB"/>
    <w:rsid w:val="002510BC"/>
    <w:rsid w:val="0025130E"/>
    <w:rsid w:val="002517F9"/>
    <w:rsid w:val="002518E4"/>
    <w:rsid w:val="00251935"/>
    <w:rsid w:val="0025197D"/>
    <w:rsid w:val="00251CED"/>
    <w:rsid w:val="00251ED7"/>
    <w:rsid w:val="00252000"/>
    <w:rsid w:val="002520DC"/>
    <w:rsid w:val="002522A3"/>
    <w:rsid w:val="002527DF"/>
    <w:rsid w:val="0025281F"/>
    <w:rsid w:val="002529CC"/>
    <w:rsid w:val="00252BDD"/>
    <w:rsid w:val="00252D20"/>
    <w:rsid w:val="00253481"/>
    <w:rsid w:val="00253537"/>
    <w:rsid w:val="00253B15"/>
    <w:rsid w:val="00253B93"/>
    <w:rsid w:val="00253DF6"/>
    <w:rsid w:val="00253E54"/>
    <w:rsid w:val="00253ECF"/>
    <w:rsid w:val="00253F04"/>
    <w:rsid w:val="002541B4"/>
    <w:rsid w:val="00254213"/>
    <w:rsid w:val="002543D3"/>
    <w:rsid w:val="002543D9"/>
    <w:rsid w:val="00254711"/>
    <w:rsid w:val="00254774"/>
    <w:rsid w:val="00254899"/>
    <w:rsid w:val="002549BC"/>
    <w:rsid w:val="00254C10"/>
    <w:rsid w:val="00254E0E"/>
    <w:rsid w:val="00254E61"/>
    <w:rsid w:val="0025502E"/>
    <w:rsid w:val="002550BC"/>
    <w:rsid w:val="002554EC"/>
    <w:rsid w:val="0025562E"/>
    <w:rsid w:val="0025594D"/>
    <w:rsid w:val="00255B26"/>
    <w:rsid w:val="00255B43"/>
    <w:rsid w:val="00255FD9"/>
    <w:rsid w:val="00256077"/>
    <w:rsid w:val="002564B1"/>
    <w:rsid w:val="00256701"/>
    <w:rsid w:val="00256B06"/>
    <w:rsid w:val="00256D2F"/>
    <w:rsid w:val="00256EDC"/>
    <w:rsid w:val="002572AB"/>
    <w:rsid w:val="002573AC"/>
    <w:rsid w:val="0025756B"/>
    <w:rsid w:val="00257593"/>
    <w:rsid w:val="002575AA"/>
    <w:rsid w:val="0025786C"/>
    <w:rsid w:val="00257E65"/>
    <w:rsid w:val="0026019C"/>
    <w:rsid w:val="0026022B"/>
    <w:rsid w:val="0026029A"/>
    <w:rsid w:val="00260484"/>
    <w:rsid w:val="002606FE"/>
    <w:rsid w:val="002607E7"/>
    <w:rsid w:val="0026096D"/>
    <w:rsid w:val="002609A7"/>
    <w:rsid w:val="00260A8D"/>
    <w:rsid w:val="00260C7E"/>
    <w:rsid w:val="00260D49"/>
    <w:rsid w:val="00261069"/>
    <w:rsid w:val="00261194"/>
    <w:rsid w:val="00261322"/>
    <w:rsid w:val="002613B6"/>
    <w:rsid w:val="0026144F"/>
    <w:rsid w:val="002614E9"/>
    <w:rsid w:val="00261777"/>
    <w:rsid w:val="00261B48"/>
    <w:rsid w:val="00261CA7"/>
    <w:rsid w:val="00262160"/>
    <w:rsid w:val="00262173"/>
    <w:rsid w:val="002622BA"/>
    <w:rsid w:val="002624F9"/>
    <w:rsid w:val="00262719"/>
    <w:rsid w:val="00262978"/>
    <w:rsid w:val="00262B6C"/>
    <w:rsid w:val="00262E9B"/>
    <w:rsid w:val="00262F00"/>
    <w:rsid w:val="00263002"/>
    <w:rsid w:val="002630EB"/>
    <w:rsid w:val="002633BE"/>
    <w:rsid w:val="0026343B"/>
    <w:rsid w:val="002635F5"/>
    <w:rsid w:val="00263716"/>
    <w:rsid w:val="002638BF"/>
    <w:rsid w:val="002639C3"/>
    <w:rsid w:val="00263A1B"/>
    <w:rsid w:val="00263AEA"/>
    <w:rsid w:val="00263C8B"/>
    <w:rsid w:val="00263CEC"/>
    <w:rsid w:val="00264558"/>
    <w:rsid w:val="002645D6"/>
    <w:rsid w:val="00264650"/>
    <w:rsid w:val="002647B7"/>
    <w:rsid w:val="0026496A"/>
    <w:rsid w:val="00264983"/>
    <w:rsid w:val="00264A2A"/>
    <w:rsid w:val="00264D3F"/>
    <w:rsid w:val="00264E7D"/>
    <w:rsid w:val="0026528B"/>
    <w:rsid w:val="00265ACE"/>
    <w:rsid w:val="00265E74"/>
    <w:rsid w:val="00265F5E"/>
    <w:rsid w:val="002664E8"/>
    <w:rsid w:val="002664FA"/>
    <w:rsid w:val="002666AE"/>
    <w:rsid w:val="002666B2"/>
    <w:rsid w:val="0026695D"/>
    <w:rsid w:val="00266C79"/>
    <w:rsid w:val="00266DE6"/>
    <w:rsid w:val="0026709C"/>
    <w:rsid w:val="00267187"/>
    <w:rsid w:val="00267348"/>
    <w:rsid w:val="0026749F"/>
    <w:rsid w:val="002675AE"/>
    <w:rsid w:val="0026761A"/>
    <w:rsid w:val="00267738"/>
    <w:rsid w:val="0026785C"/>
    <w:rsid w:val="00267AF8"/>
    <w:rsid w:val="00267D82"/>
    <w:rsid w:val="00270148"/>
    <w:rsid w:val="0027030F"/>
    <w:rsid w:val="002705B0"/>
    <w:rsid w:val="002705FB"/>
    <w:rsid w:val="002705FC"/>
    <w:rsid w:val="0027096A"/>
    <w:rsid w:val="00270B53"/>
    <w:rsid w:val="00270CF5"/>
    <w:rsid w:val="00270E7B"/>
    <w:rsid w:val="00270FA7"/>
    <w:rsid w:val="00271215"/>
    <w:rsid w:val="00271270"/>
    <w:rsid w:val="0027127B"/>
    <w:rsid w:val="00271310"/>
    <w:rsid w:val="0027144C"/>
    <w:rsid w:val="002716C3"/>
    <w:rsid w:val="0027175F"/>
    <w:rsid w:val="00271B14"/>
    <w:rsid w:val="00271D7D"/>
    <w:rsid w:val="00271F33"/>
    <w:rsid w:val="00271F6D"/>
    <w:rsid w:val="002720A2"/>
    <w:rsid w:val="0027215C"/>
    <w:rsid w:val="0027222D"/>
    <w:rsid w:val="002722F5"/>
    <w:rsid w:val="00272398"/>
    <w:rsid w:val="002723BB"/>
    <w:rsid w:val="00272609"/>
    <w:rsid w:val="00272A47"/>
    <w:rsid w:val="00272B1F"/>
    <w:rsid w:val="00272C52"/>
    <w:rsid w:val="00272EDB"/>
    <w:rsid w:val="00272F70"/>
    <w:rsid w:val="0027340B"/>
    <w:rsid w:val="0027349F"/>
    <w:rsid w:val="002735D4"/>
    <w:rsid w:val="00273632"/>
    <w:rsid w:val="00273937"/>
    <w:rsid w:val="00273A08"/>
    <w:rsid w:val="00273CED"/>
    <w:rsid w:val="00273F5D"/>
    <w:rsid w:val="002741E7"/>
    <w:rsid w:val="002745AC"/>
    <w:rsid w:val="002747F5"/>
    <w:rsid w:val="00274801"/>
    <w:rsid w:val="00274866"/>
    <w:rsid w:val="00274BBE"/>
    <w:rsid w:val="00274CCB"/>
    <w:rsid w:val="00274D56"/>
    <w:rsid w:val="00274DFE"/>
    <w:rsid w:val="002750DC"/>
    <w:rsid w:val="002751BD"/>
    <w:rsid w:val="00275205"/>
    <w:rsid w:val="0027523A"/>
    <w:rsid w:val="00275250"/>
    <w:rsid w:val="00275657"/>
    <w:rsid w:val="002756FC"/>
    <w:rsid w:val="002758D2"/>
    <w:rsid w:val="0027593F"/>
    <w:rsid w:val="002759B8"/>
    <w:rsid w:val="00275A4F"/>
    <w:rsid w:val="00275BBD"/>
    <w:rsid w:val="00275FE1"/>
    <w:rsid w:val="00276382"/>
    <w:rsid w:val="002763F2"/>
    <w:rsid w:val="0027696E"/>
    <w:rsid w:val="002769E7"/>
    <w:rsid w:val="00276B09"/>
    <w:rsid w:val="00276E23"/>
    <w:rsid w:val="00277332"/>
    <w:rsid w:val="0027755D"/>
    <w:rsid w:val="0027775C"/>
    <w:rsid w:val="0027792F"/>
    <w:rsid w:val="00277A4C"/>
    <w:rsid w:val="00277B3B"/>
    <w:rsid w:val="00277DCA"/>
    <w:rsid w:val="00277FB6"/>
    <w:rsid w:val="00280214"/>
    <w:rsid w:val="00280301"/>
    <w:rsid w:val="002804BF"/>
    <w:rsid w:val="00280B88"/>
    <w:rsid w:val="002811FC"/>
    <w:rsid w:val="00281431"/>
    <w:rsid w:val="00281543"/>
    <w:rsid w:val="00281575"/>
    <w:rsid w:val="00281CBC"/>
    <w:rsid w:val="00281D89"/>
    <w:rsid w:val="0028206A"/>
    <w:rsid w:val="002820D5"/>
    <w:rsid w:val="00282193"/>
    <w:rsid w:val="002821FF"/>
    <w:rsid w:val="00282CCA"/>
    <w:rsid w:val="00282CFA"/>
    <w:rsid w:val="00282D4C"/>
    <w:rsid w:val="00282D67"/>
    <w:rsid w:val="00282DE4"/>
    <w:rsid w:val="0028347D"/>
    <w:rsid w:val="002834A1"/>
    <w:rsid w:val="0028392C"/>
    <w:rsid w:val="002839A3"/>
    <w:rsid w:val="00283AF1"/>
    <w:rsid w:val="00284057"/>
    <w:rsid w:val="002840A4"/>
    <w:rsid w:val="002840B3"/>
    <w:rsid w:val="002840B5"/>
    <w:rsid w:val="00284218"/>
    <w:rsid w:val="00284340"/>
    <w:rsid w:val="00284421"/>
    <w:rsid w:val="002844DD"/>
    <w:rsid w:val="00284829"/>
    <w:rsid w:val="00284A64"/>
    <w:rsid w:val="00284B95"/>
    <w:rsid w:val="00284C14"/>
    <w:rsid w:val="00284CDF"/>
    <w:rsid w:val="00285403"/>
    <w:rsid w:val="0028560E"/>
    <w:rsid w:val="00285736"/>
    <w:rsid w:val="0028584C"/>
    <w:rsid w:val="00285E95"/>
    <w:rsid w:val="00285F43"/>
    <w:rsid w:val="00285F86"/>
    <w:rsid w:val="002863F3"/>
    <w:rsid w:val="00286534"/>
    <w:rsid w:val="00286559"/>
    <w:rsid w:val="002868FB"/>
    <w:rsid w:val="002869CE"/>
    <w:rsid w:val="00286B18"/>
    <w:rsid w:val="00286E41"/>
    <w:rsid w:val="0028736E"/>
    <w:rsid w:val="0028782D"/>
    <w:rsid w:val="00287841"/>
    <w:rsid w:val="00287848"/>
    <w:rsid w:val="0028785C"/>
    <w:rsid w:val="002878CF"/>
    <w:rsid w:val="00287D45"/>
    <w:rsid w:val="00287EE6"/>
    <w:rsid w:val="00287FCF"/>
    <w:rsid w:val="002901E8"/>
    <w:rsid w:val="00290439"/>
    <w:rsid w:val="002907BD"/>
    <w:rsid w:val="00290B33"/>
    <w:rsid w:val="00290BA1"/>
    <w:rsid w:val="00290D0A"/>
    <w:rsid w:val="00290D2F"/>
    <w:rsid w:val="00291289"/>
    <w:rsid w:val="002912E4"/>
    <w:rsid w:val="00291550"/>
    <w:rsid w:val="002915F1"/>
    <w:rsid w:val="00291BD5"/>
    <w:rsid w:val="00291C9C"/>
    <w:rsid w:val="00291EDE"/>
    <w:rsid w:val="00291F95"/>
    <w:rsid w:val="00292153"/>
    <w:rsid w:val="002924E7"/>
    <w:rsid w:val="00292B9E"/>
    <w:rsid w:val="00292BFE"/>
    <w:rsid w:val="00292CC1"/>
    <w:rsid w:val="00292F92"/>
    <w:rsid w:val="002931AC"/>
    <w:rsid w:val="002931AD"/>
    <w:rsid w:val="002931F7"/>
    <w:rsid w:val="002934BC"/>
    <w:rsid w:val="002934E0"/>
    <w:rsid w:val="0029356C"/>
    <w:rsid w:val="002935D4"/>
    <w:rsid w:val="0029374D"/>
    <w:rsid w:val="002937F1"/>
    <w:rsid w:val="00293A58"/>
    <w:rsid w:val="00293D21"/>
    <w:rsid w:val="00293D5C"/>
    <w:rsid w:val="002940B5"/>
    <w:rsid w:val="00294287"/>
    <w:rsid w:val="002944F0"/>
    <w:rsid w:val="0029463E"/>
    <w:rsid w:val="00294802"/>
    <w:rsid w:val="00294C4E"/>
    <w:rsid w:val="00294E0D"/>
    <w:rsid w:val="00294EC1"/>
    <w:rsid w:val="00294F6A"/>
    <w:rsid w:val="0029517D"/>
    <w:rsid w:val="00295B7B"/>
    <w:rsid w:val="00295E57"/>
    <w:rsid w:val="00296166"/>
    <w:rsid w:val="002962AB"/>
    <w:rsid w:val="002963FB"/>
    <w:rsid w:val="00296497"/>
    <w:rsid w:val="002965F0"/>
    <w:rsid w:val="002966C9"/>
    <w:rsid w:val="00296878"/>
    <w:rsid w:val="00296900"/>
    <w:rsid w:val="00296B7B"/>
    <w:rsid w:val="00296F6B"/>
    <w:rsid w:val="002971EB"/>
    <w:rsid w:val="00297224"/>
    <w:rsid w:val="002974E5"/>
    <w:rsid w:val="00297516"/>
    <w:rsid w:val="002975CB"/>
    <w:rsid w:val="00297814"/>
    <w:rsid w:val="00297863"/>
    <w:rsid w:val="002978FB"/>
    <w:rsid w:val="00297A22"/>
    <w:rsid w:val="00297CA5"/>
    <w:rsid w:val="00297D3D"/>
    <w:rsid w:val="00297DD3"/>
    <w:rsid w:val="00297DF5"/>
    <w:rsid w:val="002A0013"/>
    <w:rsid w:val="002A004D"/>
    <w:rsid w:val="002A0116"/>
    <w:rsid w:val="002A0199"/>
    <w:rsid w:val="002A01D2"/>
    <w:rsid w:val="002A033C"/>
    <w:rsid w:val="002A03B6"/>
    <w:rsid w:val="002A04FA"/>
    <w:rsid w:val="002A07F7"/>
    <w:rsid w:val="002A08D3"/>
    <w:rsid w:val="002A0D0B"/>
    <w:rsid w:val="002A0EEF"/>
    <w:rsid w:val="002A1213"/>
    <w:rsid w:val="002A165D"/>
    <w:rsid w:val="002A1A98"/>
    <w:rsid w:val="002A1B2C"/>
    <w:rsid w:val="002A1C03"/>
    <w:rsid w:val="002A1DF8"/>
    <w:rsid w:val="002A216D"/>
    <w:rsid w:val="002A233C"/>
    <w:rsid w:val="002A243C"/>
    <w:rsid w:val="002A2495"/>
    <w:rsid w:val="002A2498"/>
    <w:rsid w:val="002A25D1"/>
    <w:rsid w:val="002A25EB"/>
    <w:rsid w:val="002A2BED"/>
    <w:rsid w:val="002A2DDA"/>
    <w:rsid w:val="002A2FD4"/>
    <w:rsid w:val="002A3051"/>
    <w:rsid w:val="002A329B"/>
    <w:rsid w:val="002A339B"/>
    <w:rsid w:val="002A361F"/>
    <w:rsid w:val="002A37EB"/>
    <w:rsid w:val="002A3848"/>
    <w:rsid w:val="002A3A48"/>
    <w:rsid w:val="002A3B26"/>
    <w:rsid w:val="002A3D1A"/>
    <w:rsid w:val="002A418A"/>
    <w:rsid w:val="002A41E4"/>
    <w:rsid w:val="002A4464"/>
    <w:rsid w:val="002A4503"/>
    <w:rsid w:val="002A46F7"/>
    <w:rsid w:val="002A4AA4"/>
    <w:rsid w:val="002A4BFB"/>
    <w:rsid w:val="002A4C61"/>
    <w:rsid w:val="002A4EE3"/>
    <w:rsid w:val="002A5093"/>
    <w:rsid w:val="002A52F6"/>
    <w:rsid w:val="002A547A"/>
    <w:rsid w:val="002A547F"/>
    <w:rsid w:val="002A548C"/>
    <w:rsid w:val="002A583F"/>
    <w:rsid w:val="002A5A10"/>
    <w:rsid w:val="002A5C53"/>
    <w:rsid w:val="002A5D00"/>
    <w:rsid w:val="002A5F1D"/>
    <w:rsid w:val="002A6029"/>
    <w:rsid w:val="002A60AE"/>
    <w:rsid w:val="002A627B"/>
    <w:rsid w:val="002A69F8"/>
    <w:rsid w:val="002A6A23"/>
    <w:rsid w:val="002A6BD8"/>
    <w:rsid w:val="002A6D49"/>
    <w:rsid w:val="002A70C2"/>
    <w:rsid w:val="002A742D"/>
    <w:rsid w:val="002A74B9"/>
    <w:rsid w:val="002A7577"/>
    <w:rsid w:val="002A79F2"/>
    <w:rsid w:val="002A7EFD"/>
    <w:rsid w:val="002B0060"/>
    <w:rsid w:val="002B01B4"/>
    <w:rsid w:val="002B02E1"/>
    <w:rsid w:val="002B0557"/>
    <w:rsid w:val="002B069C"/>
    <w:rsid w:val="002B0706"/>
    <w:rsid w:val="002B0785"/>
    <w:rsid w:val="002B08EC"/>
    <w:rsid w:val="002B1004"/>
    <w:rsid w:val="002B1380"/>
    <w:rsid w:val="002B13B0"/>
    <w:rsid w:val="002B14FA"/>
    <w:rsid w:val="002B187B"/>
    <w:rsid w:val="002B187C"/>
    <w:rsid w:val="002B1B69"/>
    <w:rsid w:val="002B1C25"/>
    <w:rsid w:val="002B2387"/>
    <w:rsid w:val="002B2622"/>
    <w:rsid w:val="002B28E5"/>
    <w:rsid w:val="002B2B70"/>
    <w:rsid w:val="002B2C3F"/>
    <w:rsid w:val="002B2FF4"/>
    <w:rsid w:val="002B3091"/>
    <w:rsid w:val="002B320F"/>
    <w:rsid w:val="002B3331"/>
    <w:rsid w:val="002B35E7"/>
    <w:rsid w:val="002B3B2B"/>
    <w:rsid w:val="002B40BB"/>
    <w:rsid w:val="002B4360"/>
    <w:rsid w:val="002B439D"/>
    <w:rsid w:val="002B43C9"/>
    <w:rsid w:val="002B43F1"/>
    <w:rsid w:val="002B4708"/>
    <w:rsid w:val="002B4806"/>
    <w:rsid w:val="002B48FA"/>
    <w:rsid w:val="002B4B11"/>
    <w:rsid w:val="002B4B30"/>
    <w:rsid w:val="002B4BAC"/>
    <w:rsid w:val="002B4BD4"/>
    <w:rsid w:val="002B4EDF"/>
    <w:rsid w:val="002B52C0"/>
    <w:rsid w:val="002B52F6"/>
    <w:rsid w:val="002B54CA"/>
    <w:rsid w:val="002B55AF"/>
    <w:rsid w:val="002B56D4"/>
    <w:rsid w:val="002B5CC7"/>
    <w:rsid w:val="002B5CF2"/>
    <w:rsid w:val="002B5CFB"/>
    <w:rsid w:val="002B5D69"/>
    <w:rsid w:val="002B5DFB"/>
    <w:rsid w:val="002B5ED2"/>
    <w:rsid w:val="002B5F8A"/>
    <w:rsid w:val="002B6085"/>
    <w:rsid w:val="002B6093"/>
    <w:rsid w:val="002B60CD"/>
    <w:rsid w:val="002B6292"/>
    <w:rsid w:val="002B6637"/>
    <w:rsid w:val="002B6990"/>
    <w:rsid w:val="002B6CD8"/>
    <w:rsid w:val="002B6E66"/>
    <w:rsid w:val="002B7707"/>
    <w:rsid w:val="002B7735"/>
    <w:rsid w:val="002B7780"/>
    <w:rsid w:val="002B786A"/>
    <w:rsid w:val="002B7B38"/>
    <w:rsid w:val="002B7BC0"/>
    <w:rsid w:val="002B7F7C"/>
    <w:rsid w:val="002C0023"/>
    <w:rsid w:val="002C03D4"/>
    <w:rsid w:val="002C0551"/>
    <w:rsid w:val="002C0A99"/>
    <w:rsid w:val="002C0AEA"/>
    <w:rsid w:val="002C0B33"/>
    <w:rsid w:val="002C0C77"/>
    <w:rsid w:val="002C0CB8"/>
    <w:rsid w:val="002C0E92"/>
    <w:rsid w:val="002C0FDA"/>
    <w:rsid w:val="002C0FE5"/>
    <w:rsid w:val="002C11A9"/>
    <w:rsid w:val="002C1212"/>
    <w:rsid w:val="002C12C4"/>
    <w:rsid w:val="002C1603"/>
    <w:rsid w:val="002C1623"/>
    <w:rsid w:val="002C174B"/>
    <w:rsid w:val="002C17EB"/>
    <w:rsid w:val="002C1F16"/>
    <w:rsid w:val="002C1FD5"/>
    <w:rsid w:val="002C21F0"/>
    <w:rsid w:val="002C2378"/>
    <w:rsid w:val="002C23FD"/>
    <w:rsid w:val="002C26BB"/>
    <w:rsid w:val="002C2C15"/>
    <w:rsid w:val="002C3065"/>
    <w:rsid w:val="002C31CA"/>
    <w:rsid w:val="002C32D6"/>
    <w:rsid w:val="002C3386"/>
    <w:rsid w:val="002C33F2"/>
    <w:rsid w:val="002C365B"/>
    <w:rsid w:val="002C3680"/>
    <w:rsid w:val="002C3718"/>
    <w:rsid w:val="002C387E"/>
    <w:rsid w:val="002C39FC"/>
    <w:rsid w:val="002C3AE6"/>
    <w:rsid w:val="002C3B83"/>
    <w:rsid w:val="002C3DAA"/>
    <w:rsid w:val="002C3E59"/>
    <w:rsid w:val="002C41FD"/>
    <w:rsid w:val="002C420A"/>
    <w:rsid w:val="002C432D"/>
    <w:rsid w:val="002C44C8"/>
    <w:rsid w:val="002C44E7"/>
    <w:rsid w:val="002C4662"/>
    <w:rsid w:val="002C476C"/>
    <w:rsid w:val="002C4A3E"/>
    <w:rsid w:val="002C4E17"/>
    <w:rsid w:val="002C5001"/>
    <w:rsid w:val="002C5104"/>
    <w:rsid w:val="002C514D"/>
    <w:rsid w:val="002C521C"/>
    <w:rsid w:val="002C5600"/>
    <w:rsid w:val="002C5772"/>
    <w:rsid w:val="002C5782"/>
    <w:rsid w:val="002C5981"/>
    <w:rsid w:val="002C5CA0"/>
    <w:rsid w:val="002C5D14"/>
    <w:rsid w:val="002C5E80"/>
    <w:rsid w:val="002C5F7F"/>
    <w:rsid w:val="002C6083"/>
    <w:rsid w:val="002C614F"/>
    <w:rsid w:val="002C679D"/>
    <w:rsid w:val="002C6C12"/>
    <w:rsid w:val="002C6C67"/>
    <w:rsid w:val="002C6D08"/>
    <w:rsid w:val="002C6FD1"/>
    <w:rsid w:val="002C70D8"/>
    <w:rsid w:val="002C712D"/>
    <w:rsid w:val="002C72E6"/>
    <w:rsid w:val="002C733D"/>
    <w:rsid w:val="002C73CE"/>
    <w:rsid w:val="002C7AFA"/>
    <w:rsid w:val="002C7B9D"/>
    <w:rsid w:val="002C7C12"/>
    <w:rsid w:val="002C7E68"/>
    <w:rsid w:val="002C7EE2"/>
    <w:rsid w:val="002D0259"/>
    <w:rsid w:val="002D039C"/>
    <w:rsid w:val="002D03E2"/>
    <w:rsid w:val="002D0464"/>
    <w:rsid w:val="002D053C"/>
    <w:rsid w:val="002D06C0"/>
    <w:rsid w:val="002D07A7"/>
    <w:rsid w:val="002D0851"/>
    <w:rsid w:val="002D0C30"/>
    <w:rsid w:val="002D0E48"/>
    <w:rsid w:val="002D0E98"/>
    <w:rsid w:val="002D0F07"/>
    <w:rsid w:val="002D1311"/>
    <w:rsid w:val="002D13A5"/>
    <w:rsid w:val="002D15F5"/>
    <w:rsid w:val="002D16C2"/>
    <w:rsid w:val="002D1C84"/>
    <w:rsid w:val="002D1D56"/>
    <w:rsid w:val="002D1D67"/>
    <w:rsid w:val="002D1E4F"/>
    <w:rsid w:val="002D2199"/>
    <w:rsid w:val="002D22B1"/>
    <w:rsid w:val="002D2700"/>
    <w:rsid w:val="002D276A"/>
    <w:rsid w:val="002D276D"/>
    <w:rsid w:val="002D2DAF"/>
    <w:rsid w:val="002D2EC3"/>
    <w:rsid w:val="002D300B"/>
    <w:rsid w:val="002D31F2"/>
    <w:rsid w:val="002D371C"/>
    <w:rsid w:val="002D3A11"/>
    <w:rsid w:val="002D3B13"/>
    <w:rsid w:val="002D3B15"/>
    <w:rsid w:val="002D3B8E"/>
    <w:rsid w:val="002D3BD1"/>
    <w:rsid w:val="002D4119"/>
    <w:rsid w:val="002D43F7"/>
    <w:rsid w:val="002D469B"/>
    <w:rsid w:val="002D46DA"/>
    <w:rsid w:val="002D47AE"/>
    <w:rsid w:val="002D49B5"/>
    <w:rsid w:val="002D4B31"/>
    <w:rsid w:val="002D4B3E"/>
    <w:rsid w:val="002D4EE0"/>
    <w:rsid w:val="002D5213"/>
    <w:rsid w:val="002D5265"/>
    <w:rsid w:val="002D5365"/>
    <w:rsid w:val="002D546C"/>
    <w:rsid w:val="002D567E"/>
    <w:rsid w:val="002D56FD"/>
    <w:rsid w:val="002D5900"/>
    <w:rsid w:val="002D5AE5"/>
    <w:rsid w:val="002D5C8A"/>
    <w:rsid w:val="002D5CE4"/>
    <w:rsid w:val="002D5DE0"/>
    <w:rsid w:val="002D5FD8"/>
    <w:rsid w:val="002D64F3"/>
    <w:rsid w:val="002D6535"/>
    <w:rsid w:val="002D66F3"/>
    <w:rsid w:val="002D6B1C"/>
    <w:rsid w:val="002D6CC2"/>
    <w:rsid w:val="002D6D3A"/>
    <w:rsid w:val="002D7477"/>
    <w:rsid w:val="002D7714"/>
    <w:rsid w:val="002D7741"/>
    <w:rsid w:val="002D77EE"/>
    <w:rsid w:val="002D7845"/>
    <w:rsid w:val="002D7BF7"/>
    <w:rsid w:val="002D7C20"/>
    <w:rsid w:val="002D7D2C"/>
    <w:rsid w:val="002D7E76"/>
    <w:rsid w:val="002D7EE1"/>
    <w:rsid w:val="002D7F88"/>
    <w:rsid w:val="002E073A"/>
    <w:rsid w:val="002E0781"/>
    <w:rsid w:val="002E0E68"/>
    <w:rsid w:val="002E0E9F"/>
    <w:rsid w:val="002E1056"/>
    <w:rsid w:val="002E105A"/>
    <w:rsid w:val="002E132C"/>
    <w:rsid w:val="002E1665"/>
    <w:rsid w:val="002E1845"/>
    <w:rsid w:val="002E1975"/>
    <w:rsid w:val="002E1D94"/>
    <w:rsid w:val="002E1DA6"/>
    <w:rsid w:val="002E1FBA"/>
    <w:rsid w:val="002E2213"/>
    <w:rsid w:val="002E2330"/>
    <w:rsid w:val="002E2383"/>
    <w:rsid w:val="002E25FF"/>
    <w:rsid w:val="002E29DC"/>
    <w:rsid w:val="002E2A5D"/>
    <w:rsid w:val="002E2ADA"/>
    <w:rsid w:val="002E2B9D"/>
    <w:rsid w:val="002E2C4C"/>
    <w:rsid w:val="002E2E01"/>
    <w:rsid w:val="002E2F8F"/>
    <w:rsid w:val="002E2FAA"/>
    <w:rsid w:val="002E300F"/>
    <w:rsid w:val="002E3021"/>
    <w:rsid w:val="002E324D"/>
    <w:rsid w:val="002E346D"/>
    <w:rsid w:val="002E3520"/>
    <w:rsid w:val="002E3535"/>
    <w:rsid w:val="002E35AD"/>
    <w:rsid w:val="002E377E"/>
    <w:rsid w:val="002E3922"/>
    <w:rsid w:val="002E3996"/>
    <w:rsid w:val="002E3B5E"/>
    <w:rsid w:val="002E3BA8"/>
    <w:rsid w:val="002E3D0B"/>
    <w:rsid w:val="002E3E78"/>
    <w:rsid w:val="002E3F08"/>
    <w:rsid w:val="002E407A"/>
    <w:rsid w:val="002E4107"/>
    <w:rsid w:val="002E41D3"/>
    <w:rsid w:val="002E41DB"/>
    <w:rsid w:val="002E444D"/>
    <w:rsid w:val="002E48FA"/>
    <w:rsid w:val="002E4B11"/>
    <w:rsid w:val="002E50AF"/>
    <w:rsid w:val="002E512C"/>
    <w:rsid w:val="002E5341"/>
    <w:rsid w:val="002E536E"/>
    <w:rsid w:val="002E53F7"/>
    <w:rsid w:val="002E552D"/>
    <w:rsid w:val="002E56CF"/>
    <w:rsid w:val="002E57C8"/>
    <w:rsid w:val="002E5888"/>
    <w:rsid w:val="002E5A1D"/>
    <w:rsid w:val="002E5B3A"/>
    <w:rsid w:val="002E5EAA"/>
    <w:rsid w:val="002E5F5A"/>
    <w:rsid w:val="002E6311"/>
    <w:rsid w:val="002E63F8"/>
    <w:rsid w:val="002E6483"/>
    <w:rsid w:val="002E64AC"/>
    <w:rsid w:val="002E658D"/>
    <w:rsid w:val="002E671C"/>
    <w:rsid w:val="002E6A1A"/>
    <w:rsid w:val="002E6CE9"/>
    <w:rsid w:val="002E6D78"/>
    <w:rsid w:val="002E72F2"/>
    <w:rsid w:val="002E73EA"/>
    <w:rsid w:val="002E75FD"/>
    <w:rsid w:val="002E76E8"/>
    <w:rsid w:val="002F0067"/>
    <w:rsid w:val="002F00A2"/>
    <w:rsid w:val="002F00E0"/>
    <w:rsid w:val="002F0336"/>
    <w:rsid w:val="002F0717"/>
    <w:rsid w:val="002F0852"/>
    <w:rsid w:val="002F08F3"/>
    <w:rsid w:val="002F0BC5"/>
    <w:rsid w:val="002F0BE4"/>
    <w:rsid w:val="002F10FA"/>
    <w:rsid w:val="002F167D"/>
    <w:rsid w:val="002F194F"/>
    <w:rsid w:val="002F1CBC"/>
    <w:rsid w:val="002F1E3E"/>
    <w:rsid w:val="002F2139"/>
    <w:rsid w:val="002F2705"/>
    <w:rsid w:val="002F2951"/>
    <w:rsid w:val="002F2A93"/>
    <w:rsid w:val="002F307B"/>
    <w:rsid w:val="002F3081"/>
    <w:rsid w:val="002F30CF"/>
    <w:rsid w:val="002F34F0"/>
    <w:rsid w:val="002F37ED"/>
    <w:rsid w:val="002F389B"/>
    <w:rsid w:val="002F3926"/>
    <w:rsid w:val="002F3C71"/>
    <w:rsid w:val="002F3F5E"/>
    <w:rsid w:val="002F3FCD"/>
    <w:rsid w:val="002F421D"/>
    <w:rsid w:val="002F473A"/>
    <w:rsid w:val="002F478F"/>
    <w:rsid w:val="002F482C"/>
    <w:rsid w:val="002F4B00"/>
    <w:rsid w:val="002F4C55"/>
    <w:rsid w:val="002F4D65"/>
    <w:rsid w:val="002F4FB5"/>
    <w:rsid w:val="002F5144"/>
    <w:rsid w:val="002F5BD6"/>
    <w:rsid w:val="002F6041"/>
    <w:rsid w:val="002F6101"/>
    <w:rsid w:val="002F61C8"/>
    <w:rsid w:val="002F6320"/>
    <w:rsid w:val="002F68E3"/>
    <w:rsid w:val="002F6A58"/>
    <w:rsid w:val="002F6C87"/>
    <w:rsid w:val="002F6C8B"/>
    <w:rsid w:val="002F6DAB"/>
    <w:rsid w:val="002F70D5"/>
    <w:rsid w:val="002F73E0"/>
    <w:rsid w:val="002F76C3"/>
    <w:rsid w:val="002F78D5"/>
    <w:rsid w:val="002F7D16"/>
    <w:rsid w:val="002F7E24"/>
    <w:rsid w:val="002F7E70"/>
    <w:rsid w:val="002F7F44"/>
    <w:rsid w:val="003000C8"/>
    <w:rsid w:val="00300119"/>
    <w:rsid w:val="003003E4"/>
    <w:rsid w:val="003007BD"/>
    <w:rsid w:val="003009C2"/>
    <w:rsid w:val="00300C98"/>
    <w:rsid w:val="00300D93"/>
    <w:rsid w:val="00301161"/>
    <w:rsid w:val="00301467"/>
    <w:rsid w:val="0030169A"/>
    <w:rsid w:val="00301BC5"/>
    <w:rsid w:val="00301C54"/>
    <w:rsid w:val="00301D13"/>
    <w:rsid w:val="00301E3A"/>
    <w:rsid w:val="00301FFD"/>
    <w:rsid w:val="0030204D"/>
    <w:rsid w:val="00302093"/>
    <w:rsid w:val="0030224A"/>
    <w:rsid w:val="00302451"/>
    <w:rsid w:val="003025AA"/>
    <w:rsid w:val="0030270E"/>
    <w:rsid w:val="00302FEE"/>
    <w:rsid w:val="00303040"/>
    <w:rsid w:val="003030B7"/>
    <w:rsid w:val="0030313C"/>
    <w:rsid w:val="0030317E"/>
    <w:rsid w:val="003032C9"/>
    <w:rsid w:val="00303305"/>
    <w:rsid w:val="003036E8"/>
    <w:rsid w:val="003037DB"/>
    <w:rsid w:val="00303A4E"/>
    <w:rsid w:val="00303B93"/>
    <w:rsid w:val="00303CD6"/>
    <w:rsid w:val="00304059"/>
    <w:rsid w:val="003042B0"/>
    <w:rsid w:val="0030457B"/>
    <w:rsid w:val="00304F3A"/>
    <w:rsid w:val="003053A5"/>
    <w:rsid w:val="003053AF"/>
    <w:rsid w:val="003054A4"/>
    <w:rsid w:val="003054F2"/>
    <w:rsid w:val="00305873"/>
    <w:rsid w:val="00305874"/>
    <w:rsid w:val="003058D5"/>
    <w:rsid w:val="00305F4A"/>
    <w:rsid w:val="00305FF0"/>
    <w:rsid w:val="003060DB"/>
    <w:rsid w:val="00306248"/>
    <w:rsid w:val="0030636D"/>
    <w:rsid w:val="00306435"/>
    <w:rsid w:val="003065A2"/>
    <w:rsid w:val="0030689A"/>
    <w:rsid w:val="00306B25"/>
    <w:rsid w:val="00306C35"/>
    <w:rsid w:val="00306E2A"/>
    <w:rsid w:val="003074E2"/>
    <w:rsid w:val="00307541"/>
    <w:rsid w:val="0030776B"/>
    <w:rsid w:val="0030783E"/>
    <w:rsid w:val="00307962"/>
    <w:rsid w:val="00307C8E"/>
    <w:rsid w:val="00307CFB"/>
    <w:rsid w:val="00307E5E"/>
    <w:rsid w:val="003104BD"/>
    <w:rsid w:val="00310724"/>
    <w:rsid w:val="003109F0"/>
    <w:rsid w:val="00310A06"/>
    <w:rsid w:val="00310B6F"/>
    <w:rsid w:val="00310BA5"/>
    <w:rsid w:val="0031114E"/>
    <w:rsid w:val="0031158D"/>
    <w:rsid w:val="00311652"/>
    <w:rsid w:val="003116A5"/>
    <w:rsid w:val="00311B04"/>
    <w:rsid w:val="00311CA2"/>
    <w:rsid w:val="00311D46"/>
    <w:rsid w:val="00311DE5"/>
    <w:rsid w:val="00311F56"/>
    <w:rsid w:val="0031208B"/>
    <w:rsid w:val="003122A1"/>
    <w:rsid w:val="0031237F"/>
    <w:rsid w:val="0031243F"/>
    <w:rsid w:val="00312730"/>
    <w:rsid w:val="003127D2"/>
    <w:rsid w:val="00312CF0"/>
    <w:rsid w:val="00312D82"/>
    <w:rsid w:val="00312DF1"/>
    <w:rsid w:val="00312F7E"/>
    <w:rsid w:val="00313101"/>
    <w:rsid w:val="003135AF"/>
    <w:rsid w:val="00313831"/>
    <w:rsid w:val="003138C5"/>
    <w:rsid w:val="0031393B"/>
    <w:rsid w:val="003139C0"/>
    <w:rsid w:val="00313F3F"/>
    <w:rsid w:val="003141E5"/>
    <w:rsid w:val="0031422B"/>
    <w:rsid w:val="0031435D"/>
    <w:rsid w:val="003144C5"/>
    <w:rsid w:val="0031463A"/>
    <w:rsid w:val="00314B35"/>
    <w:rsid w:val="00315056"/>
    <w:rsid w:val="0031520D"/>
    <w:rsid w:val="00315287"/>
    <w:rsid w:val="00315302"/>
    <w:rsid w:val="00315586"/>
    <w:rsid w:val="00315707"/>
    <w:rsid w:val="00315A90"/>
    <w:rsid w:val="00315BD1"/>
    <w:rsid w:val="00315F3E"/>
    <w:rsid w:val="0031602F"/>
    <w:rsid w:val="0031635C"/>
    <w:rsid w:val="00316492"/>
    <w:rsid w:val="00316886"/>
    <w:rsid w:val="00316AE2"/>
    <w:rsid w:val="00316CDC"/>
    <w:rsid w:val="00316EFD"/>
    <w:rsid w:val="00316F7D"/>
    <w:rsid w:val="003173CB"/>
    <w:rsid w:val="003173EA"/>
    <w:rsid w:val="00317418"/>
    <w:rsid w:val="003176F5"/>
    <w:rsid w:val="003178BB"/>
    <w:rsid w:val="003179E7"/>
    <w:rsid w:val="00317BE4"/>
    <w:rsid w:val="00317EF0"/>
    <w:rsid w:val="00320015"/>
    <w:rsid w:val="00320086"/>
    <w:rsid w:val="003202D2"/>
    <w:rsid w:val="003202E9"/>
    <w:rsid w:val="003203F0"/>
    <w:rsid w:val="0032040E"/>
    <w:rsid w:val="003209BB"/>
    <w:rsid w:val="00320A66"/>
    <w:rsid w:val="00320BFB"/>
    <w:rsid w:val="00320DF2"/>
    <w:rsid w:val="00320FDB"/>
    <w:rsid w:val="0032110B"/>
    <w:rsid w:val="003212B3"/>
    <w:rsid w:val="00321439"/>
    <w:rsid w:val="00321580"/>
    <w:rsid w:val="003215F3"/>
    <w:rsid w:val="003217A9"/>
    <w:rsid w:val="00321985"/>
    <w:rsid w:val="003219F6"/>
    <w:rsid w:val="00321A33"/>
    <w:rsid w:val="00321BAE"/>
    <w:rsid w:val="00321C36"/>
    <w:rsid w:val="00321F6F"/>
    <w:rsid w:val="003220ED"/>
    <w:rsid w:val="003223A6"/>
    <w:rsid w:val="003227C6"/>
    <w:rsid w:val="00322819"/>
    <w:rsid w:val="00322A89"/>
    <w:rsid w:val="00322ADD"/>
    <w:rsid w:val="00322BF7"/>
    <w:rsid w:val="00322E2C"/>
    <w:rsid w:val="00323395"/>
    <w:rsid w:val="003235C9"/>
    <w:rsid w:val="00323606"/>
    <w:rsid w:val="00323612"/>
    <w:rsid w:val="003236A0"/>
    <w:rsid w:val="00323958"/>
    <w:rsid w:val="00323D92"/>
    <w:rsid w:val="003240B3"/>
    <w:rsid w:val="003240F9"/>
    <w:rsid w:val="00324235"/>
    <w:rsid w:val="0032455E"/>
    <w:rsid w:val="003245D5"/>
    <w:rsid w:val="003245E6"/>
    <w:rsid w:val="003248F7"/>
    <w:rsid w:val="00324F23"/>
    <w:rsid w:val="003253DA"/>
    <w:rsid w:val="0032544F"/>
    <w:rsid w:val="00325820"/>
    <w:rsid w:val="0032590A"/>
    <w:rsid w:val="00325C4C"/>
    <w:rsid w:val="00325D6C"/>
    <w:rsid w:val="00326051"/>
    <w:rsid w:val="00326197"/>
    <w:rsid w:val="00326367"/>
    <w:rsid w:val="003263EE"/>
    <w:rsid w:val="00326719"/>
    <w:rsid w:val="00326863"/>
    <w:rsid w:val="003268BB"/>
    <w:rsid w:val="003268F0"/>
    <w:rsid w:val="00326E29"/>
    <w:rsid w:val="00326EFE"/>
    <w:rsid w:val="00327100"/>
    <w:rsid w:val="0032730A"/>
    <w:rsid w:val="00327466"/>
    <w:rsid w:val="0032783B"/>
    <w:rsid w:val="00327893"/>
    <w:rsid w:val="00327992"/>
    <w:rsid w:val="00327B96"/>
    <w:rsid w:val="003303B5"/>
    <w:rsid w:val="003307A5"/>
    <w:rsid w:val="003308BB"/>
    <w:rsid w:val="00330CAE"/>
    <w:rsid w:val="00330CD8"/>
    <w:rsid w:val="00330E0A"/>
    <w:rsid w:val="003310B5"/>
    <w:rsid w:val="003316D3"/>
    <w:rsid w:val="00331937"/>
    <w:rsid w:val="00332013"/>
    <w:rsid w:val="00332144"/>
    <w:rsid w:val="00332188"/>
    <w:rsid w:val="0033228B"/>
    <w:rsid w:val="00332373"/>
    <w:rsid w:val="003325F9"/>
    <w:rsid w:val="0033261C"/>
    <w:rsid w:val="00332630"/>
    <w:rsid w:val="003327D0"/>
    <w:rsid w:val="00332B78"/>
    <w:rsid w:val="00332DCF"/>
    <w:rsid w:val="00332FFC"/>
    <w:rsid w:val="00333390"/>
    <w:rsid w:val="003334A9"/>
    <w:rsid w:val="003334AF"/>
    <w:rsid w:val="00333711"/>
    <w:rsid w:val="0033374D"/>
    <w:rsid w:val="00333A2E"/>
    <w:rsid w:val="00333D48"/>
    <w:rsid w:val="003340FF"/>
    <w:rsid w:val="003341BF"/>
    <w:rsid w:val="00334445"/>
    <w:rsid w:val="003349CC"/>
    <w:rsid w:val="003349D6"/>
    <w:rsid w:val="00334FB2"/>
    <w:rsid w:val="00335110"/>
    <w:rsid w:val="0033530A"/>
    <w:rsid w:val="00335319"/>
    <w:rsid w:val="00335437"/>
    <w:rsid w:val="00335BC5"/>
    <w:rsid w:val="00335BDC"/>
    <w:rsid w:val="00335C40"/>
    <w:rsid w:val="00335E93"/>
    <w:rsid w:val="003361EE"/>
    <w:rsid w:val="00336264"/>
    <w:rsid w:val="003363A6"/>
    <w:rsid w:val="00336A62"/>
    <w:rsid w:val="00336A97"/>
    <w:rsid w:val="00336B5C"/>
    <w:rsid w:val="00336B86"/>
    <w:rsid w:val="00337024"/>
    <w:rsid w:val="00337167"/>
    <w:rsid w:val="003373D8"/>
    <w:rsid w:val="0033745D"/>
    <w:rsid w:val="00337556"/>
    <w:rsid w:val="00337685"/>
    <w:rsid w:val="00337970"/>
    <w:rsid w:val="00337BD7"/>
    <w:rsid w:val="00337C6C"/>
    <w:rsid w:val="00337D0A"/>
    <w:rsid w:val="00337EA2"/>
    <w:rsid w:val="00340267"/>
    <w:rsid w:val="00340473"/>
    <w:rsid w:val="00340A07"/>
    <w:rsid w:val="00340B2F"/>
    <w:rsid w:val="00340CA5"/>
    <w:rsid w:val="00340FC7"/>
    <w:rsid w:val="00341159"/>
    <w:rsid w:val="003412A2"/>
    <w:rsid w:val="003413D7"/>
    <w:rsid w:val="00341568"/>
    <w:rsid w:val="00341594"/>
    <w:rsid w:val="00341650"/>
    <w:rsid w:val="00341A74"/>
    <w:rsid w:val="00341AAA"/>
    <w:rsid w:val="00341C40"/>
    <w:rsid w:val="00341D00"/>
    <w:rsid w:val="00341EE5"/>
    <w:rsid w:val="00341FDB"/>
    <w:rsid w:val="00342712"/>
    <w:rsid w:val="0034291B"/>
    <w:rsid w:val="00342CED"/>
    <w:rsid w:val="00342E09"/>
    <w:rsid w:val="00342E89"/>
    <w:rsid w:val="00342E93"/>
    <w:rsid w:val="00342E9A"/>
    <w:rsid w:val="003431FB"/>
    <w:rsid w:val="0034320F"/>
    <w:rsid w:val="00343249"/>
    <w:rsid w:val="003434B4"/>
    <w:rsid w:val="0034367F"/>
    <w:rsid w:val="003437C7"/>
    <w:rsid w:val="00343873"/>
    <w:rsid w:val="00343CF0"/>
    <w:rsid w:val="00343E4B"/>
    <w:rsid w:val="00343F2D"/>
    <w:rsid w:val="00343F5D"/>
    <w:rsid w:val="00344005"/>
    <w:rsid w:val="00344211"/>
    <w:rsid w:val="0034423C"/>
    <w:rsid w:val="0034452D"/>
    <w:rsid w:val="003448E8"/>
    <w:rsid w:val="00344AA6"/>
    <w:rsid w:val="00344CE8"/>
    <w:rsid w:val="00344DC1"/>
    <w:rsid w:val="00344EAD"/>
    <w:rsid w:val="003451DA"/>
    <w:rsid w:val="00345445"/>
    <w:rsid w:val="003457C9"/>
    <w:rsid w:val="003457CC"/>
    <w:rsid w:val="00345807"/>
    <w:rsid w:val="00345AA0"/>
    <w:rsid w:val="00345ACF"/>
    <w:rsid w:val="00345F5C"/>
    <w:rsid w:val="0034665C"/>
    <w:rsid w:val="003466F5"/>
    <w:rsid w:val="003468F7"/>
    <w:rsid w:val="00346A56"/>
    <w:rsid w:val="00346D34"/>
    <w:rsid w:val="00346E7C"/>
    <w:rsid w:val="00347002"/>
    <w:rsid w:val="0034715E"/>
    <w:rsid w:val="003471DD"/>
    <w:rsid w:val="003472C9"/>
    <w:rsid w:val="00347392"/>
    <w:rsid w:val="0034752C"/>
    <w:rsid w:val="00347CCB"/>
    <w:rsid w:val="00347CDC"/>
    <w:rsid w:val="003500BF"/>
    <w:rsid w:val="003500F2"/>
    <w:rsid w:val="0035055A"/>
    <w:rsid w:val="003505B4"/>
    <w:rsid w:val="00350696"/>
    <w:rsid w:val="003506BB"/>
    <w:rsid w:val="0035078E"/>
    <w:rsid w:val="003507F0"/>
    <w:rsid w:val="00350CC7"/>
    <w:rsid w:val="003510D0"/>
    <w:rsid w:val="0035119B"/>
    <w:rsid w:val="003514B7"/>
    <w:rsid w:val="00351503"/>
    <w:rsid w:val="0035159B"/>
    <w:rsid w:val="00351688"/>
    <w:rsid w:val="0035181A"/>
    <w:rsid w:val="00351825"/>
    <w:rsid w:val="00351A7F"/>
    <w:rsid w:val="00351BB9"/>
    <w:rsid w:val="00352057"/>
    <w:rsid w:val="0035228B"/>
    <w:rsid w:val="003525BC"/>
    <w:rsid w:val="0035260D"/>
    <w:rsid w:val="00352BD6"/>
    <w:rsid w:val="00352CEF"/>
    <w:rsid w:val="003530BF"/>
    <w:rsid w:val="003534ED"/>
    <w:rsid w:val="0035381B"/>
    <w:rsid w:val="003538B1"/>
    <w:rsid w:val="00353C2F"/>
    <w:rsid w:val="00353C56"/>
    <w:rsid w:val="00353DE9"/>
    <w:rsid w:val="00353E5E"/>
    <w:rsid w:val="00353FE6"/>
    <w:rsid w:val="00354001"/>
    <w:rsid w:val="003540B7"/>
    <w:rsid w:val="00354112"/>
    <w:rsid w:val="003541AD"/>
    <w:rsid w:val="003541E2"/>
    <w:rsid w:val="00354204"/>
    <w:rsid w:val="0035441A"/>
    <w:rsid w:val="003545BE"/>
    <w:rsid w:val="00354634"/>
    <w:rsid w:val="003548FA"/>
    <w:rsid w:val="00354F5C"/>
    <w:rsid w:val="00354FAA"/>
    <w:rsid w:val="003553F7"/>
    <w:rsid w:val="00355492"/>
    <w:rsid w:val="003556CF"/>
    <w:rsid w:val="00355907"/>
    <w:rsid w:val="00355BEA"/>
    <w:rsid w:val="00355CAA"/>
    <w:rsid w:val="00355E30"/>
    <w:rsid w:val="00355FE9"/>
    <w:rsid w:val="0035621F"/>
    <w:rsid w:val="00356422"/>
    <w:rsid w:val="00356819"/>
    <w:rsid w:val="00356D4B"/>
    <w:rsid w:val="00356E02"/>
    <w:rsid w:val="00356F43"/>
    <w:rsid w:val="00356F70"/>
    <w:rsid w:val="003570B6"/>
    <w:rsid w:val="0035718F"/>
    <w:rsid w:val="00357233"/>
    <w:rsid w:val="0035750A"/>
    <w:rsid w:val="003578B0"/>
    <w:rsid w:val="00357A53"/>
    <w:rsid w:val="00357A67"/>
    <w:rsid w:val="00357A71"/>
    <w:rsid w:val="00357B02"/>
    <w:rsid w:val="00357C18"/>
    <w:rsid w:val="00357C34"/>
    <w:rsid w:val="00357D92"/>
    <w:rsid w:val="00357E68"/>
    <w:rsid w:val="00357EC2"/>
    <w:rsid w:val="00357FCD"/>
    <w:rsid w:val="0036000D"/>
    <w:rsid w:val="00360053"/>
    <w:rsid w:val="00360191"/>
    <w:rsid w:val="00360258"/>
    <w:rsid w:val="003602FF"/>
    <w:rsid w:val="00360875"/>
    <w:rsid w:val="00360E1C"/>
    <w:rsid w:val="003610F1"/>
    <w:rsid w:val="003614F5"/>
    <w:rsid w:val="003617CB"/>
    <w:rsid w:val="0036188C"/>
    <w:rsid w:val="00361E10"/>
    <w:rsid w:val="00361EE8"/>
    <w:rsid w:val="00361FD4"/>
    <w:rsid w:val="0036201D"/>
    <w:rsid w:val="0036203A"/>
    <w:rsid w:val="0036218C"/>
    <w:rsid w:val="00362268"/>
    <w:rsid w:val="003624A8"/>
    <w:rsid w:val="0036280B"/>
    <w:rsid w:val="00362924"/>
    <w:rsid w:val="00362991"/>
    <w:rsid w:val="00362BA1"/>
    <w:rsid w:val="00362C5C"/>
    <w:rsid w:val="003630BE"/>
    <w:rsid w:val="003630EE"/>
    <w:rsid w:val="003631CE"/>
    <w:rsid w:val="003634EB"/>
    <w:rsid w:val="003635D6"/>
    <w:rsid w:val="003636F2"/>
    <w:rsid w:val="00363B09"/>
    <w:rsid w:val="00364004"/>
    <w:rsid w:val="0036411C"/>
    <w:rsid w:val="00364184"/>
    <w:rsid w:val="0036424C"/>
    <w:rsid w:val="003642AF"/>
    <w:rsid w:val="00364343"/>
    <w:rsid w:val="00364360"/>
    <w:rsid w:val="003646CA"/>
    <w:rsid w:val="00364D05"/>
    <w:rsid w:val="00365075"/>
    <w:rsid w:val="0036529A"/>
    <w:rsid w:val="0036557A"/>
    <w:rsid w:val="003656E9"/>
    <w:rsid w:val="0036594E"/>
    <w:rsid w:val="00365A23"/>
    <w:rsid w:val="00365E63"/>
    <w:rsid w:val="0036637B"/>
    <w:rsid w:val="0036649F"/>
    <w:rsid w:val="00366691"/>
    <w:rsid w:val="0036695D"/>
    <w:rsid w:val="00366BB4"/>
    <w:rsid w:val="00366C18"/>
    <w:rsid w:val="00366E6E"/>
    <w:rsid w:val="00366EDF"/>
    <w:rsid w:val="00366F76"/>
    <w:rsid w:val="00366F81"/>
    <w:rsid w:val="0036706F"/>
    <w:rsid w:val="003672B8"/>
    <w:rsid w:val="0036779E"/>
    <w:rsid w:val="003677D3"/>
    <w:rsid w:val="00367AAD"/>
    <w:rsid w:val="00367B06"/>
    <w:rsid w:val="00367DAD"/>
    <w:rsid w:val="00367E4F"/>
    <w:rsid w:val="00367F43"/>
    <w:rsid w:val="003702EB"/>
    <w:rsid w:val="003709EB"/>
    <w:rsid w:val="00370A95"/>
    <w:rsid w:val="00370BC5"/>
    <w:rsid w:val="00370C12"/>
    <w:rsid w:val="00370C24"/>
    <w:rsid w:val="00370D9B"/>
    <w:rsid w:val="003715C3"/>
    <w:rsid w:val="003717C8"/>
    <w:rsid w:val="00371833"/>
    <w:rsid w:val="00371952"/>
    <w:rsid w:val="0037196C"/>
    <w:rsid w:val="00371C86"/>
    <w:rsid w:val="00371D5F"/>
    <w:rsid w:val="00371E6B"/>
    <w:rsid w:val="00372240"/>
    <w:rsid w:val="00372578"/>
    <w:rsid w:val="003726E3"/>
    <w:rsid w:val="00372750"/>
    <w:rsid w:val="00372879"/>
    <w:rsid w:val="00372BB5"/>
    <w:rsid w:val="00372C9E"/>
    <w:rsid w:val="00372E3D"/>
    <w:rsid w:val="00372ECC"/>
    <w:rsid w:val="00372F03"/>
    <w:rsid w:val="0037326E"/>
    <w:rsid w:val="00373557"/>
    <w:rsid w:val="003735D8"/>
    <w:rsid w:val="00373652"/>
    <w:rsid w:val="00373898"/>
    <w:rsid w:val="0037396B"/>
    <w:rsid w:val="00373A7C"/>
    <w:rsid w:val="00373B6D"/>
    <w:rsid w:val="00373BD9"/>
    <w:rsid w:val="00373CE0"/>
    <w:rsid w:val="00373E36"/>
    <w:rsid w:val="0037402F"/>
    <w:rsid w:val="003741D5"/>
    <w:rsid w:val="003741F9"/>
    <w:rsid w:val="003743B8"/>
    <w:rsid w:val="003748D0"/>
    <w:rsid w:val="003748D4"/>
    <w:rsid w:val="00374948"/>
    <w:rsid w:val="00374D37"/>
    <w:rsid w:val="00374D3B"/>
    <w:rsid w:val="00374DB5"/>
    <w:rsid w:val="00374DD6"/>
    <w:rsid w:val="00374FF4"/>
    <w:rsid w:val="00375572"/>
    <w:rsid w:val="00375B63"/>
    <w:rsid w:val="00375D91"/>
    <w:rsid w:val="00375FE6"/>
    <w:rsid w:val="00376052"/>
    <w:rsid w:val="0037630A"/>
    <w:rsid w:val="00376334"/>
    <w:rsid w:val="00376542"/>
    <w:rsid w:val="00376563"/>
    <w:rsid w:val="00376882"/>
    <w:rsid w:val="00376920"/>
    <w:rsid w:val="00376B81"/>
    <w:rsid w:val="00376CFE"/>
    <w:rsid w:val="00376D15"/>
    <w:rsid w:val="00376FA3"/>
    <w:rsid w:val="003772A3"/>
    <w:rsid w:val="00377AB7"/>
    <w:rsid w:val="00377B49"/>
    <w:rsid w:val="00377C6F"/>
    <w:rsid w:val="00377D63"/>
    <w:rsid w:val="00377E42"/>
    <w:rsid w:val="00377FA8"/>
    <w:rsid w:val="00377FCD"/>
    <w:rsid w:val="00380063"/>
    <w:rsid w:val="003803C4"/>
    <w:rsid w:val="0038052E"/>
    <w:rsid w:val="00380965"/>
    <w:rsid w:val="00380982"/>
    <w:rsid w:val="00380B09"/>
    <w:rsid w:val="00380C4C"/>
    <w:rsid w:val="00380CC7"/>
    <w:rsid w:val="00380D72"/>
    <w:rsid w:val="00380E36"/>
    <w:rsid w:val="00380F2B"/>
    <w:rsid w:val="00380FBD"/>
    <w:rsid w:val="0038119C"/>
    <w:rsid w:val="0038124B"/>
    <w:rsid w:val="00381262"/>
    <w:rsid w:val="00381587"/>
    <w:rsid w:val="003817D0"/>
    <w:rsid w:val="003817EE"/>
    <w:rsid w:val="0038182F"/>
    <w:rsid w:val="0038194C"/>
    <w:rsid w:val="00381B27"/>
    <w:rsid w:val="00381D30"/>
    <w:rsid w:val="00381D92"/>
    <w:rsid w:val="00381F09"/>
    <w:rsid w:val="003822EA"/>
    <w:rsid w:val="003822F2"/>
    <w:rsid w:val="003823AC"/>
    <w:rsid w:val="0038290B"/>
    <w:rsid w:val="00382A17"/>
    <w:rsid w:val="00382CA1"/>
    <w:rsid w:val="00382CCA"/>
    <w:rsid w:val="00382FF3"/>
    <w:rsid w:val="003831A8"/>
    <w:rsid w:val="003833FE"/>
    <w:rsid w:val="00383645"/>
    <w:rsid w:val="003837B0"/>
    <w:rsid w:val="0038385A"/>
    <w:rsid w:val="00383FFE"/>
    <w:rsid w:val="0038455C"/>
    <w:rsid w:val="003845A2"/>
    <w:rsid w:val="003845EB"/>
    <w:rsid w:val="0038468D"/>
    <w:rsid w:val="00384E58"/>
    <w:rsid w:val="00384F17"/>
    <w:rsid w:val="00385026"/>
    <w:rsid w:val="003850BC"/>
    <w:rsid w:val="003852F5"/>
    <w:rsid w:val="003856A5"/>
    <w:rsid w:val="00385888"/>
    <w:rsid w:val="00385A6D"/>
    <w:rsid w:val="00385A77"/>
    <w:rsid w:val="00385CE9"/>
    <w:rsid w:val="00385DDA"/>
    <w:rsid w:val="00386266"/>
    <w:rsid w:val="003866C9"/>
    <w:rsid w:val="003869A2"/>
    <w:rsid w:val="00386CE1"/>
    <w:rsid w:val="00386E8E"/>
    <w:rsid w:val="00386F70"/>
    <w:rsid w:val="0038705D"/>
    <w:rsid w:val="003871BF"/>
    <w:rsid w:val="00387222"/>
    <w:rsid w:val="003873EA"/>
    <w:rsid w:val="0038772B"/>
    <w:rsid w:val="0038773E"/>
    <w:rsid w:val="00387748"/>
    <w:rsid w:val="00387A52"/>
    <w:rsid w:val="00387AF2"/>
    <w:rsid w:val="00387D36"/>
    <w:rsid w:val="00390014"/>
    <w:rsid w:val="003900E8"/>
    <w:rsid w:val="00390330"/>
    <w:rsid w:val="00390461"/>
    <w:rsid w:val="00390553"/>
    <w:rsid w:val="00390DA6"/>
    <w:rsid w:val="00391208"/>
    <w:rsid w:val="0039137C"/>
    <w:rsid w:val="00391648"/>
    <w:rsid w:val="0039180C"/>
    <w:rsid w:val="003918D9"/>
    <w:rsid w:val="0039195A"/>
    <w:rsid w:val="00391D1C"/>
    <w:rsid w:val="00391E00"/>
    <w:rsid w:val="00391E39"/>
    <w:rsid w:val="00391E44"/>
    <w:rsid w:val="00392065"/>
    <w:rsid w:val="00392421"/>
    <w:rsid w:val="00392460"/>
    <w:rsid w:val="00392491"/>
    <w:rsid w:val="00392585"/>
    <w:rsid w:val="003925AA"/>
    <w:rsid w:val="00392BE5"/>
    <w:rsid w:val="00392CA0"/>
    <w:rsid w:val="0039305B"/>
    <w:rsid w:val="003930C4"/>
    <w:rsid w:val="00393178"/>
    <w:rsid w:val="00393213"/>
    <w:rsid w:val="00393488"/>
    <w:rsid w:val="003934D0"/>
    <w:rsid w:val="00393521"/>
    <w:rsid w:val="003936A6"/>
    <w:rsid w:val="00393981"/>
    <w:rsid w:val="00393DAA"/>
    <w:rsid w:val="003943F9"/>
    <w:rsid w:val="00394793"/>
    <w:rsid w:val="0039484E"/>
    <w:rsid w:val="00394926"/>
    <w:rsid w:val="00394BE6"/>
    <w:rsid w:val="00394BF2"/>
    <w:rsid w:val="00394C2F"/>
    <w:rsid w:val="00394DCA"/>
    <w:rsid w:val="003953A3"/>
    <w:rsid w:val="003954FB"/>
    <w:rsid w:val="00395529"/>
    <w:rsid w:val="0039556F"/>
    <w:rsid w:val="0039562F"/>
    <w:rsid w:val="00395C63"/>
    <w:rsid w:val="00395DE5"/>
    <w:rsid w:val="003960C1"/>
    <w:rsid w:val="0039617D"/>
    <w:rsid w:val="00396322"/>
    <w:rsid w:val="00396430"/>
    <w:rsid w:val="0039652D"/>
    <w:rsid w:val="0039674C"/>
    <w:rsid w:val="0039686E"/>
    <w:rsid w:val="003969F3"/>
    <w:rsid w:val="00396A6A"/>
    <w:rsid w:val="00396AA3"/>
    <w:rsid w:val="00396D7D"/>
    <w:rsid w:val="00396E79"/>
    <w:rsid w:val="00396FDB"/>
    <w:rsid w:val="0039721C"/>
    <w:rsid w:val="0039726F"/>
    <w:rsid w:val="00397458"/>
    <w:rsid w:val="003975D8"/>
    <w:rsid w:val="003975EB"/>
    <w:rsid w:val="00397A1E"/>
    <w:rsid w:val="00397A35"/>
    <w:rsid w:val="00397ED9"/>
    <w:rsid w:val="00397F01"/>
    <w:rsid w:val="00397F9B"/>
    <w:rsid w:val="003A0986"/>
    <w:rsid w:val="003A0A6F"/>
    <w:rsid w:val="003A0C8D"/>
    <w:rsid w:val="003A0EA9"/>
    <w:rsid w:val="003A0FFD"/>
    <w:rsid w:val="003A1570"/>
    <w:rsid w:val="003A1623"/>
    <w:rsid w:val="003A162F"/>
    <w:rsid w:val="003A17C7"/>
    <w:rsid w:val="003A1979"/>
    <w:rsid w:val="003A1A9E"/>
    <w:rsid w:val="003A1AE0"/>
    <w:rsid w:val="003A1D0E"/>
    <w:rsid w:val="003A1D64"/>
    <w:rsid w:val="003A227C"/>
    <w:rsid w:val="003A23B6"/>
    <w:rsid w:val="003A2598"/>
    <w:rsid w:val="003A2601"/>
    <w:rsid w:val="003A27EB"/>
    <w:rsid w:val="003A2AA9"/>
    <w:rsid w:val="003A2AAB"/>
    <w:rsid w:val="003A2B4A"/>
    <w:rsid w:val="003A2B53"/>
    <w:rsid w:val="003A30FB"/>
    <w:rsid w:val="003A3348"/>
    <w:rsid w:val="003A3440"/>
    <w:rsid w:val="003A3636"/>
    <w:rsid w:val="003A3954"/>
    <w:rsid w:val="003A395A"/>
    <w:rsid w:val="003A3AD3"/>
    <w:rsid w:val="003A3AD8"/>
    <w:rsid w:val="003A3BB7"/>
    <w:rsid w:val="003A3C3F"/>
    <w:rsid w:val="003A3C49"/>
    <w:rsid w:val="003A3CFA"/>
    <w:rsid w:val="003A3E23"/>
    <w:rsid w:val="003A3E80"/>
    <w:rsid w:val="003A42B0"/>
    <w:rsid w:val="003A44C2"/>
    <w:rsid w:val="003A494E"/>
    <w:rsid w:val="003A49D7"/>
    <w:rsid w:val="003A4E75"/>
    <w:rsid w:val="003A501F"/>
    <w:rsid w:val="003A531D"/>
    <w:rsid w:val="003A57E0"/>
    <w:rsid w:val="003A584D"/>
    <w:rsid w:val="003A58CB"/>
    <w:rsid w:val="003A5A06"/>
    <w:rsid w:val="003A5E8E"/>
    <w:rsid w:val="003A63DB"/>
    <w:rsid w:val="003A644D"/>
    <w:rsid w:val="003A657E"/>
    <w:rsid w:val="003A6720"/>
    <w:rsid w:val="003A67BA"/>
    <w:rsid w:val="003A67F2"/>
    <w:rsid w:val="003A687A"/>
    <w:rsid w:val="003A6956"/>
    <w:rsid w:val="003A6BC5"/>
    <w:rsid w:val="003A6C62"/>
    <w:rsid w:val="003A6CFB"/>
    <w:rsid w:val="003A701D"/>
    <w:rsid w:val="003A71C1"/>
    <w:rsid w:val="003A7231"/>
    <w:rsid w:val="003A72CA"/>
    <w:rsid w:val="003A7318"/>
    <w:rsid w:val="003A7358"/>
    <w:rsid w:val="003A74DF"/>
    <w:rsid w:val="003A7629"/>
    <w:rsid w:val="003A7D86"/>
    <w:rsid w:val="003A7DAA"/>
    <w:rsid w:val="003B0219"/>
    <w:rsid w:val="003B03E7"/>
    <w:rsid w:val="003B0A79"/>
    <w:rsid w:val="003B0BBF"/>
    <w:rsid w:val="003B0C0F"/>
    <w:rsid w:val="003B0D33"/>
    <w:rsid w:val="003B0FB2"/>
    <w:rsid w:val="003B0FC9"/>
    <w:rsid w:val="003B1007"/>
    <w:rsid w:val="003B1185"/>
    <w:rsid w:val="003B11D4"/>
    <w:rsid w:val="003B141E"/>
    <w:rsid w:val="003B151C"/>
    <w:rsid w:val="003B192F"/>
    <w:rsid w:val="003B1CFB"/>
    <w:rsid w:val="003B203D"/>
    <w:rsid w:val="003B20E7"/>
    <w:rsid w:val="003B22F8"/>
    <w:rsid w:val="003B238B"/>
    <w:rsid w:val="003B2570"/>
    <w:rsid w:val="003B2796"/>
    <w:rsid w:val="003B2A67"/>
    <w:rsid w:val="003B2AC5"/>
    <w:rsid w:val="003B2D01"/>
    <w:rsid w:val="003B2D91"/>
    <w:rsid w:val="003B2E16"/>
    <w:rsid w:val="003B30C2"/>
    <w:rsid w:val="003B30DE"/>
    <w:rsid w:val="003B3198"/>
    <w:rsid w:val="003B31BD"/>
    <w:rsid w:val="003B323E"/>
    <w:rsid w:val="003B32CD"/>
    <w:rsid w:val="003B3527"/>
    <w:rsid w:val="003B39F6"/>
    <w:rsid w:val="003B3B46"/>
    <w:rsid w:val="003B3D7D"/>
    <w:rsid w:val="003B3DAE"/>
    <w:rsid w:val="003B429D"/>
    <w:rsid w:val="003B45C9"/>
    <w:rsid w:val="003B46A8"/>
    <w:rsid w:val="003B4C81"/>
    <w:rsid w:val="003B4CB7"/>
    <w:rsid w:val="003B4D46"/>
    <w:rsid w:val="003B4D69"/>
    <w:rsid w:val="003B4D78"/>
    <w:rsid w:val="003B5027"/>
    <w:rsid w:val="003B5084"/>
    <w:rsid w:val="003B52B5"/>
    <w:rsid w:val="003B5430"/>
    <w:rsid w:val="003B5441"/>
    <w:rsid w:val="003B5908"/>
    <w:rsid w:val="003B59E0"/>
    <w:rsid w:val="003B5D43"/>
    <w:rsid w:val="003B615F"/>
    <w:rsid w:val="003B6334"/>
    <w:rsid w:val="003B6489"/>
    <w:rsid w:val="003B6E5B"/>
    <w:rsid w:val="003B6EAB"/>
    <w:rsid w:val="003B6EDD"/>
    <w:rsid w:val="003B719B"/>
    <w:rsid w:val="003B72CF"/>
    <w:rsid w:val="003B74E3"/>
    <w:rsid w:val="003B77CC"/>
    <w:rsid w:val="003B7828"/>
    <w:rsid w:val="003B7832"/>
    <w:rsid w:val="003B7A58"/>
    <w:rsid w:val="003B7C29"/>
    <w:rsid w:val="003B7E4B"/>
    <w:rsid w:val="003C005F"/>
    <w:rsid w:val="003C00A8"/>
    <w:rsid w:val="003C0129"/>
    <w:rsid w:val="003C0157"/>
    <w:rsid w:val="003C04A3"/>
    <w:rsid w:val="003C0DA3"/>
    <w:rsid w:val="003C0E88"/>
    <w:rsid w:val="003C0F8E"/>
    <w:rsid w:val="003C1181"/>
    <w:rsid w:val="003C13D2"/>
    <w:rsid w:val="003C15F1"/>
    <w:rsid w:val="003C1644"/>
    <w:rsid w:val="003C1689"/>
    <w:rsid w:val="003C16AF"/>
    <w:rsid w:val="003C1727"/>
    <w:rsid w:val="003C1E1A"/>
    <w:rsid w:val="003C200D"/>
    <w:rsid w:val="003C205D"/>
    <w:rsid w:val="003C2505"/>
    <w:rsid w:val="003C2524"/>
    <w:rsid w:val="003C2561"/>
    <w:rsid w:val="003C2587"/>
    <w:rsid w:val="003C25D6"/>
    <w:rsid w:val="003C28DB"/>
    <w:rsid w:val="003C2B8F"/>
    <w:rsid w:val="003C2D40"/>
    <w:rsid w:val="003C2DD8"/>
    <w:rsid w:val="003C2E33"/>
    <w:rsid w:val="003C2FD1"/>
    <w:rsid w:val="003C3070"/>
    <w:rsid w:val="003C30B2"/>
    <w:rsid w:val="003C30B4"/>
    <w:rsid w:val="003C3115"/>
    <w:rsid w:val="003C3369"/>
    <w:rsid w:val="003C348E"/>
    <w:rsid w:val="003C357B"/>
    <w:rsid w:val="003C35A3"/>
    <w:rsid w:val="003C369D"/>
    <w:rsid w:val="003C36C1"/>
    <w:rsid w:val="003C3781"/>
    <w:rsid w:val="003C3BEB"/>
    <w:rsid w:val="003C3CA2"/>
    <w:rsid w:val="003C3CAB"/>
    <w:rsid w:val="003C4016"/>
    <w:rsid w:val="003C4623"/>
    <w:rsid w:val="003C47D9"/>
    <w:rsid w:val="003C48EE"/>
    <w:rsid w:val="003C4A87"/>
    <w:rsid w:val="003C4BEC"/>
    <w:rsid w:val="003C4C44"/>
    <w:rsid w:val="003C4FF0"/>
    <w:rsid w:val="003C5014"/>
    <w:rsid w:val="003C50EB"/>
    <w:rsid w:val="003C50F3"/>
    <w:rsid w:val="003C52B4"/>
    <w:rsid w:val="003C530C"/>
    <w:rsid w:val="003C55C2"/>
    <w:rsid w:val="003C5643"/>
    <w:rsid w:val="003C573A"/>
    <w:rsid w:val="003C57B4"/>
    <w:rsid w:val="003C5803"/>
    <w:rsid w:val="003C58F1"/>
    <w:rsid w:val="003C5B65"/>
    <w:rsid w:val="003C5D43"/>
    <w:rsid w:val="003C5DCC"/>
    <w:rsid w:val="003C605C"/>
    <w:rsid w:val="003C606D"/>
    <w:rsid w:val="003C614E"/>
    <w:rsid w:val="003C6451"/>
    <w:rsid w:val="003C6462"/>
    <w:rsid w:val="003C652F"/>
    <w:rsid w:val="003C6858"/>
    <w:rsid w:val="003C69B6"/>
    <w:rsid w:val="003C6B1B"/>
    <w:rsid w:val="003C6C47"/>
    <w:rsid w:val="003C6DF3"/>
    <w:rsid w:val="003C705B"/>
    <w:rsid w:val="003C730B"/>
    <w:rsid w:val="003C742A"/>
    <w:rsid w:val="003C7522"/>
    <w:rsid w:val="003C774C"/>
    <w:rsid w:val="003C77C2"/>
    <w:rsid w:val="003C79C1"/>
    <w:rsid w:val="003C7C03"/>
    <w:rsid w:val="003C7E07"/>
    <w:rsid w:val="003C7F62"/>
    <w:rsid w:val="003D0215"/>
    <w:rsid w:val="003D0243"/>
    <w:rsid w:val="003D043B"/>
    <w:rsid w:val="003D0471"/>
    <w:rsid w:val="003D0532"/>
    <w:rsid w:val="003D0683"/>
    <w:rsid w:val="003D0898"/>
    <w:rsid w:val="003D0931"/>
    <w:rsid w:val="003D0939"/>
    <w:rsid w:val="003D0CA4"/>
    <w:rsid w:val="003D119D"/>
    <w:rsid w:val="003D11F1"/>
    <w:rsid w:val="003D13DA"/>
    <w:rsid w:val="003D151E"/>
    <w:rsid w:val="003D19D9"/>
    <w:rsid w:val="003D1A30"/>
    <w:rsid w:val="003D1BD5"/>
    <w:rsid w:val="003D1CC2"/>
    <w:rsid w:val="003D1CCB"/>
    <w:rsid w:val="003D1E2D"/>
    <w:rsid w:val="003D2360"/>
    <w:rsid w:val="003D2361"/>
    <w:rsid w:val="003D271D"/>
    <w:rsid w:val="003D278A"/>
    <w:rsid w:val="003D27BF"/>
    <w:rsid w:val="003D2866"/>
    <w:rsid w:val="003D309F"/>
    <w:rsid w:val="003D32F3"/>
    <w:rsid w:val="003D33FF"/>
    <w:rsid w:val="003D34C3"/>
    <w:rsid w:val="003D350C"/>
    <w:rsid w:val="003D3C5A"/>
    <w:rsid w:val="003D3E22"/>
    <w:rsid w:val="003D3E73"/>
    <w:rsid w:val="003D4221"/>
    <w:rsid w:val="003D438B"/>
    <w:rsid w:val="003D447C"/>
    <w:rsid w:val="003D4536"/>
    <w:rsid w:val="003D4585"/>
    <w:rsid w:val="003D4647"/>
    <w:rsid w:val="003D4AF4"/>
    <w:rsid w:val="003D4B0C"/>
    <w:rsid w:val="003D4B39"/>
    <w:rsid w:val="003D4B93"/>
    <w:rsid w:val="003D5032"/>
    <w:rsid w:val="003D51E9"/>
    <w:rsid w:val="003D525B"/>
    <w:rsid w:val="003D57EA"/>
    <w:rsid w:val="003D591B"/>
    <w:rsid w:val="003D611D"/>
    <w:rsid w:val="003D618B"/>
    <w:rsid w:val="003D6486"/>
    <w:rsid w:val="003D64D0"/>
    <w:rsid w:val="003D6557"/>
    <w:rsid w:val="003D6956"/>
    <w:rsid w:val="003D6BF4"/>
    <w:rsid w:val="003D6CD3"/>
    <w:rsid w:val="003D6CF8"/>
    <w:rsid w:val="003D6DED"/>
    <w:rsid w:val="003D6E00"/>
    <w:rsid w:val="003D6EF6"/>
    <w:rsid w:val="003D6FDA"/>
    <w:rsid w:val="003D71B7"/>
    <w:rsid w:val="003D72D4"/>
    <w:rsid w:val="003D7D3A"/>
    <w:rsid w:val="003D7ED1"/>
    <w:rsid w:val="003E0080"/>
    <w:rsid w:val="003E00A2"/>
    <w:rsid w:val="003E00BD"/>
    <w:rsid w:val="003E00CA"/>
    <w:rsid w:val="003E02E9"/>
    <w:rsid w:val="003E04BE"/>
    <w:rsid w:val="003E078D"/>
    <w:rsid w:val="003E0884"/>
    <w:rsid w:val="003E0D71"/>
    <w:rsid w:val="003E0DCD"/>
    <w:rsid w:val="003E0FF4"/>
    <w:rsid w:val="003E128A"/>
    <w:rsid w:val="003E15E7"/>
    <w:rsid w:val="003E1731"/>
    <w:rsid w:val="003E1A32"/>
    <w:rsid w:val="003E1ABF"/>
    <w:rsid w:val="003E1AE1"/>
    <w:rsid w:val="003E1BA9"/>
    <w:rsid w:val="003E20C6"/>
    <w:rsid w:val="003E2290"/>
    <w:rsid w:val="003E2460"/>
    <w:rsid w:val="003E24CD"/>
    <w:rsid w:val="003E24E2"/>
    <w:rsid w:val="003E257F"/>
    <w:rsid w:val="003E28E8"/>
    <w:rsid w:val="003E290B"/>
    <w:rsid w:val="003E2935"/>
    <w:rsid w:val="003E297E"/>
    <w:rsid w:val="003E2AAC"/>
    <w:rsid w:val="003E2C32"/>
    <w:rsid w:val="003E2E49"/>
    <w:rsid w:val="003E3196"/>
    <w:rsid w:val="003E33EA"/>
    <w:rsid w:val="003E343A"/>
    <w:rsid w:val="003E375E"/>
    <w:rsid w:val="003E3A4A"/>
    <w:rsid w:val="003E3C32"/>
    <w:rsid w:val="003E3FC6"/>
    <w:rsid w:val="003E4398"/>
    <w:rsid w:val="003E43B9"/>
    <w:rsid w:val="003E498B"/>
    <w:rsid w:val="003E4A1C"/>
    <w:rsid w:val="003E4A5D"/>
    <w:rsid w:val="003E4B70"/>
    <w:rsid w:val="003E4CDA"/>
    <w:rsid w:val="003E4CED"/>
    <w:rsid w:val="003E4DAD"/>
    <w:rsid w:val="003E51C4"/>
    <w:rsid w:val="003E532F"/>
    <w:rsid w:val="003E537D"/>
    <w:rsid w:val="003E544E"/>
    <w:rsid w:val="003E5767"/>
    <w:rsid w:val="003E59C6"/>
    <w:rsid w:val="003E5B72"/>
    <w:rsid w:val="003E5DB1"/>
    <w:rsid w:val="003E5FFE"/>
    <w:rsid w:val="003E603E"/>
    <w:rsid w:val="003E629B"/>
    <w:rsid w:val="003E652A"/>
    <w:rsid w:val="003E691F"/>
    <w:rsid w:val="003E69F3"/>
    <w:rsid w:val="003E6DBF"/>
    <w:rsid w:val="003E7085"/>
    <w:rsid w:val="003E7381"/>
    <w:rsid w:val="003E7729"/>
    <w:rsid w:val="003E779D"/>
    <w:rsid w:val="003E7E25"/>
    <w:rsid w:val="003F02D7"/>
    <w:rsid w:val="003F04F6"/>
    <w:rsid w:val="003F056D"/>
    <w:rsid w:val="003F05C6"/>
    <w:rsid w:val="003F0926"/>
    <w:rsid w:val="003F092E"/>
    <w:rsid w:val="003F0BFB"/>
    <w:rsid w:val="003F0EB4"/>
    <w:rsid w:val="003F1491"/>
    <w:rsid w:val="003F170B"/>
    <w:rsid w:val="003F17BA"/>
    <w:rsid w:val="003F1A90"/>
    <w:rsid w:val="003F1B38"/>
    <w:rsid w:val="003F1D04"/>
    <w:rsid w:val="003F1E51"/>
    <w:rsid w:val="003F1ED7"/>
    <w:rsid w:val="003F1F07"/>
    <w:rsid w:val="003F2457"/>
    <w:rsid w:val="003F258D"/>
    <w:rsid w:val="003F25F9"/>
    <w:rsid w:val="003F2602"/>
    <w:rsid w:val="003F2F91"/>
    <w:rsid w:val="003F2FC9"/>
    <w:rsid w:val="003F30EA"/>
    <w:rsid w:val="003F32A2"/>
    <w:rsid w:val="003F374C"/>
    <w:rsid w:val="003F382A"/>
    <w:rsid w:val="003F3E99"/>
    <w:rsid w:val="003F44FB"/>
    <w:rsid w:val="003F4534"/>
    <w:rsid w:val="003F454D"/>
    <w:rsid w:val="003F4765"/>
    <w:rsid w:val="003F499F"/>
    <w:rsid w:val="003F4ADE"/>
    <w:rsid w:val="003F4D34"/>
    <w:rsid w:val="003F4ED2"/>
    <w:rsid w:val="003F4F73"/>
    <w:rsid w:val="003F4FA5"/>
    <w:rsid w:val="003F5740"/>
    <w:rsid w:val="003F5827"/>
    <w:rsid w:val="003F592B"/>
    <w:rsid w:val="003F5A1C"/>
    <w:rsid w:val="003F5C41"/>
    <w:rsid w:val="003F5CBB"/>
    <w:rsid w:val="003F5D3D"/>
    <w:rsid w:val="003F5E8E"/>
    <w:rsid w:val="003F5F47"/>
    <w:rsid w:val="003F5F80"/>
    <w:rsid w:val="003F5F95"/>
    <w:rsid w:val="003F60FE"/>
    <w:rsid w:val="003F6232"/>
    <w:rsid w:val="003F6241"/>
    <w:rsid w:val="003F6613"/>
    <w:rsid w:val="003F66BD"/>
    <w:rsid w:val="003F687D"/>
    <w:rsid w:val="003F68DA"/>
    <w:rsid w:val="003F6916"/>
    <w:rsid w:val="003F6AA4"/>
    <w:rsid w:val="003F6D7C"/>
    <w:rsid w:val="003F72D9"/>
    <w:rsid w:val="003F7349"/>
    <w:rsid w:val="003F7495"/>
    <w:rsid w:val="003F74BB"/>
    <w:rsid w:val="003F75E2"/>
    <w:rsid w:val="003F7812"/>
    <w:rsid w:val="003F78FE"/>
    <w:rsid w:val="003F7A05"/>
    <w:rsid w:val="003F7CAE"/>
    <w:rsid w:val="003F7E79"/>
    <w:rsid w:val="003F7E7A"/>
    <w:rsid w:val="003F7F96"/>
    <w:rsid w:val="0040001C"/>
    <w:rsid w:val="00400043"/>
    <w:rsid w:val="0040033D"/>
    <w:rsid w:val="0040034F"/>
    <w:rsid w:val="00400403"/>
    <w:rsid w:val="00400704"/>
    <w:rsid w:val="00400774"/>
    <w:rsid w:val="004007EF"/>
    <w:rsid w:val="00400A64"/>
    <w:rsid w:val="00400AEA"/>
    <w:rsid w:val="00400C5E"/>
    <w:rsid w:val="00400DE9"/>
    <w:rsid w:val="00400E6D"/>
    <w:rsid w:val="00400F2D"/>
    <w:rsid w:val="0040105F"/>
    <w:rsid w:val="004011A8"/>
    <w:rsid w:val="00401A8B"/>
    <w:rsid w:val="00401C1B"/>
    <w:rsid w:val="00401ED9"/>
    <w:rsid w:val="004021BA"/>
    <w:rsid w:val="00402288"/>
    <w:rsid w:val="004024A8"/>
    <w:rsid w:val="004025D9"/>
    <w:rsid w:val="004028CF"/>
    <w:rsid w:val="00402BA3"/>
    <w:rsid w:val="00402C55"/>
    <w:rsid w:val="00402C88"/>
    <w:rsid w:val="00402CB4"/>
    <w:rsid w:val="00402CE6"/>
    <w:rsid w:val="00402DAE"/>
    <w:rsid w:val="00403263"/>
    <w:rsid w:val="00403489"/>
    <w:rsid w:val="00403557"/>
    <w:rsid w:val="004035E8"/>
    <w:rsid w:val="0040398F"/>
    <w:rsid w:val="00403D4E"/>
    <w:rsid w:val="00404176"/>
    <w:rsid w:val="004042AF"/>
    <w:rsid w:val="00404332"/>
    <w:rsid w:val="004046E8"/>
    <w:rsid w:val="00404AB6"/>
    <w:rsid w:val="00404AD8"/>
    <w:rsid w:val="00404D85"/>
    <w:rsid w:val="00404DD1"/>
    <w:rsid w:val="00404EB2"/>
    <w:rsid w:val="0040502E"/>
    <w:rsid w:val="00405401"/>
    <w:rsid w:val="00405454"/>
    <w:rsid w:val="004055D5"/>
    <w:rsid w:val="0040562F"/>
    <w:rsid w:val="004056E8"/>
    <w:rsid w:val="0040571D"/>
    <w:rsid w:val="00405739"/>
    <w:rsid w:val="00405C61"/>
    <w:rsid w:val="00405DBE"/>
    <w:rsid w:val="00406017"/>
    <w:rsid w:val="0040604E"/>
    <w:rsid w:val="00406359"/>
    <w:rsid w:val="00406414"/>
    <w:rsid w:val="0040673D"/>
    <w:rsid w:val="00406962"/>
    <w:rsid w:val="00406A9C"/>
    <w:rsid w:val="00406BCD"/>
    <w:rsid w:val="00406C3D"/>
    <w:rsid w:val="00407002"/>
    <w:rsid w:val="00407084"/>
    <w:rsid w:val="0040733F"/>
    <w:rsid w:val="004076EF"/>
    <w:rsid w:val="00407784"/>
    <w:rsid w:val="004077EA"/>
    <w:rsid w:val="00407CC9"/>
    <w:rsid w:val="00407D56"/>
    <w:rsid w:val="00407F2F"/>
    <w:rsid w:val="004101AF"/>
    <w:rsid w:val="004101C9"/>
    <w:rsid w:val="0041033C"/>
    <w:rsid w:val="00410372"/>
    <w:rsid w:val="004105E3"/>
    <w:rsid w:val="004108FE"/>
    <w:rsid w:val="00410A0F"/>
    <w:rsid w:val="00410C43"/>
    <w:rsid w:val="00410C88"/>
    <w:rsid w:val="00410EC6"/>
    <w:rsid w:val="00411115"/>
    <w:rsid w:val="00411479"/>
    <w:rsid w:val="0041181C"/>
    <w:rsid w:val="004119CB"/>
    <w:rsid w:val="00411DD0"/>
    <w:rsid w:val="0041203E"/>
    <w:rsid w:val="00412339"/>
    <w:rsid w:val="00412456"/>
    <w:rsid w:val="004125CE"/>
    <w:rsid w:val="004127D2"/>
    <w:rsid w:val="0041281D"/>
    <w:rsid w:val="00412898"/>
    <w:rsid w:val="004128FE"/>
    <w:rsid w:val="00412925"/>
    <w:rsid w:val="00412F3C"/>
    <w:rsid w:val="00413170"/>
    <w:rsid w:val="0041325E"/>
    <w:rsid w:val="004133E6"/>
    <w:rsid w:val="00413461"/>
    <w:rsid w:val="004136E9"/>
    <w:rsid w:val="00413B42"/>
    <w:rsid w:val="00413D79"/>
    <w:rsid w:val="00413FE6"/>
    <w:rsid w:val="004140A5"/>
    <w:rsid w:val="004145B9"/>
    <w:rsid w:val="00414836"/>
    <w:rsid w:val="004149FB"/>
    <w:rsid w:val="00414A43"/>
    <w:rsid w:val="00414A83"/>
    <w:rsid w:val="00414A9F"/>
    <w:rsid w:val="00414ACC"/>
    <w:rsid w:val="00414ED1"/>
    <w:rsid w:val="004150AE"/>
    <w:rsid w:val="00415420"/>
    <w:rsid w:val="004155BD"/>
    <w:rsid w:val="00415629"/>
    <w:rsid w:val="004158CC"/>
    <w:rsid w:val="00415969"/>
    <w:rsid w:val="004159DC"/>
    <w:rsid w:val="00415A45"/>
    <w:rsid w:val="00415B91"/>
    <w:rsid w:val="00415CF8"/>
    <w:rsid w:val="00415F49"/>
    <w:rsid w:val="00415F7C"/>
    <w:rsid w:val="0041605C"/>
    <w:rsid w:val="004161B5"/>
    <w:rsid w:val="00416263"/>
    <w:rsid w:val="00416317"/>
    <w:rsid w:val="0041669A"/>
    <w:rsid w:val="004167D1"/>
    <w:rsid w:val="00416811"/>
    <w:rsid w:val="00416A5B"/>
    <w:rsid w:val="00416CFE"/>
    <w:rsid w:val="00417168"/>
    <w:rsid w:val="004171BF"/>
    <w:rsid w:val="00417493"/>
    <w:rsid w:val="00417678"/>
    <w:rsid w:val="00417829"/>
    <w:rsid w:val="004179CB"/>
    <w:rsid w:val="004179ED"/>
    <w:rsid w:val="00417B77"/>
    <w:rsid w:val="00417B8A"/>
    <w:rsid w:val="00417BC1"/>
    <w:rsid w:val="004202C8"/>
    <w:rsid w:val="00420420"/>
    <w:rsid w:val="0042070B"/>
    <w:rsid w:val="00420988"/>
    <w:rsid w:val="00420AFB"/>
    <w:rsid w:val="00420C9B"/>
    <w:rsid w:val="00420CF8"/>
    <w:rsid w:val="00420DB7"/>
    <w:rsid w:val="00420EB9"/>
    <w:rsid w:val="00420F46"/>
    <w:rsid w:val="00420FA7"/>
    <w:rsid w:val="00420FC1"/>
    <w:rsid w:val="00421173"/>
    <w:rsid w:val="004213CA"/>
    <w:rsid w:val="0042143C"/>
    <w:rsid w:val="0042158C"/>
    <w:rsid w:val="00421A96"/>
    <w:rsid w:val="00421D47"/>
    <w:rsid w:val="00421D71"/>
    <w:rsid w:val="00421ED7"/>
    <w:rsid w:val="00421EF8"/>
    <w:rsid w:val="00422166"/>
    <w:rsid w:val="004223AF"/>
    <w:rsid w:val="0042244E"/>
    <w:rsid w:val="00422457"/>
    <w:rsid w:val="00422576"/>
    <w:rsid w:val="00422881"/>
    <w:rsid w:val="00422BB1"/>
    <w:rsid w:val="00422C17"/>
    <w:rsid w:val="00422DDD"/>
    <w:rsid w:val="00422E98"/>
    <w:rsid w:val="00423284"/>
    <w:rsid w:val="004233F9"/>
    <w:rsid w:val="00423432"/>
    <w:rsid w:val="0042354F"/>
    <w:rsid w:val="00423ED9"/>
    <w:rsid w:val="00424052"/>
    <w:rsid w:val="00424348"/>
    <w:rsid w:val="00424389"/>
    <w:rsid w:val="0042443D"/>
    <w:rsid w:val="004245D5"/>
    <w:rsid w:val="0042466F"/>
    <w:rsid w:val="00424780"/>
    <w:rsid w:val="004248EF"/>
    <w:rsid w:val="0042495C"/>
    <w:rsid w:val="004249E9"/>
    <w:rsid w:val="00424F9A"/>
    <w:rsid w:val="00425048"/>
    <w:rsid w:val="004251C8"/>
    <w:rsid w:val="00425403"/>
    <w:rsid w:val="00425670"/>
    <w:rsid w:val="00425AE5"/>
    <w:rsid w:val="00425BC3"/>
    <w:rsid w:val="00425D05"/>
    <w:rsid w:val="00425D65"/>
    <w:rsid w:val="00425DE4"/>
    <w:rsid w:val="00426071"/>
    <w:rsid w:val="00426091"/>
    <w:rsid w:val="0042652F"/>
    <w:rsid w:val="00426713"/>
    <w:rsid w:val="00426794"/>
    <w:rsid w:val="00426913"/>
    <w:rsid w:val="004269A4"/>
    <w:rsid w:val="004269C1"/>
    <w:rsid w:val="00426D38"/>
    <w:rsid w:val="00426E3D"/>
    <w:rsid w:val="00426E51"/>
    <w:rsid w:val="00426E6B"/>
    <w:rsid w:val="00426F8F"/>
    <w:rsid w:val="00426FE9"/>
    <w:rsid w:val="00427032"/>
    <w:rsid w:val="0042724E"/>
    <w:rsid w:val="004273BD"/>
    <w:rsid w:val="00427B20"/>
    <w:rsid w:val="004301A7"/>
    <w:rsid w:val="004303B5"/>
    <w:rsid w:val="004304CA"/>
    <w:rsid w:val="004308BD"/>
    <w:rsid w:val="00430A29"/>
    <w:rsid w:val="00430AFA"/>
    <w:rsid w:val="00430E43"/>
    <w:rsid w:val="004312C9"/>
    <w:rsid w:val="00431587"/>
    <w:rsid w:val="00431594"/>
    <w:rsid w:val="004317E0"/>
    <w:rsid w:val="00431844"/>
    <w:rsid w:val="004318D5"/>
    <w:rsid w:val="00431B89"/>
    <w:rsid w:val="00431C4D"/>
    <w:rsid w:val="00431F8F"/>
    <w:rsid w:val="0043230B"/>
    <w:rsid w:val="004323FC"/>
    <w:rsid w:val="004325B2"/>
    <w:rsid w:val="00432900"/>
    <w:rsid w:val="0043294A"/>
    <w:rsid w:val="00432951"/>
    <w:rsid w:val="004329B6"/>
    <w:rsid w:val="004329D3"/>
    <w:rsid w:val="00432B4E"/>
    <w:rsid w:val="00432B62"/>
    <w:rsid w:val="00432C01"/>
    <w:rsid w:val="00432FA2"/>
    <w:rsid w:val="00433481"/>
    <w:rsid w:val="004334B7"/>
    <w:rsid w:val="00433642"/>
    <w:rsid w:val="00433694"/>
    <w:rsid w:val="0043386D"/>
    <w:rsid w:val="004338B7"/>
    <w:rsid w:val="00433DAF"/>
    <w:rsid w:val="00433ECE"/>
    <w:rsid w:val="00434353"/>
    <w:rsid w:val="00434478"/>
    <w:rsid w:val="00434578"/>
    <w:rsid w:val="004345A1"/>
    <w:rsid w:val="00434693"/>
    <w:rsid w:val="0043469D"/>
    <w:rsid w:val="004348E3"/>
    <w:rsid w:val="00434DC3"/>
    <w:rsid w:val="00434EA9"/>
    <w:rsid w:val="00434F66"/>
    <w:rsid w:val="0043509E"/>
    <w:rsid w:val="00435255"/>
    <w:rsid w:val="0043533A"/>
    <w:rsid w:val="00435679"/>
    <w:rsid w:val="004356FF"/>
    <w:rsid w:val="00435A6E"/>
    <w:rsid w:val="00435CA3"/>
    <w:rsid w:val="00435CC0"/>
    <w:rsid w:val="004361A0"/>
    <w:rsid w:val="00436378"/>
    <w:rsid w:val="004367B7"/>
    <w:rsid w:val="00436865"/>
    <w:rsid w:val="00436AC6"/>
    <w:rsid w:val="00436D0B"/>
    <w:rsid w:val="00437159"/>
    <w:rsid w:val="00437164"/>
    <w:rsid w:val="00437478"/>
    <w:rsid w:val="00437647"/>
    <w:rsid w:val="004377B8"/>
    <w:rsid w:val="00440305"/>
    <w:rsid w:val="00440345"/>
    <w:rsid w:val="004405AD"/>
    <w:rsid w:val="00440769"/>
    <w:rsid w:val="0044078F"/>
    <w:rsid w:val="004407F5"/>
    <w:rsid w:val="00440C03"/>
    <w:rsid w:val="00440C21"/>
    <w:rsid w:val="00440C53"/>
    <w:rsid w:val="00440D0F"/>
    <w:rsid w:val="00440EE2"/>
    <w:rsid w:val="00441090"/>
    <w:rsid w:val="00441293"/>
    <w:rsid w:val="004412FF"/>
    <w:rsid w:val="00441562"/>
    <w:rsid w:val="0044162A"/>
    <w:rsid w:val="00441712"/>
    <w:rsid w:val="00441825"/>
    <w:rsid w:val="00441BAE"/>
    <w:rsid w:val="00442243"/>
    <w:rsid w:val="004423BB"/>
    <w:rsid w:val="00442529"/>
    <w:rsid w:val="00442594"/>
    <w:rsid w:val="0044269A"/>
    <w:rsid w:val="00442728"/>
    <w:rsid w:val="00442861"/>
    <w:rsid w:val="00442BCC"/>
    <w:rsid w:val="00443158"/>
    <w:rsid w:val="00443394"/>
    <w:rsid w:val="00443446"/>
    <w:rsid w:val="0044350F"/>
    <w:rsid w:val="004435D6"/>
    <w:rsid w:val="00443670"/>
    <w:rsid w:val="00443966"/>
    <w:rsid w:val="00443D1B"/>
    <w:rsid w:val="00443F29"/>
    <w:rsid w:val="00444015"/>
    <w:rsid w:val="0044401C"/>
    <w:rsid w:val="0044412A"/>
    <w:rsid w:val="00444884"/>
    <w:rsid w:val="00444C63"/>
    <w:rsid w:val="00444D71"/>
    <w:rsid w:val="004450E2"/>
    <w:rsid w:val="004452D4"/>
    <w:rsid w:val="00445678"/>
    <w:rsid w:val="00445745"/>
    <w:rsid w:val="004458CB"/>
    <w:rsid w:val="00445A83"/>
    <w:rsid w:val="00445AFD"/>
    <w:rsid w:val="00445B48"/>
    <w:rsid w:val="00445D47"/>
    <w:rsid w:val="00445D92"/>
    <w:rsid w:val="004460B7"/>
    <w:rsid w:val="0044612A"/>
    <w:rsid w:val="0044654B"/>
    <w:rsid w:val="0044682D"/>
    <w:rsid w:val="00446FB1"/>
    <w:rsid w:val="00447231"/>
    <w:rsid w:val="004473B3"/>
    <w:rsid w:val="00447874"/>
    <w:rsid w:val="004478CC"/>
    <w:rsid w:val="0044792A"/>
    <w:rsid w:val="00447E5F"/>
    <w:rsid w:val="00447E7E"/>
    <w:rsid w:val="00447F13"/>
    <w:rsid w:val="00447F5E"/>
    <w:rsid w:val="00447FB3"/>
    <w:rsid w:val="00450032"/>
    <w:rsid w:val="0045008F"/>
    <w:rsid w:val="0045017E"/>
    <w:rsid w:val="004502A1"/>
    <w:rsid w:val="004505AE"/>
    <w:rsid w:val="0045064F"/>
    <w:rsid w:val="004507B9"/>
    <w:rsid w:val="004507C4"/>
    <w:rsid w:val="0045098D"/>
    <w:rsid w:val="00450ABC"/>
    <w:rsid w:val="00450ACB"/>
    <w:rsid w:val="00450B52"/>
    <w:rsid w:val="00450F73"/>
    <w:rsid w:val="00451273"/>
    <w:rsid w:val="00451373"/>
    <w:rsid w:val="00451617"/>
    <w:rsid w:val="004519B1"/>
    <w:rsid w:val="00451B4B"/>
    <w:rsid w:val="00451D46"/>
    <w:rsid w:val="00451E57"/>
    <w:rsid w:val="004521AB"/>
    <w:rsid w:val="00452201"/>
    <w:rsid w:val="0045231A"/>
    <w:rsid w:val="00452634"/>
    <w:rsid w:val="00452657"/>
    <w:rsid w:val="00452779"/>
    <w:rsid w:val="00452FE1"/>
    <w:rsid w:val="004532B7"/>
    <w:rsid w:val="0045342B"/>
    <w:rsid w:val="004534EC"/>
    <w:rsid w:val="00453567"/>
    <w:rsid w:val="004535A9"/>
    <w:rsid w:val="00453674"/>
    <w:rsid w:val="00453A94"/>
    <w:rsid w:val="00454029"/>
    <w:rsid w:val="004540F4"/>
    <w:rsid w:val="00454330"/>
    <w:rsid w:val="00454780"/>
    <w:rsid w:val="00454DF7"/>
    <w:rsid w:val="00454E96"/>
    <w:rsid w:val="00454EC7"/>
    <w:rsid w:val="00454FA1"/>
    <w:rsid w:val="0045532C"/>
    <w:rsid w:val="00455AD1"/>
    <w:rsid w:val="00455C60"/>
    <w:rsid w:val="00456245"/>
    <w:rsid w:val="004563D4"/>
    <w:rsid w:val="00456B19"/>
    <w:rsid w:val="00456BB0"/>
    <w:rsid w:val="00456E58"/>
    <w:rsid w:val="00456F4C"/>
    <w:rsid w:val="00457349"/>
    <w:rsid w:val="004575A2"/>
    <w:rsid w:val="004575F5"/>
    <w:rsid w:val="00457661"/>
    <w:rsid w:val="00457758"/>
    <w:rsid w:val="00457F2A"/>
    <w:rsid w:val="00460099"/>
    <w:rsid w:val="004600EB"/>
    <w:rsid w:val="004601CE"/>
    <w:rsid w:val="004604F7"/>
    <w:rsid w:val="0046054D"/>
    <w:rsid w:val="004606D4"/>
    <w:rsid w:val="00460A2F"/>
    <w:rsid w:val="00460C3F"/>
    <w:rsid w:val="00460D6C"/>
    <w:rsid w:val="00460E9A"/>
    <w:rsid w:val="00460E9E"/>
    <w:rsid w:val="00460FDC"/>
    <w:rsid w:val="0046108F"/>
    <w:rsid w:val="004611BF"/>
    <w:rsid w:val="004616A1"/>
    <w:rsid w:val="004617DB"/>
    <w:rsid w:val="00461839"/>
    <w:rsid w:val="00461AAF"/>
    <w:rsid w:val="00461AD8"/>
    <w:rsid w:val="00461C00"/>
    <w:rsid w:val="00461FF5"/>
    <w:rsid w:val="0046201C"/>
    <w:rsid w:val="00462065"/>
    <w:rsid w:val="004620B9"/>
    <w:rsid w:val="004623BB"/>
    <w:rsid w:val="004623C7"/>
    <w:rsid w:val="004628F7"/>
    <w:rsid w:val="00462D84"/>
    <w:rsid w:val="00462F13"/>
    <w:rsid w:val="00463528"/>
    <w:rsid w:val="004635C4"/>
    <w:rsid w:val="00463947"/>
    <w:rsid w:val="00463BB2"/>
    <w:rsid w:val="00463D49"/>
    <w:rsid w:val="00464011"/>
    <w:rsid w:val="004641A6"/>
    <w:rsid w:val="004641B8"/>
    <w:rsid w:val="00464230"/>
    <w:rsid w:val="004642E6"/>
    <w:rsid w:val="00464538"/>
    <w:rsid w:val="0046462C"/>
    <w:rsid w:val="0046467F"/>
    <w:rsid w:val="00464798"/>
    <w:rsid w:val="00464D0F"/>
    <w:rsid w:val="00464F84"/>
    <w:rsid w:val="00465123"/>
    <w:rsid w:val="0046531C"/>
    <w:rsid w:val="00465B8B"/>
    <w:rsid w:val="00465C49"/>
    <w:rsid w:val="00465CC5"/>
    <w:rsid w:val="00465D4C"/>
    <w:rsid w:val="00465DA8"/>
    <w:rsid w:val="00465E43"/>
    <w:rsid w:val="00465F56"/>
    <w:rsid w:val="004661B3"/>
    <w:rsid w:val="00466633"/>
    <w:rsid w:val="00466777"/>
    <w:rsid w:val="00466D70"/>
    <w:rsid w:val="004670BE"/>
    <w:rsid w:val="004670CB"/>
    <w:rsid w:val="004672FC"/>
    <w:rsid w:val="00467301"/>
    <w:rsid w:val="0046794D"/>
    <w:rsid w:val="00467C7B"/>
    <w:rsid w:val="00467C83"/>
    <w:rsid w:val="004702CF"/>
    <w:rsid w:val="004703CB"/>
    <w:rsid w:val="00470577"/>
    <w:rsid w:val="004705EB"/>
    <w:rsid w:val="004709B4"/>
    <w:rsid w:val="00470DE9"/>
    <w:rsid w:val="00470F14"/>
    <w:rsid w:val="00470F64"/>
    <w:rsid w:val="00471065"/>
    <w:rsid w:val="004710DE"/>
    <w:rsid w:val="00471229"/>
    <w:rsid w:val="0047130A"/>
    <w:rsid w:val="00471684"/>
    <w:rsid w:val="0047188E"/>
    <w:rsid w:val="004718EA"/>
    <w:rsid w:val="00471AE6"/>
    <w:rsid w:val="00471BB4"/>
    <w:rsid w:val="00471DA1"/>
    <w:rsid w:val="00471F44"/>
    <w:rsid w:val="0047215F"/>
    <w:rsid w:val="00472236"/>
    <w:rsid w:val="004725E9"/>
    <w:rsid w:val="004725FF"/>
    <w:rsid w:val="00472949"/>
    <w:rsid w:val="00472A13"/>
    <w:rsid w:val="00472A16"/>
    <w:rsid w:val="00472B46"/>
    <w:rsid w:val="0047318D"/>
    <w:rsid w:val="0047339A"/>
    <w:rsid w:val="004736BC"/>
    <w:rsid w:val="004737AB"/>
    <w:rsid w:val="00473893"/>
    <w:rsid w:val="004738CF"/>
    <w:rsid w:val="00473A32"/>
    <w:rsid w:val="00473B10"/>
    <w:rsid w:val="00473D3B"/>
    <w:rsid w:val="00473D8D"/>
    <w:rsid w:val="00473EFC"/>
    <w:rsid w:val="00474214"/>
    <w:rsid w:val="004742A7"/>
    <w:rsid w:val="00474387"/>
    <w:rsid w:val="0047443A"/>
    <w:rsid w:val="00474475"/>
    <w:rsid w:val="004744A0"/>
    <w:rsid w:val="00474561"/>
    <w:rsid w:val="0047459A"/>
    <w:rsid w:val="00474B83"/>
    <w:rsid w:val="00474BE2"/>
    <w:rsid w:val="00474D89"/>
    <w:rsid w:val="00474E87"/>
    <w:rsid w:val="00474FE9"/>
    <w:rsid w:val="004751A2"/>
    <w:rsid w:val="0047524B"/>
    <w:rsid w:val="00475332"/>
    <w:rsid w:val="00475836"/>
    <w:rsid w:val="004758F3"/>
    <w:rsid w:val="00475965"/>
    <w:rsid w:val="00475B1D"/>
    <w:rsid w:val="00475DE6"/>
    <w:rsid w:val="00476053"/>
    <w:rsid w:val="004760CD"/>
    <w:rsid w:val="004760EB"/>
    <w:rsid w:val="00476196"/>
    <w:rsid w:val="00476439"/>
    <w:rsid w:val="0047721F"/>
    <w:rsid w:val="00477602"/>
    <w:rsid w:val="004776A8"/>
    <w:rsid w:val="00477914"/>
    <w:rsid w:val="00477AE9"/>
    <w:rsid w:val="00477B78"/>
    <w:rsid w:val="00477CE4"/>
    <w:rsid w:val="00477E24"/>
    <w:rsid w:val="00477EBF"/>
    <w:rsid w:val="00477F8A"/>
    <w:rsid w:val="00477FE3"/>
    <w:rsid w:val="00480264"/>
    <w:rsid w:val="004803E1"/>
    <w:rsid w:val="00480AFE"/>
    <w:rsid w:val="00480BAE"/>
    <w:rsid w:val="00480C9E"/>
    <w:rsid w:val="00480CE4"/>
    <w:rsid w:val="00480E56"/>
    <w:rsid w:val="00480E91"/>
    <w:rsid w:val="00480EF7"/>
    <w:rsid w:val="00481046"/>
    <w:rsid w:val="004812B6"/>
    <w:rsid w:val="00481563"/>
    <w:rsid w:val="004816D4"/>
    <w:rsid w:val="004817A1"/>
    <w:rsid w:val="0048182C"/>
    <w:rsid w:val="00482054"/>
    <w:rsid w:val="00482079"/>
    <w:rsid w:val="004820C8"/>
    <w:rsid w:val="00482307"/>
    <w:rsid w:val="0048258E"/>
    <w:rsid w:val="00482637"/>
    <w:rsid w:val="0048276E"/>
    <w:rsid w:val="004827C5"/>
    <w:rsid w:val="0048287B"/>
    <w:rsid w:val="00482917"/>
    <w:rsid w:val="00482C1D"/>
    <w:rsid w:val="00482CBB"/>
    <w:rsid w:val="00483103"/>
    <w:rsid w:val="004834CD"/>
    <w:rsid w:val="004834EE"/>
    <w:rsid w:val="0048368E"/>
    <w:rsid w:val="0048388F"/>
    <w:rsid w:val="00483954"/>
    <w:rsid w:val="00483ABE"/>
    <w:rsid w:val="00483EDD"/>
    <w:rsid w:val="00483FD2"/>
    <w:rsid w:val="0048417A"/>
    <w:rsid w:val="00484309"/>
    <w:rsid w:val="00484455"/>
    <w:rsid w:val="00484777"/>
    <w:rsid w:val="004847A9"/>
    <w:rsid w:val="004847AB"/>
    <w:rsid w:val="00484DB5"/>
    <w:rsid w:val="00484E09"/>
    <w:rsid w:val="00484EA7"/>
    <w:rsid w:val="00484EE7"/>
    <w:rsid w:val="0048518B"/>
    <w:rsid w:val="004852AF"/>
    <w:rsid w:val="0048571E"/>
    <w:rsid w:val="00485981"/>
    <w:rsid w:val="004859F1"/>
    <w:rsid w:val="00485A70"/>
    <w:rsid w:val="00485D8A"/>
    <w:rsid w:val="004860A6"/>
    <w:rsid w:val="00486378"/>
    <w:rsid w:val="004864F4"/>
    <w:rsid w:val="0048651B"/>
    <w:rsid w:val="00486620"/>
    <w:rsid w:val="00486668"/>
    <w:rsid w:val="004866ED"/>
    <w:rsid w:val="00486BB0"/>
    <w:rsid w:val="00486C2C"/>
    <w:rsid w:val="00486D09"/>
    <w:rsid w:val="00486D53"/>
    <w:rsid w:val="004870DB"/>
    <w:rsid w:val="004871FD"/>
    <w:rsid w:val="00487232"/>
    <w:rsid w:val="004872B0"/>
    <w:rsid w:val="004872C0"/>
    <w:rsid w:val="004872C9"/>
    <w:rsid w:val="004873E1"/>
    <w:rsid w:val="00487614"/>
    <w:rsid w:val="0048793F"/>
    <w:rsid w:val="00487BB0"/>
    <w:rsid w:val="00487BF4"/>
    <w:rsid w:val="00487C0C"/>
    <w:rsid w:val="00487C54"/>
    <w:rsid w:val="00487EF4"/>
    <w:rsid w:val="00490343"/>
    <w:rsid w:val="00490404"/>
    <w:rsid w:val="00490498"/>
    <w:rsid w:val="004904C1"/>
    <w:rsid w:val="004907A6"/>
    <w:rsid w:val="00490856"/>
    <w:rsid w:val="00490902"/>
    <w:rsid w:val="00490E43"/>
    <w:rsid w:val="00490E7C"/>
    <w:rsid w:val="00491044"/>
    <w:rsid w:val="00491256"/>
    <w:rsid w:val="004912B5"/>
    <w:rsid w:val="004914C6"/>
    <w:rsid w:val="004917D7"/>
    <w:rsid w:val="00491A92"/>
    <w:rsid w:val="00491CB6"/>
    <w:rsid w:val="00491D62"/>
    <w:rsid w:val="00491EAA"/>
    <w:rsid w:val="00491F0B"/>
    <w:rsid w:val="00491FFC"/>
    <w:rsid w:val="0049201B"/>
    <w:rsid w:val="00492172"/>
    <w:rsid w:val="004925DB"/>
    <w:rsid w:val="004926F8"/>
    <w:rsid w:val="004926FC"/>
    <w:rsid w:val="00492D03"/>
    <w:rsid w:val="00492F81"/>
    <w:rsid w:val="00493562"/>
    <w:rsid w:val="004935EC"/>
    <w:rsid w:val="00493794"/>
    <w:rsid w:val="00493C50"/>
    <w:rsid w:val="00493CE8"/>
    <w:rsid w:val="00493D6F"/>
    <w:rsid w:val="00493EA5"/>
    <w:rsid w:val="00493EC4"/>
    <w:rsid w:val="00494020"/>
    <w:rsid w:val="004942C7"/>
    <w:rsid w:val="00494352"/>
    <w:rsid w:val="004945A9"/>
    <w:rsid w:val="00494693"/>
    <w:rsid w:val="004947EB"/>
    <w:rsid w:val="00494973"/>
    <w:rsid w:val="00494B93"/>
    <w:rsid w:val="00494D67"/>
    <w:rsid w:val="004950B5"/>
    <w:rsid w:val="0049527F"/>
    <w:rsid w:val="00495352"/>
    <w:rsid w:val="00495414"/>
    <w:rsid w:val="00495600"/>
    <w:rsid w:val="00495678"/>
    <w:rsid w:val="00495989"/>
    <w:rsid w:val="00495ACB"/>
    <w:rsid w:val="00495BED"/>
    <w:rsid w:val="00496077"/>
    <w:rsid w:val="00496152"/>
    <w:rsid w:val="0049622B"/>
    <w:rsid w:val="0049672C"/>
    <w:rsid w:val="004967AB"/>
    <w:rsid w:val="004967B2"/>
    <w:rsid w:val="004967F5"/>
    <w:rsid w:val="00496A1E"/>
    <w:rsid w:val="00496B83"/>
    <w:rsid w:val="00496D20"/>
    <w:rsid w:val="00496EC8"/>
    <w:rsid w:val="00497374"/>
    <w:rsid w:val="00497494"/>
    <w:rsid w:val="0049778E"/>
    <w:rsid w:val="004978CB"/>
    <w:rsid w:val="004979BA"/>
    <w:rsid w:val="00497A36"/>
    <w:rsid w:val="00497C11"/>
    <w:rsid w:val="00497CC9"/>
    <w:rsid w:val="00497ED8"/>
    <w:rsid w:val="00497EE3"/>
    <w:rsid w:val="004A069E"/>
    <w:rsid w:val="004A0773"/>
    <w:rsid w:val="004A0BE4"/>
    <w:rsid w:val="004A0CD2"/>
    <w:rsid w:val="004A0F76"/>
    <w:rsid w:val="004A0F9D"/>
    <w:rsid w:val="004A156B"/>
    <w:rsid w:val="004A174A"/>
    <w:rsid w:val="004A190F"/>
    <w:rsid w:val="004A1B36"/>
    <w:rsid w:val="004A1B41"/>
    <w:rsid w:val="004A1B52"/>
    <w:rsid w:val="004A1BE4"/>
    <w:rsid w:val="004A1F69"/>
    <w:rsid w:val="004A203B"/>
    <w:rsid w:val="004A21C1"/>
    <w:rsid w:val="004A2401"/>
    <w:rsid w:val="004A2B19"/>
    <w:rsid w:val="004A2BF4"/>
    <w:rsid w:val="004A2CCD"/>
    <w:rsid w:val="004A2D53"/>
    <w:rsid w:val="004A3111"/>
    <w:rsid w:val="004A31DF"/>
    <w:rsid w:val="004A3284"/>
    <w:rsid w:val="004A33AE"/>
    <w:rsid w:val="004A33C1"/>
    <w:rsid w:val="004A36B9"/>
    <w:rsid w:val="004A3A07"/>
    <w:rsid w:val="004A3C24"/>
    <w:rsid w:val="004A43C7"/>
    <w:rsid w:val="004A44FE"/>
    <w:rsid w:val="004A4B8E"/>
    <w:rsid w:val="004A4BD4"/>
    <w:rsid w:val="004A55DB"/>
    <w:rsid w:val="004A5690"/>
    <w:rsid w:val="004A578F"/>
    <w:rsid w:val="004A5838"/>
    <w:rsid w:val="004A5C06"/>
    <w:rsid w:val="004A5E67"/>
    <w:rsid w:val="004A60C5"/>
    <w:rsid w:val="004A6194"/>
    <w:rsid w:val="004A62B6"/>
    <w:rsid w:val="004A6518"/>
    <w:rsid w:val="004A6811"/>
    <w:rsid w:val="004A6941"/>
    <w:rsid w:val="004A6AB4"/>
    <w:rsid w:val="004A6ADA"/>
    <w:rsid w:val="004A6C0F"/>
    <w:rsid w:val="004A6C19"/>
    <w:rsid w:val="004A6C69"/>
    <w:rsid w:val="004A6D5B"/>
    <w:rsid w:val="004A716B"/>
    <w:rsid w:val="004A734C"/>
    <w:rsid w:val="004A753A"/>
    <w:rsid w:val="004A76AE"/>
    <w:rsid w:val="004A77AF"/>
    <w:rsid w:val="004A77CD"/>
    <w:rsid w:val="004A7800"/>
    <w:rsid w:val="004A7BF3"/>
    <w:rsid w:val="004A7DC8"/>
    <w:rsid w:val="004A7E56"/>
    <w:rsid w:val="004A7EF9"/>
    <w:rsid w:val="004B00F2"/>
    <w:rsid w:val="004B00FC"/>
    <w:rsid w:val="004B0222"/>
    <w:rsid w:val="004B052C"/>
    <w:rsid w:val="004B055D"/>
    <w:rsid w:val="004B061B"/>
    <w:rsid w:val="004B07DA"/>
    <w:rsid w:val="004B086A"/>
    <w:rsid w:val="004B08FB"/>
    <w:rsid w:val="004B0AAD"/>
    <w:rsid w:val="004B0B0B"/>
    <w:rsid w:val="004B0C2F"/>
    <w:rsid w:val="004B0E1F"/>
    <w:rsid w:val="004B0E53"/>
    <w:rsid w:val="004B11B5"/>
    <w:rsid w:val="004B12E3"/>
    <w:rsid w:val="004B12E4"/>
    <w:rsid w:val="004B13F7"/>
    <w:rsid w:val="004B1546"/>
    <w:rsid w:val="004B17FC"/>
    <w:rsid w:val="004B19D4"/>
    <w:rsid w:val="004B1AA4"/>
    <w:rsid w:val="004B1DD1"/>
    <w:rsid w:val="004B2146"/>
    <w:rsid w:val="004B23F6"/>
    <w:rsid w:val="004B298F"/>
    <w:rsid w:val="004B2AAA"/>
    <w:rsid w:val="004B2C4C"/>
    <w:rsid w:val="004B3308"/>
    <w:rsid w:val="004B33FA"/>
    <w:rsid w:val="004B34B5"/>
    <w:rsid w:val="004B3647"/>
    <w:rsid w:val="004B379A"/>
    <w:rsid w:val="004B3966"/>
    <w:rsid w:val="004B3D1E"/>
    <w:rsid w:val="004B3EA5"/>
    <w:rsid w:val="004B4623"/>
    <w:rsid w:val="004B4A69"/>
    <w:rsid w:val="004B4FBB"/>
    <w:rsid w:val="004B5207"/>
    <w:rsid w:val="004B52EE"/>
    <w:rsid w:val="004B5483"/>
    <w:rsid w:val="004B551E"/>
    <w:rsid w:val="004B5BF8"/>
    <w:rsid w:val="004B6340"/>
    <w:rsid w:val="004B6403"/>
    <w:rsid w:val="004B641F"/>
    <w:rsid w:val="004B6485"/>
    <w:rsid w:val="004B682E"/>
    <w:rsid w:val="004B6842"/>
    <w:rsid w:val="004B6921"/>
    <w:rsid w:val="004B6AC2"/>
    <w:rsid w:val="004B6E3C"/>
    <w:rsid w:val="004B6FE4"/>
    <w:rsid w:val="004B6FF4"/>
    <w:rsid w:val="004B70BC"/>
    <w:rsid w:val="004B7186"/>
    <w:rsid w:val="004B7234"/>
    <w:rsid w:val="004B73F2"/>
    <w:rsid w:val="004B74AF"/>
    <w:rsid w:val="004B77E7"/>
    <w:rsid w:val="004B78C7"/>
    <w:rsid w:val="004B7A57"/>
    <w:rsid w:val="004B7FC2"/>
    <w:rsid w:val="004C0057"/>
    <w:rsid w:val="004C00BA"/>
    <w:rsid w:val="004C05D8"/>
    <w:rsid w:val="004C073A"/>
    <w:rsid w:val="004C0B38"/>
    <w:rsid w:val="004C0EE1"/>
    <w:rsid w:val="004C0EEB"/>
    <w:rsid w:val="004C0FFD"/>
    <w:rsid w:val="004C1001"/>
    <w:rsid w:val="004C10C4"/>
    <w:rsid w:val="004C10F8"/>
    <w:rsid w:val="004C1395"/>
    <w:rsid w:val="004C1587"/>
    <w:rsid w:val="004C1935"/>
    <w:rsid w:val="004C1A3A"/>
    <w:rsid w:val="004C1B29"/>
    <w:rsid w:val="004C1B7F"/>
    <w:rsid w:val="004C1BE1"/>
    <w:rsid w:val="004C1E43"/>
    <w:rsid w:val="004C1F3F"/>
    <w:rsid w:val="004C1F8A"/>
    <w:rsid w:val="004C2041"/>
    <w:rsid w:val="004C22CA"/>
    <w:rsid w:val="004C262D"/>
    <w:rsid w:val="004C272D"/>
    <w:rsid w:val="004C288D"/>
    <w:rsid w:val="004C2936"/>
    <w:rsid w:val="004C2C4E"/>
    <w:rsid w:val="004C2C9C"/>
    <w:rsid w:val="004C2CCC"/>
    <w:rsid w:val="004C2CE7"/>
    <w:rsid w:val="004C30E6"/>
    <w:rsid w:val="004C31C7"/>
    <w:rsid w:val="004C3340"/>
    <w:rsid w:val="004C3418"/>
    <w:rsid w:val="004C3590"/>
    <w:rsid w:val="004C3617"/>
    <w:rsid w:val="004C3628"/>
    <w:rsid w:val="004C37FC"/>
    <w:rsid w:val="004C3CDC"/>
    <w:rsid w:val="004C3FBC"/>
    <w:rsid w:val="004C405E"/>
    <w:rsid w:val="004C4192"/>
    <w:rsid w:val="004C43C0"/>
    <w:rsid w:val="004C451A"/>
    <w:rsid w:val="004C4C4F"/>
    <w:rsid w:val="004C4E1C"/>
    <w:rsid w:val="004C5199"/>
    <w:rsid w:val="004C52A8"/>
    <w:rsid w:val="004C53F4"/>
    <w:rsid w:val="004C565A"/>
    <w:rsid w:val="004C586F"/>
    <w:rsid w:val="004C5872"/>
    <w:rsid w:val="004C5900"/>
    <w:rsid w:val="004C5B3D"/>
    <w:rsid w:val="004C6189"/>
    <w:rsid w:val="004C619B"/>
    <w:rsid w:val="004C6B92"/>
    <w:rsid w:val="004C6C23"/>
    <w:rsid w:val="004C6E41"/>
    <w:rsid w:val="004C6F70"/>
    <w:rsid w:val="004C7011"/>
    <w:rsid w:val="004C710C"/>
    <w:rsid w:val="004C7590"/>
    <w:rsid w:val="004C7647"/>
    <w:rsid w:val="004C7C7B"/>
    <w:rsid w:val="004C7DA5"/>
    <w:rsid w:val="004C7F2E"/>
    <w:rsid w:val="004C7F35"/>
    <w:rsid w:val="004C7F76"/>
    <w:rsid w:val="004D000C"/>
    <w:rsid w:val="004D0386"/>
    <w:rsid w:val="004D0521"/>
    <w:rsid w:val="004D056E"/>
    <w:rsid w:val="004D060D"/>
    <w:rsid w:val="004D0631"/>
    <w:rsid w:val="004D0736"/>
    <w:rsid w:val="004D08DA"/>
    <w:rsid w:val="004D0AA9"/>
    <w:rsid w:val="004D0F7A"/>
    <w:rsid w:val="004D0F90"/>
    <w:rsid w:val="004D0FAB"/>
    <w:rsid w:val="004D1031"/>
    <w:rsid w:val="004D1151"/>
    <w:rsid w:val="004D1214"/>
    <w:rsid w:val="004D13EF"/>
    <w:rsid w:val="004D15FD"/>
    <w:rsid w:val="004D187B"/>
    <w:rsid w:val="004D187E"/>
    <w:rsid w:val="004D19B1"/>
    <w:rsid w:val="004D1A51"/>
    <w:rsid w:val="004D1CC1"/>
    <w:rsid w:val="004D1CCA"/>
    <w:rsid w:val="004D1E11"/>
    <w:rsid w:val="004D21F4"/>
    <w:rsid w:val="004D24B0"/>
    <w:rsid w:val="004D28A7"/>
    <w:rsid w:val="004D2A84"/>
    <w:rsid w:val="004D2B1F"/>
    <w:rsid w:val="004D2C00"/>
    <w:rsid w:val="004D353B"/>
    <w:rsid w:val="004D3AEE"/>
    <w:rsid w:val="004D3B80"/>
    <w:rsid w:val="004D42A1"/>
    <w:rsid w:val="004D44BE"/>
    <w:rsid w:val="004D4571"/>
    <w:rsid w:val="004D460E"/>
    <w:rsid w:val="004D48E3"/>
    <w:rsid w:val="004D4E80"/>
    <w:rsid w:val="004D4F2E"/>
    <w:rsid w:val="004D4FDF"/>
    <w:rsid w:val="004D5069"/>
    <w:rsid w:val="004D53C8"/>
    <w:rsid w:val="004D54E9"/>
    <w:rsid w:val="004D5532"/>
    <w:rsid w:val="004D554F"/>
    <w:rsid w:val="004D566E"/>
    <w:rsid w:val="004D5711"/>
    <w:rsid w:val="004D575F"/>
    <w:rsid w:val="004D591A"/>
    <w:rsid w:val="004D5D10"/>
    <w:rsid w:val="004D5E8C"/>
    <w:rsid w:val="004D641E"/>
    <w:rsid w:val="004D66D7"/>
    <w:rsid w:val="004D6838"/>
    <w:rsid w:val="004D6B2F"/>
    <w:rsid w:val="004D6CC5"/>
    <w:rsid w:val="004D7121"/>
    <w:rsid w:val="004D7258"/>
    <w:rsid w:val="004D738E"/>
    <w:rsid w:val="004D76C0"/>
    <w:rsid w:val="004D79C2"/>
    <w:rsid w:val="004D79D8"/>
    <w:rsid w:val="004D7A61"/>
    <w:rsid w:val="004D7D0E"/>
    <w:rsid w:val="004D7D4C"/>
    <w:rsid w:val="004E02B9"/>
    <w:rsid w:val="004E0465"/>
    <w:rsid w:val="004E0864"/>
    <w:rsid w:val="004E0B7D"/>
    <w:rsid w:val="004E0CF8"/>
    <w:rsid w:val="004E0D65"/>
    <w:rsid w:val="004E0E16"/>
    <w:rsid w:val="004E0EB5"/>
    <w:rsid w:val="004E0F3A"/>
    <w:rsid w:val="004E1296"/>
    <w:rsid w:val="004E13D1"/>
    <w:rsid w:val="004E148C"/>
    <w:rsid w:val="004E15B7"/>
    <w:rsid w:val="004E15BD"/>
    <w:rsid w:val="004E1668"/>
    <w:rsid w:val="004E1761"/>
    <w:rsid w:val="004E1848"/>
    <w:rsid w:val="004E1854"/>
    <w:rsid w:val="004E195B"/>
    <w:rsid w:val="004E19A7"/>
    <w:rsid w:val="004E19F5"/>
    <w:rsid w:val="004E27AF"/>
    <w:rsid w:val="004E2CC8"/>
    <w:rsid w:val="004E2D6A"/>
    <w:rsid w:val="004E2ECF"/>
    <w:rsid w:val="004E2ED9"/>
    <w:rsid w:val="004E2EF0"/>
    <w:rsid w:val="004E30C7"/>
    <w:rsid w:val="004E31DB"/>
    <w:rsid w:val="004E3302"/>
    <w:rsid w:val="004E3360"/>
    <w:rsid w:val="004E33D5"/>
    <w:rsid w:val="004E378C"/>
    <w:rsid w:val="004E3832"/>
    <w:rsid w:val="004E3888"/>
    <w:rsid w:val="004E389F"/>
    <w:rsid w:val="004E38B3"/>
    <w:rsid w:val="004E3A17"/>
    <w:rsid w:val="004E3AC8"/>
    <w:rsid w:val="004E3AED"/>
    <w:rsid w:val="004E3AFB"/>
    <w:rsid w:val="004E3D35"/>
    <w:rsid w:val="004E3E2A"/>
    <w:rsid w:val="004E412E"/>
    <w:rsid w:val="004E4414"/>
    <w:rsid w:val="004E47B8"/>
    <w:rsid w:val="004E4871"/>
    <w:rsid w:val="004E49AA"/>
    <w:rsid w:val="004E4BAA"/>
    <w:rsid w:val="004E5128"/>
    <w:rsid w:val="004E52B1"/>
    <w:rsid w:val="004E5322"/>
    <w:rsid w:val="004E5A98"/>
    <w:rsid w:val="004E5B57"/>
    <w:rsid w:val="004E5C78"/>
    <w:rsid w:val="004E5D35"/>
    <w:rsid w:val="004E5DCC"/>
    <w:rsid w:val="004E5F90"/>
    <w:rsid w:val="004E6463"/>
    <w:rsid w:val="004E6512"/>
    <w:rsid w:val="004E6826"/>
    <w:rsid w:val="004E68EA"/>
    <w:rsid w:val="004E690A"/>
    <w:rsid w:val="004E6E0B"/>
    <w:rsid w:val="004E7934"/>
    <w:rsid w:val="004E79F4"/>
    <w:rsid w:val="004E7E29"/>
    <w:rsid w:val="004E7EAE"/>
    <w:rsid w:val="004F04C8"/>
    <w:rsid w:val="004F087F"/>
    <w:rsid w:val="004F0977"/>
    <w:rsid w:val="004F0AEE"/>
    <w:rsid w:val="004F0C7C"/>
    <w:rsid w:val="004F0F13"/>
    <w:rsid w:val="004F1061"/>
    <w:rsid w:val="004F106F"/>
    <w:rsid w:val="004F143F"/>
    <w:rsid w:val="004F16CC"/>
    <w:rsid w:val="004F176E"/>
    <w:rsid w:val="004F178A"/>
    <w:rsid w:val="004F18AE"/>
    <w:rsid w:val="004F19E9"/>
    <w:rsid w:val="004F1A98"/>
    <w:rsid w:val="004F1AB8"/>
    <w:rsid w:val="004F1BC0"/>
    <w:rsid w:val="004F1E30"/>
    <w:rsid w:val="004F1F06"/>
    <w:rsid w:val="004F1FB5"/>
    <w:rsid w:val="004F2040"/>
    <w:rsid w:val="004F2156"/>
    <w:rsid w:val="004F2358"/>
    <w:rsid w:val="004F260C"/>
    <w:rsid w:val="004F27F4"/>
    <w:rsid w:val="004F2851"/>
    <w:rsid w:val="004F2C38"/>
    <w:rsid w:val="004F2D7D"/>
    <w:rsid w:val="004F3472"/>
    <w:rsid w:val="004F36A0"/>
    <w:rsid w:val="004F3C1D"/>
    <w:rsid w:val="004F4373"/>
    <w:rsid w:val="004F43DD"/>
    <w:rsid w:val="004F482F"/>
    <w:rsid w:val="004F4CE6"/>
    <w:rsid w:val="004F4E14"/>
    <w:rsid w:val="004F4FB0"/>
    <w:rsid w:val="004F5086"/>
    <w:rsid w:val="004F510B"/>
    <w:rsid w:val="004F5184"/>
    <w:rsid w:val="004F51C9"/>
    <w:rsid w:val="004F532A"/>
    <w:rsid w:val="004F549C"/>
    <w:rsid w:val="004F549F"/>
    <w:rsid w:val="004F5884"/>
    <w:rsid w:val="004F58E0"/>
    <w:rsid w:val="004F59B7"/>
    <w:rsid w:val="004F5A18"/>
    <w:rsid w:val="004F5B2B"/>
    <w:rsid w:val="004F5D4A"/>
    <w:rsid w:val="004F5ECD"/>
    <w:rsid w:val="004F606C"/>
    <w:rsid w:val="004F613D"/>
    <w:rsid w:val="004F6273"/>
    <w:rsid w:val="004F62D2"/>
    <w:rsid w:val="004F64AE"/>
    <w:rsid w:val="004F6507"/>
    <w:rsid w:val="004F66B0"/>
    <w:rsid w:val="004F67EF"/>
    <w:rsid w:val="004F6821"/>
    <w:rsid w:val="004F6869"/>
    <w:rsid w:val="004F6992"/>
    <w:rsid w:val="004F69AC"/>
    <w:rsid w:val="004F6A99"/>
    <w:rsid w:val="004F6AA8"/>
    <w:rsid w:val="004F6B57"/>
    <w:rsid w:val="004F6D83"/>
    <w:rsid w:val="004F6DC3"/>
    <w:rsid w:val="004F7359"/>
    <w:rsid w:val="004F736F"/>
    <w:rsid w:val="004F7438"/>
    <w:rsid w:val="004F7A53"/>
    <w:rsid w:val="004F7BC0"/>
    <w:rsid w:val="004F7C0D"/>
    <w:rsid w:val="004F7C19"/>
    <w:rsid w:val="005001AA"/>
    <w:rsid w:val="00500335"/>
    <w:rsid w:val="00500458"/>
    <w:rsid w:val="00500581"/>
    <w:rsid w:val="00500966"/>
    <w:rsid w:val="00500BB1"/>
    <w:rsid w:val="00500FE7"/>
    <w:rsid w:val="0050103D"/>
    <w:rsid w:val="00501550"/>
    <w:rsid w:val="00501841"/>
    <w:rsid w:val="00501B93"/>
    <w:rsid w:val="00501C29"/>
    <w:rsid w:val="00501CDF"/>
    <w:rsid w:val="00501F6D"/>
    <w:rsid w:val="00502607"/>
    <w:rsid w:val="005027B7"/>
    <w:rsid w:val="00502853"/>
    <w:rsid w:val="00502E3C"/>
    <w:rsid w:val="00502E74"/>
    <w:rsid w:val="00503053"/>
    <w:rsid w:val="00503367"/>
    <w:rsid w:val="00503722"/>
    <w:rsid w:val="0050396A"/>
    <w:rsid w:val="00503AA8"/>
    <w:rsid w:val="00503B2A"/>
    <w:rsid w:val="00503D1E"/>
    <w:rsid w:val="0050407D"/>
    <w:rsid w:val="00504212"/>
    <w:rsid w:val="0050434D"/>
    <w:rsid w:val="005043A1"/>
    <w:rsid w:val="0050444D"/>
    <w:rsid w:val="005048BC"/>
    <w:rsid w:val="00504A4C"/>
    <w:rsid w:val="00504AC5"/>
    <w:rsid w:val="00504B3B"/>
    <w:rsid w:val="00504FDB"/>
    <w:rsid w:val="00505063"/>
    <w:rsid w:val="005051D9"/>
    <w:rsid w:val="0050529E"/>
    <w:rsid w:val="005052BB"/>
    <w:rsid w:val="005053AB"/>
    <w:rsid w:val="005053FB"/>
    <w:rsid w:val="005055FB"/>
    <w:rsid w:val="00505683"/>
    <w:rsid w:val="00505688"/>
    <w:rsid w:val="0050569A"/>
    <w:rsid w:val="005057C4"/>
    <w:rsid w:val="00505820"/>
    <w:rsid w:val="005058C9"/>
    <w:rsid w:val="00505A3C"/>
    <w:rsid w:val="00505B2D"/>
    <w:rsid w:val="00505B89"/>
    <w:rsid w:val="00505E1A"/>
    <w:rsid w:val="00506420"/>
    <w:rsid w:val="00506431"/>
    <w:rsid w:val="005064CA"/>
    <w:rsid w:val="00506986"/>
    <w:rsid w:val="00506B80"/>
    <w:rsid w:val="00506BD0"/>
    <w:rsid w:val="00506C4F"/>
    <w:rsid w:val="00506C93"/>
    <w:rsid w:val="00506D0A"/>
    <w:rsid w:val="00506D78"/>
    <w:rsid w:val="00506D7A"/>
    <w:rsid w:val="005071C7"/>
    <w:rsid w:val="00507268"/>
    <w:rsid w:val="00507363"/>
    <w:rsid w:val="00507525"/>
    <w:rsid w:val="005075FA"/>
    <w:rsid w:val="00507759"/>
    <w:rsid w:val="00507776"/>
    <w:rsid w:val="0050777B"/>
    <w:rsid w:val="00507841"/>
    <w:rsid w:val="00507B5A"/>
    <w:rsid w:val="00507E4C"/>
    <w:rsid w:val="00510085"/>
    <w:rsid w:val="005100C7"/>
    <w:rsid w:val="005102C4"/>
    <w:rsid w:val="005106DC"/>
    <w:rsid w:val="00510F30"/>
    <w:rsid w:val="0051116B"/>
    <w:rsid w:val="00511457"/>
    <w:rsid w:val="005115A5"/>
    <w:rsid w:val="00511648"/>
    <w:rsid w:val="005116E5"/>
    <w:rsid w:val="00511AF0"/>
    <w:rsid w:val="00511C3A"/>
    <w:rsid w:val="00512180"/>
    <w:rsid w:val="005121DF"/>
    <w:rsid w:val="0051231F"/>
    <w:rsid w:val="005127FF"/>
    <w:rsid w:val="00512C1E"/>
    <w:rsid w:val="00512E3F"/>
    <w:rsid w:val="00512F2E"/>
    <w:rsid w:val="005130BE"/>
    <w:rsid w:val="0051327E"/>
    <w:rsid w:val="0051350B"/>
    <w:rsid w:val="00513575"/>
    <w:rsid w:val="00513BAF"/>
    <w:rsid w:val="00513C9B"/>
    <w:rsid w:val="00513D3A"/>
    <w:rsid w:val="00513DE5"/>
    <w:rsid w:val="00513E3D"/>
    <w:rsid w:val="00513E61"/>
    <w:rsid w:val="00513E8E"/>
    <w:rsid w:val="00513EB8"/>
    <w:rsid w:val="00514028"/>
    <w:rsid w:val="005140F7"/>
    <w:rsid w:val="005141EB"/>
    <w:rsid w:val="00514823"/>
    <w:rsid w:val="00514876"/>
    <w:rsid w:val="00514B67"/>
    <w:rsid w:val="00514E5D"/>
    <w:rsid w:val="0051544B"/>
    <w:rsid w:val="00515471"/>
    <w:rsid w:val="005154F8"/>
    <w:rsid w:val="0051550F"/>
    <w:rsid w:val="0051567F"/>
    <w:rsid w:val="005157BE"/>
    <w:rsid w:val="00515924"/>
    <w:rsid w:val="00515930"/>
    <w:rsid w:val="00515A77"/>
    <w:rsid w:val="00515E7B"/>
    <w:rsid w:val="00515F83"/>
    <w:rsid w:val="00515F92"/>
    <w:rsid w:val="0051604D"/>
    <w:rsid w:val="00516113"/>
    <w:rsid w:val="00516BBF"/>
    <w:rsid w:val="00517025"/>
    <w:rsid w:val="00517096"/>
    <w:rsid w:val="00517572"/>
    <w:rsid w:val="00517C0D"/>
    <w:rsid w:val="00517D68"/>
    <w:rsid w:val="00517E06"/>
    <w:rsid w:val="00517E2C"/>
    <w:rsid w:val="0052006E"/>
    <w:rsid w:val="005200B3"/>
    <w:rsid w:val="005201CC"/>
    <w:rsid w:val="005202BD"/>
    <w:rsid w:val="00520441"/>
    <w:rsid w:val="005204DA"/>
    <w:rsid w:val="005206FA"/>
    <w:rsid w:val="00520AD9"/>
    <w:rsid w:val="00520BD7"/>
    <w:rsid w:val="00520C90"/>
    <w:rsid w:val="00521082"/>
    <w:rsid w:val="0052117B"/>
    <w:rsid w:val="005211F7"/>
    <w:rsid w:val="005215A7"/>
    <w:rsid w:val="00521603"/>
    <w:rsid w:val="00521639"/>
    <w:rsid w:val="005216A9"/>
    <w:rsid w:val="00521833"/>
    <w:rsid w:val="00521904"/>
    <w:rsid w:val="005219B3"/>
    <w:rsid w:val="00521A1D"/>
    <w:rsid w:val="00521CAB"/>
    <w:rsid w:val="00521FCB"/>
    <w:rsid w:val="005222BE"/>
    <w:rsid w:val="005222E3"/>
    <w:rsid w:val="005224B6"/>
    <w:rsid w:val="00522617"/>
    <w:rsid w:val="00522AAC"/>
    <w:rsid w:val="00522DE1"/>
    <w:rsid w:val="00522F26"/>
    <w:rsid w:val="005230BD"/>
    <w:rsid w:val="005234EC"/>
    <w:rsid w:val="00523590"/>
    <w:rsid w:val="005235A0"/>
    <w:rsid w:val="005235DA"/>
    <w:rsid w:val="0052384F"/>
    <w:rsid w:val="00523891"/>
    <w:rsid w:val="00523B99"/>
    <w:rsid w:val="00523F55"/>
    <w:rsid w:val="00524225"/>
    <w:rsid w:val="00524739"/>
    <w:rsid w:val="005248C7"/>
    <w:rsid w:val="00524BA9"/>
    <w:rsid w:val="00525070"/>
    <w:rsid w:val="00525207"/>
    <w:rsid w:val="00525216"/>
    <w:rsid w:val="0052563E"/>
    <w:rsid w:val="00525725"/>
    <w:rsid w:val="00525784"/>
    <w:rsid w:val="005258F7"/>
    <w:rsid w:val="0052598D"/>
    <w:rsid w:val="00525B8C"/>
    <w:rsid w:val="00525BEB"/>
    <w:rsid w:val="00525E4E"/>
    <w:rsid w:val="00525EED"/>
    <w:rsid w:val="00525FA5"/>
    <w:rsid w:val="00525FE9"/>
    <w:rsid w:val="00526096"/>
    <w:rsid w:val="005260FA"/>
    <w:rsid w:val="005261CD"/>
    <w:rsid w:val="005262B5"/>
    <w:rsid w:val="00526581"/>
    <w:rsid w:val="00526991"/>
    <w:rsid w:val="00526BF1"/>
    <w:rsid w:val="00526F0E"/>
    <w:rsid w:val="00527256"/>
    <w:rsid w:val="005272B5"/>
    <w:rsid w:val="00527369"/>
    <w:rsid w:val="00527493"/>
    <w:rsid w:val="00527756"/>
    <w:rsid w:val="0052782E"/>
    <w:rsid w:val="00527A5C"/>
    <w:rsid w:val="00527AEE"/>
    <w:rsid w:val="00527C23"/>
    <w:rsid w:val="00527E58"/>
    <w:rsid w:val="00530152"/>
    <w:rsid w:val="0053026B"/>
    <w:rsid w:val="0053069C"/>
    <w:rsid w:val="0053074E"/>
    <w:rsid w:val="00530790"/>
    <w:rsid w:val="0053091D"/>
    <w:rsid w:val="005309DC"/>
    <w:rsid w:val="0053113D"/>
    <w:rsid w:val="00531423"/>
    <w:rsid w:val="00531915"/>
    <w:rsid w:val="005319C8"/>
    <w:rsid w:val="00531A05"/>
    <w:rsid w:val="00531A09"/>
    <w:rsid w:val="00531DBF"/>
    <w:rsid w:val="00532006"/>
    <w:rsid w:val="00532088"/>
    <w:rsid w:val="00532130"/>
    <w:rsid w:val="00532306"/>
    <w:rsid w:val="005327BD"/>
    <w:rsid w:val="00532A64"/>
    <w:rsid w:val="00532E3E"/>
    <w:rsid w:val="005330D6"/>
    <w:rsid w:val="00533381"/>
    <w:rsid w:val="005333A9"/>
    <w:rsid w:val="00533BBE"/>
    <w:rsid w:val="00533BBF"/>
    <w:rsid w:val="00533C4B"/>
    <w:rsid w:val="00533FC0"/>
    <w:rsid w:val="005344C5"/>
    <w:rsid w:val="005344F6"/>
    <w:rsid w:val="005349CD"/>
    <w:rsid w:val="00534B84"/>
    <w:rsid w:val="00534BC4"/>
    <w:rsid w:val="00534D71"/>
    <w:rsid w:val="00534FB3"/>
    <w:rsid w:val="00534FF6"/>
    <w:rsid w:val="0053506F"/>
    <w:rsid w:val="00535146"/>
    <w:rsid w:val="0053514C"/>
    <w:rsid w:val="00535162"/>
    <w:rsid w:val="005351CA"/>
    <w:rsid w:val="005351F2"/>
    <w:rsid w:val="00535741"/>
    <w:rsid w:val="0053598E"/>
    <w:rsid w:val="00535B89"/>
    <w:rsid w:val="00535C80"/>
    <w:rsid w:val="00535E1F"/>
    <w:rsid w:val="00535F0A"/>
    <w:rsid w:val="00535F16"/>
    <w:rsid w:val="00536572"/>
    <w:rsid w:val="005365D0"/>
    <w:rsid w:val="005366FF"/>
    <w:rsid w:val="00536A44"/>
    <w:rsid w:val="00536CBA"/>
    <w:rsid w:val="00536FE6"/>
    <w:rsid w:val="00537023"/>
    <w:rsid w:val="0053729E"/>
    <w:rsid w:val="00537863"/>
    <w:rsid w:val="0053788D"/>
    <w:rsid w:val="00537AF0"/>
    <w:rsid w:val="00537B39"/>
    <w:rsid w:val="00537C03"/>
    <w:rsid w:val="00537C56"/>
    <w:rsid w:val="00537CB0"/>
    <w:rsid w:val="005402BE"/>
    <w:rsid w:val="005403CA"/>
    <w:rsid w:val="00540474"/>
    <w:rsid w:val="005404AA"/>
    <w:rsid w:val="0054080C"/>
    <w:rsid w:val="00540A91"/>
    <w:rsid w:val="00540E2E"/>
    <w:rsid w:val="00541021"/>
    <w:rsid w:val="00541361"/>
    <w:rsid w:val="005413F5"/>
    <w:rsid w:val="00541738"/>
    <w:rsid w:val="00541817"/>
    <w:rsid w:val="005418C0"/>
    <w:rsid w:val="00541B2C"/>
    <w:rsid w:val="00541C0E"/>
    <w:rsid w:val="00541D5B"/>
    <w:rsid w:val="00541ED0"/>
    <w:rsid w:val="00542485"/>
    <w:rsid w:val="005424AF"/>
    <w:rsid w:val="00542778"/>
    <w:rsid w:val="005427D1"/>
    <w:rsid w:val="00542BDE"/>
    <w:rsid w:val="00542C36"/>
    <w:rsid w:val="005431C5"/>
    <w:rsid w:val="0054320A"/>
    <w:rsid w:val="005433DC"/>
    <w:rsid w:val="00543426"/>
    <w:rsid w:val="005434C2"/>
    <w:rsid w:val="005434F0"/>
    <w:rsid w:val="00543A2A"/>
    <w:rsid w:val="00543E4E"/>
    <w:rsid w:val="0054409D"/>
    <w:rsid w:val="005442DF"/>
    <w:rsid w:val="005444E8"/>
    <w:rsid w:val="005446B4"/>
    <w:rsid w:val="0054471A"/>
    <w:rsid w:val="0054475B"/>
    <w:rsid w:val="005448D6"/>
    <w:rsid w:val="005449E5"/>
    <w:rsid w:val="00544B62"/>
    <w:rsid w:val="00544C6B"/>
    <w:rsid w:val="00545064"/>
    <w:rsid w:val="00545196"/>
    <w:rsid w:val="005453F7"/>
    <w:rsid w:val="00545830"/>
    <w:rsid w:val="0054594D"/>
    <w:rsid w:val="00545A68"/>
    <w:rsid w:val="00545AE3"/>
    <w:rsid w:val="00545CE8"/>
    <w:rsid w:val="005461D9"/>
    <w:rsid w:val="0054653D"/>
    <w:rsid w:val="00546649"/>
    <w:rsid w:val="0054676B"/>
    <w:rsid w:val="00547801"/>
    <w:rsid w:val="0054783E"/>
    <w:rsid w:val="0054786A"/>
    <w:rsid w:val="00547D05"/>
    <w:rsid w:val="00547F02"/>
    <w:rsid w:val="0055005E"/>
    <w:rsid w:val="00550547"/>
    <w:rsid w:val="0055103C"/>
    <w:rsid w:val="00551567"/>
    <w:rsid w:val="00551725"/>
    <w:rsid w:val="00551781"/>
    <w:rsid w:val="00551EA9"/>
    <w:rsid w:val="00552032"/>
    <w:rsid w:val="0055204C"/>
    <w:rsid w:val="00552323"/>
    <w:rsid w:val="005524F8"/>
    <w:rsid w:val="005525C5"/>
    <w:rsid w:val="0055299A"/>
    <w:rsid w:val="00552A84"/>
    <w:rsid w:val="00552A99"/>
    <w:rsid w:val="00552FFF"/>
    <w:rsid w:val="0055307C"/>
    <w:rsid w:val="00553236"/>
    <w:rsid w:val="005532C1"/>
    <w:rsid w:val="00553594"/>
    <w:rsid w:val="00553605"/>
    <w:rsid w:val="00553ABB"/>
    <w:rsid w:val="00553C56"/>
    <w:rsid w:val="00553C9E"/>
    <w:rsid w:val="00553EE0"/>
    <w:rsid w:val="00554013"/>
    <w:rsid w:val="005541D0"/>
    <w:rsid w:val="00554436"/>
    <w:rsid w:val="00554A2C"/>
    <w:rsid w:val="00554CEA"/>
    <w:rsid w:val="00554F93"/>
    <w:rsid w:val="00555055"/>
    <w:rsid w:val="00555297"/>
    <w:rsid w:val="005557FB"/>
    <w:rsid w:val="005558D9"/>
    <w:rsid w:val="005559C2"/>
    <w:rsid w:val="00555B63"/>
    <w:rsid w:val="00555C01"/>
    <w:rsid w:val="00555C56"/>
    <w:rsid w:val="005560BD"/>
    <w:rsid w:val="005560FD"/>
    <w:rsid w:val="005563E6"/>
    <w:rsid w:val="005563E9"/>
    <w:rsid w:val="00556428"/>
    <w:rsid w:val="005564B4"/>
    <w:rsid w:val="005568FC"/>
    <w:rsid w:val="005569CA"/>
    <w:rsid w:val="00556DE2"/>
    <w:rsid w:val="00556E17"/>
    <w:rsid w:val="005575F2"/>
    <w:rsid w:val="00557671"/>
    <w:rsid w:val="00557674"/>
    <w:rsid w:val="0055784F"/>
    <w:rsid w:val="00557C06"/>
    <w:rsid w:val="00557D9A"/>
    <w:rsid w:val="00557F00"/>
    <w:rsid w:val="00560243"/>
    <w:rsid w:val="0056065E"/>
    <w:rsid w:val="005609F5"/>
    <w:rsid w:val="00560A16"/>
    <w:rsid w:val="00560C8E"/>
    <w:rsid w:val="00560D8B"/>
    <w:rsid w:val="00560F06"/>
    <w:rsid w:val="0056106E"/>
    <w:rsid w:val="0056109B"/>
    <w:rsid w:val="005613AD"/>
    <w:rsid w:val="00561771"/>
    <w:rsid w:val="00561C01"/>
    <w:rsid w:val="00561F81"/>
    <w:rsid w:val="005621F2"/>
    <w:rsid w:val="005625E1"/>
    <w:rsid w:val="005626FF"/>
    <w:rsid w:val="005627FB"/>
    <w:rsid w:val="00562822"/>
    <w:rsid w:val="00562CC1"/>
    <w:rsid w:val="00562E18"/>
    <w:rsid w:val="0056313B"/>
    <w:rsid w:val="00563226"/>
    <w:rsid w:val="0056323F"/>
    <w:rsid w:val="005633A1"/>
    <w:rsid w:val="0056357B"/>
    <w:rsid w:val="005637C7"/>
    <w:rsid w:val="005637D4"/>
    <w:rsid w:val="00563828"/>
    <w:rsid w:val="005638C6"/>
    <w:rsid w:val="00563A11"/>
    <w:rsid w:val="00563C2C"/>
    <w:rsid w:val="00563C37"/>
    <w:rsid w:val="00563D71"/>
    <w:rsid w:val="00563EDF"/>
    <w:rsid w:val="00564170"/>
    <w:rsid w:val="005642AE"/>
    <w:rsid w:val="00564584"/>
    <w:rsid w:val="00564778"/>
    <w:rsid w:val="00564795"/>
    <w:rsid w:val="00564865"/>
    <w:rsid w:val="005648E5"/>
    <w:rsid w:val="00564A98"/>
    <w:rsid w:val="00564B3B"/>
    <w:rsid w:val="00564F57"/>
    <w:rsid w:val="005651C6"/>
    <w:rsid w:val="00565287"/>
    <w:rsid w:val="0056533B"/>
    <w:rsid w:val="005654DA"/>
    <w:rsid w:val="00565589"/>
    <w:rsid w:val="005655C0"/>
    <w:rsid w:val="00565659"/>
    <w:rsid w:val="00565730"/>
    <w:rsid w:val="0056586B"/>
    <w:rsid w:val="00565C1A"/>
    <w:rsid w:val="00565C2D"/>
    <w:rsid w:val="00565C6B"/>
    <w:rsid w:val="00566280"/>
    <w:rsid w:val="00567074"/>
    <w:rsid w:val="005672A7"/>
    <w:rsid w:val="005672CA"/>
    <w:rsid w:val="00567392"/>
    <w:rsid w:val="00567451"/>
    <w:rsid w:val="00567454"/>
    <w:rsid w:val="00567ACA"/>
    <w:rsid w:val="00567B15"/>
    <w:rsid w:val="00567CFB"/>
    <w:rsid w:val="00567EBF"/>
    <w:rsid w:val="005700DD"/>
    <w:rsid w:val="0057031C"/>
    <w:rsid w:val="00570732"/>
    <w:rsid w:val="005707E8"/>
    <w:rsid w:val="005708AB"/>
    <w:rsid w:val="00570CC1"/>
    <w:rsid w:val="00570F15"/>
    <w:rsid w:val="00570F6F"/>
    <w:rsid w:val="00571091"/>
    <w:rsid w:val="00571133"/>
    <w:rsid w:val="00571280"/>
    <w:rsid w:val="0057134C"/>
    <w:rsid w:val="00571370"/>
    <w:rsid w:val="005715F2"/>
    <w:rsid w:val="00571659"/>
    <w:rsid w:val="005718C7"/>
    <w:rsid w:val="00571BD2"/>
    <w:rsid w:val="00571E61"/>
    <w:rsid w:val="00571E8D"/>
    <w:rsid w:val="005721BA"/>
    <w:rsid w:val="00572463"/>
    <w:rsid w:val="00572477"/>
    <w:rsid w:val="00572740"/>
    <w:rsid w:val="005727BB"/>
    <w:rsid w:val="00572CBA"/>
    <w:rsid w:val="0057309D"/>
    <w:rsid w:val="00573356"/>
    <w:rsid w:val="00573497"/>
    <w:rsid w:val="00573579"/>
    <w:rsid w:val="00573612"/>
    <w:rsid w:val="005737AC"/>
    <w:rsid w:val="00573CAB"/>
    <w:rsid w:val="00573DB9"/>
    <w:rsid w:val="00573E6E"/>
    <w:rsid w:val="0057409C"/>
    <w:rsid w:val="00574166"/>
    <w:rsid w:val="0057444F"/>
    <w:rsid w:val="0057458A"/>
    <w:rsid w:val="00574726"/>
    <w:rsid w:val="00574775"/>
    <w:rsid w:val="005748FA"/>
    <w:rsid w:val="00574970"/>
    <w:rsid w:val="00574A62"/>
    <w:rsid w:val="00574BBB"/>
    <w:rsid w:val="00575050"/>
    <w:rsid w:val="005750AD"/>
    <w:rsid w:val="00575C83"/>
    <w:rsid w:val="00575E7A"/>
    <w:rsid w:val="00575F4E"/>
    <w:rsid w:val="00576157"/>
    <w:rsid w:val="005762C0"/>
    <w:rsid w:val="005762F0"/>
    <w:rsid w:val="0057650F"/>
    <w:rsid w:val="00577111"/>
    <w:rsid w:val="00577184"/>
    <w:rsid w:val="00577521"/>
    <w:rsid w:val="005775CE"/>
    <w:rsid w:val="005775E4"/>
    <w:rsid w:val="0057774B"/>
    <w:rsid w:val="00577762"/>
    <w:rsid w:val="00577907"/>
    <w:rsid w:val="00577AA0"/>
    <w:rsid w:val="00577B9C"/>
    <w:rsid w:val="00577CAF"/>
    <w:rsid w:val="0058029F"/>
    <w:rsid w:val="00580392"/>
    <w:rsid w:val="005803D3"/>
    <w:rsid w:val="005803D5"/>
    <w:rsid w:val="0058072B"/>
    <w:rsid w:val="0058090D"/>
    <w:rsid w:val="00580C9B"/>
    <w:rsid w:val="00580E5C"/>
    <w:rsid w:val="00581315"/>
    <w:rsid w:val="005813ED"/>
    <w:rsid w:val="005813F8"/>
    <w:rsid w:val="00581B60"/>
    <w:rsid w:val="00581CCB"/>
    <w:rsid w:val="00581FAA"/>
    <w:rsid w:val="00582372"/>
    <w:rsid w:val="00582640"/>
    <w:rsid w:val="005826FF"/>
    <w:rsid w:val="00582976"/>
    <w:rsid w:val="00582C39"/>
    <w:rsid w:val="00582E20"/>
    <w:rsid w:val="00582F7D"/>
    <w:rsid w:val="00583A4A"/>
    <w:rsid w:val="00583A63"/>
    <w:rsid w:val="00583ED4"/>
    <w:rsid w:val="00583FB7"/>
    <w:rsid w:val="00584049"/>
    <w:rsid w:val="00584060"/>
    <w:rsid w:val="00584A88"/>
    <w:rsid w:val="00584B42"/>
    <w:rsid w:val="00584BBA"/>
    <w:rsid w:val="00584CF5"/>
    <w:rsid w:val="00584D8C"/>
    <w:rsid w:val="00584E0A"/>
    <w:rsid w:val="00584E0E"/>
    <w:rsid w:val="00584E13"/>
    <w:rsid w:val="00584FEA"/>
    <w:rsid w:val="00585202"/>
    <w:rsid w:val="00585295"/>
    <w:rsid w:val="00585757"/>
    <w:rsid w:val="00585986"/>
    <w:rsid w:val="00585C4C"/>
    <w:rsid w:val="00585D0F"/>
    <w:rsid w:val="00585E3A"/>
    <w:rsid w:val="00585E44"/>
    <w:rsid w:val="00585F55"/>
    <w:rsid w:val="00585F71"/>
    <w:rsid w:val="00586014"/>
    <w:rsid w:val="005860F5"/>
    <w:rsid w:val="0058612F"/>
    <w:rsid w:val="005862A8"/>
    <w:rsid w:val="005862CD"/>
    <w:rsid w:val="005863AA"/>
    <w:rsid w:val="005867E8"/>
    <w:rsid w:val="0058686D"/>
    <w:rsid w:val="00586996"/>
    <w:rsid w:val="00586B93"/>
    <w:rsid w:val="00586CBB"/>
    <w:rsid w:val="00587019"/>
    <w:rsid w:val="00587539"/>
    <w:rsid w:val="0058773D"/>
    <w:rsid w:val="00587A9F"/>
    <w:rsid w:val="00587BE7"/>
    <w:rsid w:val="00587C31"/>
    <w:rsid w:val="00587CE8"/>
    <w:rsid w:val="00587E21"/>
    <w:rsid w:val="00590031"/>
    <w:rsid w:val="005903ED"/>
    <w:rsid w:val="00590513"/>
    <w:rsid w:val="00590610"/>
    <w:rsid w:val="0059064A"/>
    <w:rsid w:val="00590650"/>
    <w:rsid w:val="00590734"/>
    <w:rsid w:val="00590809"/>
    <w:rsid w:val="005908C9"/>
    <w:rsid w:val="005908D2"/>
    <w:rsid w:val="005909E2"/>
    <w:rsid w:val="00590B9F"/>
    <w:rsid w:val="00590D89"/>
    <w:rsid w:val="00590EAD"/>
    <w:rsid w:val="00590EDE"/>
    <w:rsid w:val="005912B9"/>
    <w:rsid w:val="005913DA"/>
    <w:rsid w:val="005916FD"/>
    <w:rsid w:val="005918FC"/>
    <w:rsid w:val="00591A99"/>
    <w:rsid w:val="00591C7B"/>
    <w:rsid w:val="00591D7B"/>
    <w:rsid w:val="00591FCA"/>
    <w:rsid w:val="00592068"/>
    <w:rsid w:val="00592191"/>
    <w:rsid w:val="005923F1"/>
    <w:rsid w:val="005925BF"/>
    <w:rsid w:val="005927F2"/>
    <w:rsid w:val="0059298E"/>
    <w:rsid w:val="005929B7"/>
    <w:rsid w:val="00592C80"/>
    <w:rsid w:val="00592CE3"/>
    <w:rsid w:val="005930F8"/>
    <w:rsid w:val="005933CB"/>
    <w:rsid w:val="005933ED"/>
    <w:rsid w:val="005934EB"/>
    <w:rsid w:val="005935BC"/>
    <w:rsid w:val="0059367E"/>
    <w:rsid w:val="00593863"/>
    <w:rsid w:val="005938A6"/>
    <w:rsid w:val="00593939"/>
    <w:rsid w:val="00593A16"/>
    <w:rsid w:val="00593AE3"/>
    <w:rsid w:val="00593FD7"/>
    <w:rsid w:val="00594090"/>
    <w:rsid w:val="00594177"/>
    <w:rsid w:val="005943DA"/>
    <w:rsid w:val="0059456D"/>
    <w:rsid w:val="005946AC"/>
    <w:rsid w:val="005946F9"/>
    <w:rsid w:val="00594784"/>
    <w:rsid w:val="00594A7F"/>
    <w:rsid w:val="00594C71"/>
    <w:rsid w:val="0059534D"/>
    <w:rsid w:val="00595416"/>
    <w:rsid w:val="005954F4"/>
    <w:rsid w:val="005958E4"/>
    <w:rsid w:val="00595BF0"/>
    <w:rsid w:val="00595C46"/>
    <w:rsid w:val="00595DEB"/>
    <w:rsid w:val="00595E6A"/>
    <w:rsid w:val="00595F15"/>
    <w:rsid w:val="00596131"/>
    <w:rsid w:val="0059616C"/>
    <w:rsid w:val="00596415"/>
    <w:rsid w:val="005965B1"/>
    <w:rsid w:val="0059662B"/>
    <w:rsid w:val="00596844"/>
    <w:rsid w:val="00596853"/>
    <w:rsid w:val="005968B8"/>
    <w:rsid w:val="00596A6C"/>
    <w:rsid w:val="00596B17"/>
    <w:rsid w:val="00596B3B"/>
    <w:rsid w:val="00596E0E"/>
    <w:rsid w:val="0059704E"/>
    <w:rsid w:val="00597131"/>
    <w:rsid w:val="00597181"/>
    <w:rsid w:val="0059749E"/>
    <w:rsid w:val="00597549"/>
    <w:rsid w:val="0059767A"/>
    <w:rsid w:val="005978F8"/>
    <w:rsid w:val="0059795D"/>
    <w:rsid w:val="005979F8"/>
    <w:rsid w:val="00597B5E"/>
    <w:rsid w:val="00597ECB"/>
    <w:rsid w:val="00597F7B"/>
    <w:rsid w:val="005A0171"/>
    <w:rsid w:val="005A0350"/>
    <w:rsid w:val="005A040E"/>
    <w:rsid w:val="005A05A4"/>
    <w:rsid w:val="005A0828"/>
    <w:rsid w:val="005A0ACA"/>
    <w:rsid w:val="005A0B62"/>
    <w:rsid w:val="005A117F"/>
    <w:rsid w:val="005A13E1"/>
    <w:rsid w:val="005A141F"/>
    <w:rsid w:val="005A1430"/>
    <w:rsid w:val="005A1451"/>
    <w:rsid w:val="005A1585"/>
    <w:rsid w:val="005A17AD"/>
    <w:rsid w:val="005A1B41"/>
    <w:rsid w:val="005A1BBE"/>
    <w:rsid w:val="005A1BC0"/>
    <w:rsid w:val="005A1C11"/>
    <w:rsid w:val="005A1F5C"/>
    <w:rsid w:val="005A21FB"/>
    <w:rsid w:val="005A22A6"/>
    <w:rsid w:val="005A2380"/>
    <w:rsid w:val="005A24BC"/>
    <w:rsid w:val="005A28CF"/>
    <w:rsid w:val="005A2A11"/>
    <w:rsid w:val="005A2A1C"/>
    <w:rsid w:val="005A2B78"/>
    <w:rsid w:val="005A30A3"/>
    <w:rsid w:val="005A3A50"/>
    <w:rsid w:val="005A3E65"/>
    <w:rsid w:val="005A445B"/>
    <w:rsid w:val="005A4513"/>
    <w:rsid w:val="005A45A7"/>
    <w:rsid w:val="005A4869"/>
    <w:rsid w:val="005A4AB8"/>
    <w:rsid w:val="005A4C66"/>
    <w:rsid w:val="005A533B"/>
    <w:rsid w:val="005A543A"/>
    <w:rsid w:val="005A54D5"/>
    <w:rsid w:val="005A5653"/>
    <w:rsid w:val="005A56AC"/>
    <w:rsid w:val="005A5769"/>
    <w:rsid w:val="005A58A0"/>
    <w:rsid w:val="005A5A47"/>
    <w:rsid w:val="005A5E0E"/>
    <w:rsid w:val="005A606E"/>
    <w:rsid w:val="005A62A0"/>
    <w:rsid w:val="005A6611"/>
    <w:rsid w:val="005A6C2D"/>
    <w:rsid w:val="005A709E"/>
    <w:rsid w:val="005A7175"/>
    <w:rsid w:val="005A728B"/>
    <w:rsid w:val="005A7426"/>
    <w:rsid w:val="005A770C"/>
    <w:rsid w:val="005A7A8C"/>
    <w:rsid w:val="005A7B34"/>
    <w:rsid w:val="005A7D66"/>
    <w:rsid w:val="005A7E29"/>
    <w:rsid w:val="005A7F79"/>
    <w:rsid w:val="005B0141"/>
    <w:rsid w:val="005B03C0"/>
    <w:rsid w:val="005B06D9"/>
    <w:rsid w:val="005B06DA"/>
    <w:rsid w:val="005B1187"/>
    <w:rsid w:val="005B11CF"/>
    <w:rsid w:val="005B1451"/>
    <w:rsid w:val="005B162E"/>
    <w:rsid w:val="005B1879"/>
    <w:rsid w:val="005B1DFB"/>
    <w:rsid w:val="005B1EE6"/>
    <w:rsid w:val="005B1F16"/>
    <w:rsid w:val="005B2004"/>
    <w:rsid w:val="005B222B"/>
    <w:rsid w:val="005B2365"/>
    <w:rsid w:val="005B237D"/>
    <w:rsid w:val="005B26D9"/>
    <w:rsid w:val="005B2865"/>
    <w:rsid w:val="005B2A4B"/>
    <w:rsid w:val="005B2AA5"/>
    <w:rsid w:val="005B2E90"/>
    <w:rsid w:val="005B2FBB"/>
    <w:rsid w:val="005B2FD5"/>
    <w:rsid w:val="005B2FF5"/>
    <w:rsid w:val="005B3608"/>
    <w:rsid w:val="005B3696"/>
    <w:rsid w:val="005B370C"/>
    <w:rsid w:val="005B392E"/>
    <w:rsid w:val="005B3A6C"/>
    <w:rsid w:val="005B3C2C"/>
    <w:rsid w:val="005B407F"/>
    <w:rsid w:val="005B4172"/>
    <w:rsid w:val="005B41D3"/>
    <w:rsid w:val="005B443F"/>
    <w:rsid w:val="005B4C44"/>
    <w:rsid w:val="005B4E24"/>
    <w:rsid w:val="005B4ED6"/>
    <w:rsid w:val="005B4F61"/>
    <w:rsid w:val="005B4F6A"/>
    <w:rsid w:val="005B50ED"/>
    <w:rsid w:val="005B5336"/>
    <w:rsid w:val="005B5376"/>
    <w:rsid w:val="005B5415"/>
    <w:rsid w:val="005B5418"/>
    <w:rsid w:val="005B54E9"/>
    <w:rsid w:val="005B55D7"/>
    <w:rsid w:val="005B5772"/>
    <w:rsid w:val="005B57A9"/>
    <w:rsid w:val="005B5C9F"/>
    <w:rsid w:val="005B5F68"/>
    <w:rsid w:val="005B65B9"/>
    <w:rsid w:val="005B65FC"/>
    <w:rsid w:val="005B6652"/>
    <w:rsid w:val="005B6660"/>
    <w:rsid w:val="005B6662"/>
    <w:rsid w:val="005B678B"/>
    <w:rsid w:val="005B6801"/>
    <w:rsid w:val="005B689A"/>
    <w:rsid w:val="005B68F9"/>
    <w:rsid w:val="005B6925"/>
    <w:rsid w:val="005B697D"/>
    <w:rsid w:val="005B6A05"/>
    <w:rsid w:val="005B6B58"/>
    <w:rsid w:val="005B6BA2"/>
    <w:rsid w:val="005B6D0D"/>
    <w:rsid w:val="005B6EB1"/>
    <w:rsid w:val="005B71CA"/>
    <w:rsid w:val="005B723B"/>
    <w:rsid w:val="005B72C2"/>
    <w:rsid w:val="005B7352"/>
    <w:rsid w:val="005B73ED"/>
    <w:rsid w:val="005B7482"/>
    <w:rsid w:val="005B776E"/>
    <w:rsid w:val="005B7AC5"/>
    <w:rsid w:val="005B7B9A"/>
    <w:rsid w:val="005B7C07"/>
    <w:rsid w:val="005B7E63"/>
    <w:rsid w:val="005C00AE"/>
    <w:rsid w:val="005C0169"/>
    <w:rsid w:val="005C0292"/>
    <w:rsid w:val="005C0753"/>
    <w:rsid w:val="005C077A"/>
    <w:rsid w:val="005C08A1"/>
    <w:rsid w:val="005C097F"/>
    <w:rsid w:val="005C09BC"/>
    <w:rsid w:val="005C0A5A"/>
    <w:rsid w:val="005C0BE9"/>
    <w:rsid w:val="005C0C83"/>
    <w:rsid w:val="005C0CC8"/>
    <w:rsid w:val="005C0E41"/>
    <w:rsid w:val="005C0E43"/>
    <w:rsid w:val="005C1074"/>
    <w:rsid w:val="005C1191"/>
    <w:rsid w:val="005C12F8"/>
    <w:rsid w:val="005C1580"/>
    <w:rsid w:val="005C1849"/>
    <w:rsid w:val="005C185C"/>
    <w:rsid w:val="005C1A8D"/>
    <w:rsid w:val="005C1B62"/>
    <w:rsid w:val="005C1CB9"/>
    <w:rsid w:val="005C1EB6"/>
    <w:rsid w:val="005C2007"/>
    <w:rsid w:val="005C212A"/>
    <w:rsid w:val="005C2210"/>
    <w:rsid w:val="005C2216"/>
    <w:rsid w:val="005C22B5"/>
    <w:rsid w:val="005C22D0"/>
    <w:rsid w:val="005C23DA"/>
    <w:rsid w:val="005C255B"/>
    <w:rsid w:val="005C28B0"/>
    <w:rsid w:val="005C298B"/>
    <w:rsid w:val="005C2B56"/>
    <w:rsid w:val="005C2CB5"/>
    <w:rsid w:val="005C2CC6"/>
    <w:rsid w:val="005C2D27"/>
    <w:rsid w:val="005C30CA"/>
    <w:rsid w:val="005C313E"/>
    <w:rsid w:val="005C31CA"/>
    <w:rsid w:val="005C327C"/>
    <w:rsid w:val="005C32A0"/>
    <w:rsid w:val="005C33E8"/>
    <w:rsid w:val="005C3514"/>
    <w:rsid w:val="005C3843"/>
    <w:rsid w:val="005C3894"/>
    <w:rsid w:val="005C410C"/>
    <w:rsid w:val="005C4228"/>
    <w:rsid w:val="005C436D"/>
    <w:rsid w:val="005C44E1"/>
    <w:rsid w:val="005C472E"/>
    <w:rsid w:val="005C4768"/>
    <w:rsid w:val="005C4782"/>
    <w:rsid w:val="005C480D"/>
    <w:rsid w:val="005C4A94"/>
    <w:rsid w:val="005C4FD3"/>
    <w:rsid w:val="005C527D"/>
    <w:rsid w:val="005C5597"/>
    <w:rsid w:val="005C562A"/>
    <w:rsid w:val="005C576C"/>
    <w:rsid w:val="005C58EA"/>
    <w:rsid w:val="005C5904"/>
    <w:rsid w:val="005C5D02"/>
    <w:rsid w:val="005C62B0"/>
    <w:rsid w:val="005C6526"/>
    <w:rsid w:val="005C681A"/>
    <w:rsid w:val="005C681E"/>
    <w:rsid w:val="005C6B68"/>
    <w:rsid w:val="005C6D76"/>
    <w:rsid w:val="005C6E1D"/>
    <w:rsid w:val="005C6EA3"/>
    <w:rsid w:val="005C6EE8"/>
    <w:rsid w:val="005C77AF"/>
    <w:rsid w:val="005C78BB"/>
    <w:rsid w:val="005C7E14"/>
    <w:rsid w:val="005C7EAC"/>
    <w:rsid w:val="005C7F79"/>
    <w:rsid w:val="005C7FA3"/>
    <w:rsid w:val="005D0076"/>
    <w:rsid w:val="005D04E4"/>
    <w:rsid w:val="005D0582"/>
    <w:rsid w:val="005D095C"/>
    <w:rsid w:val="005D0B97"/>
    <w:rsid w:val="005D0CEB"/>
    <w:rsid w:val="005D0E2B"/>
    <w:rsid w:val="005D0FCA"/>
    <w:rsid w:val="005D10C2"/>
    <w:rsid w:val="005D13AD"/>
    <w:rsid w:val="005D1C2E"/>
    <w:rsid w:val="005D1F60"/>
    <w:rsid w:val="005D20C5"/>
    <w:rsid w:val="005D2183"/>
    <w:rsid w:val="005D21C5"/>
    <w:rsid w:val="005D2722"/>
    <w:rsid w:val="005D27D7"/>
    <w:rsid w:val="005D2B9D"/>
    <w:rsid w:val="005D2E63"/>
    <w:rsid w:val="005D2F0D"/>
    <w:rsid w:val="005D303A"/>
    <w:rsid w:val="005D3497"/>
    <w:rsid w:val="005D362E"/>
    <w:rsid w:val="005D3646"/>
    <w:rsid w:val="005D3A6F"/>
    <w:rsid w:val="005D3CDB"/>
    <w:rsid w:val="005D3DC5"/>
    <w:rsid w:val="005D3E59"/>
    <w:rsid w:val="005D4108"/>
    <w:rsid w:val="005D4180"/>
    <w:rsid w:val="005D4277"/>
    <w:rsid w:val="005D4542"/>
    <w:rsid w:val="005D4569"/>
    <w:rsid w:val="005D497D"/>
    <w:rsid w:val="005D4D51"/>
    <w:rsid w:val="005D4E96"/>
    <w:rsid w:val="005D500D"/>
    <w:rsid w:val="005D504E"/>
    <w:rsid w:val="005D520B"/>
    <w:rsid w:val="005D52F7"/>
    <w:rsid w:val="005D5385"/>
    <w:rsid w:val="005D5448"/>
    <w:rsid w:val="005D54B6"/>
    <w:rsid w:val="005D5710"/>
    <w:rsid w:val="005D5953"/>
    <w:rsid w:val="005D5957"/>
    <w:rsid w:val="005D5AC6"/>
    <w:rsid w:val="005D63DA"/>
    <w:rsid w:val="005D64DB"/>
    <w:rsid w:val="005D66D1"/>
    <w:rsid w:val="005D6824"/>
    <w:rsid w:val="005D6878"/>
    <w:rsid w:val="005D6B0B"/>
    <w:rsid w:val="005D6CBE"/>
    <w:rsid w:val="005D6D95"/>
    <w:rsid w:val="005D6E99"/>
    <w:rsid w:val="005D70AC"/>
    <w:rsid w:val="005D728A"/>
    <w:rsid w:val="005D755C"/>
    <w:rsid w:val="005D75DB"/>
    <w:rsid w:val="005D792C"/>
    <w:rsid w:val="005D7A22"/>
    <w:rsid w:val="005D7A5B"/>
    <w:rsid w:val="005D7A5C"/>
    <w:rsid w:val="005D7B4D"/>
    <w:rsid w:val="005D7B94"/>
    <w:rsid w:val="005D7C21"/>
    <w:rsid w:val="005D7D5F"/>
    <w:rsid w:val="005D7DBA"/>
    <w:rsid w:val="005D7DBC"/>
    <w:rsid w:val="005E01CD"/>
    <w:rsid w:val="005E0269"/>
    <w:rsid w:val="005E0553"/>
    <w:rsid w:val="005E0612"/>
    <w:rsid w:val="005E0BBA"/>
    <w:rsid w:val="005E0E62"/>
    <w:rsid w:val="005E0E84"/>
    <w:rsid w:val="005E0FC3"/>
    <w:rsid w:val="005E13E7"/>
    <w:rsid w:val="005E1409"/>
    <w:rsid w:val="005E1BB2"/>
    <w:rsid w:val="005E1CEB"/>
    <w:rsid w:val="005E1D05"/>
    <w:rsid w:val="005E201B"/>
    <w:rsid w:val="005E2264"/>
    <w:rsid w:val="005E283B"/>
    <w:rsid w:val="005E2AAC"/>
    <w:rsid w:val="005E2E5A"/>
    <w:rsid w:val="005E3840"/>
    <w:rsid w:val="005E3AC2"/>
    <w:rsid w:val="005E3B03"/>
    <w:rsid w:val="005E3D29"/>
    <w:rsid w:val="005E3E7C"/>
    <w:rsid w:val="005E436A"/>
    <w:rsid w:val="005E4542"/>
    <w:rsid w:val="005E4905"/>
    <w:rsid w:val="005E4926"/>
    <w:rsid w:val="005E49E4"/>
    <w:rsid w:val="005E4D4E"/>
    <w:rsid w:val="005E4E90"/>
    <w:rsid w:val="005E5366"/>
    <w:rsid w:val="005E542D"/>
    <w:rsid w:val="005E548F"/>
    <w:rsid w:val="005E58B8"/>
    <w:rsid w:val="005E5B33"/>
    <w:rsid w:val="005E5C56"/>
    <w:rsid w:val="005E601F"/>
    <w:rsid w:val="005E6149"/>
    <w:rsid w:val="005E616F"/>
    <w:rsid w:val="005E6356"/>
    <w:rsid w:val="005E6424"/>
    <w:rsid w:val="005E6702"/>
    <w:rsid w:val="005E6840"/>
    <w:rsid w:val="005E6AE6"/>
    <w:rsid w:val="005E6BA7"/>
    <w:rsid w:val="005E6DD2"/>
    <w:rsid w:val="005E6E00"/>
    <w:rsid w:val="005E6FAC"/>
    <w:rsid w:val="005E72B9"/>
    <w:rsid w:val="005E7402"/>
    <w:rsid w:val="005E75A9"/>
    <w:rsid w:val="005E768B"/>
    <w:rsid w:val="005E78BB"/>
    <w:rsid w:val="005E799C"/>
    <w:rsid w:val="005E7A8C"/>
    <w:rsid w:val="005E7A95"/>
    <w:rsid w:val="005E7CE6"/>
    <w:rsid w:val="005E7E7C"/>
    <w:rsid w:val="005F006F"/>
    <w:rsid w:val="005F04FD"/>
    <w:rsid w:val="005F064E"/>
    <w:rsid w:val="005F090D"/>
    <w:rsid w:val="005F09F0"/>
    <w:rsid w:val="005F0ADF"/>
    <w:rsid w:val="005F1434"/>
    <w:rsid w:val="005F14C1"/>
    <w:rsid w:val="005F15E3"/>
    <w:rsid w:val="005F1759"/>
    <w:rsid w:val="005F17FD"/>
    <w:rsid w:val="005F1B07"/>
    <w:rsid w:val="005F1B18"/>
    <w:rsid w:val="005F1CDD"/>
    <w:rsid w:val="005F1F43"/>
    <w:rsid w:val="005F203A"/>
    <w:rsid w:val="005F241B"/>
    <w:rsid w:val="005F248E"/>
    <w:rsid w:val="005F25FA"/>
    <w:rsid w:val="005F26B2"/>
    <w:rsid w:val="005F270E"/>
    <w:rsid w:val="005F2926"/>
    <w:rsid w:val="005F29D6"/>
    <w:rsid w:val="005F2C21"/>
    <w:rsid w:val="005F2E35"/>
    <w:rsid w:val="005F2FA2"/>
    <w:rsid w:val="005F34DD"/>
    <w:rsid w:val="005F3668"/>
    <w:rsid w:val="005F3AE5"/>
    <w:rsid w:val="005F3C1F"/>
    <w:rsid w:val="005F3D70"/>
    <w:rsid w:val="005F3E0B"/>
    <w:rsid w:val="005F3FA4"/>
    <w:rsid w:val="005F404A"/>
    <w:rsid w:val="005F408E"/>
    <w:rsid w:val="005F41BC"/>
    <w:rsid w:val="005F42E9"/>
    <w:rsid w:val="005F4499"/>
    <w:rsid w:val="005F4661"/>
    <w:rsid w:val="005F48A0"/>
    <w:rsid w:val="005F48F8"/>
    <w:rsid w:val="005F4C54"/>
    <w:rsid w:val="005F4CCA"/>
    <w:rsid w:val="005F4DDE"/>
    <w:rsid w:val="005F4EE9"/>
    <w:rsid w:val="005F5146"/>
    <w:rsid w:val="005F51C4"/>
    <w:rsid w:val="005F51F5"/>
    <w:rsid w:val="005F524F"/>
    <w:rsid w:val="005F5627"/>
    <w:rsid w:val="005F5785"/>
    <w:rsid w:val="005F59D3"/>
    <w:rsid w:val="005F5CD4"/>
    <w:rsid w:val="005F5D21"/>
    <w:rsid w:val="005F5E49"/>
    <w:rsid w:val="005F5E92"/>
    <w:rsid w:val="005F6142"/>
    <w:rsid w:val="005F61A6"/>
    <w:rsid w:val="005F6539"/>
    <w:rsid w:val="005F65F4"/>
    <w:rsid w:val="005F6742"/>
    <w:rsid w:val="005F6B40"/>
    <w:rsid w:val="005F6C04"/>
    <w:rsid w:val="005F6EB5"/>
    <w:rsid w:val="005F70FD"/>
    <w:rsid w:val="005F7138"/>
    <w:rsid w:val="005F75D8"/>
    <w:rsid w:val="005F7709"/>
    <w:rsid w:val="005F7896"/>
    <w:rsid w:val="005F79DE"/>
    <w:rsid w:val="0060033D"/>
    <w:rsid w:val="00600A67"/>
    <w:rsid w:val="00600B54"/>
    <w:rsid w:val="00600DC7"/>
    <w:rsid w:val="006017BA"/>
    <w:rsid w:val="00601AD5"/>
    <w:rsid w:val="00601C4D"/>
    <w:rsid w:val="00601D44"/>
    <w:rsid w:val="00601F4D"/>
    <w:rsid w:val="00601FC1"/>
    <w:rsid w:val="00602463"/>
    <w:rsid w:val="00602561"/>
    <w:rsid w:val="00602BA6"/>
    <w:rsid w:val="00602D7C"/>
    <w:rsid w:val="00603082"/>
    <w:rsid w:val="0060328F"/>
    <w:rsid w:val="0060356B"/>
    <w:rsid w:val="00603607"/>
    <w:rsid w:val="006039D8"/>
    <w:rsid w:val="00603A7B"/>
    <w:rsid w:val="00603ABF"/>
    <w:rsid w:val="00603BA5"/>
    <w:rsid w:val="00603D6A"/>
    <w:rsid w:val="00604261"/>
    <w:rsid w:val="00604567"/>
    <w:rsid w:val="006046A9"/>
    <w:rsid w:val="0060487B"/>
    <w:rsid w:val="00604987"/>
    <w:rsid w:val="00604D9A"/>
    <w:rsid w:val="00604E16"/>
    <w:rsid w:val="00604F2A"/>
    <w:rsid w:val="006051FF"/>
    <w:rsid w:val="0060541D"/>
    <w:rsid w:val="0060594E"/>
    <w:rsid w:val="006059A5"/>
    <w:rsid w:val="00605A5F"/>
    <w:rsid w:val="00605CE1"/>
    <w:rsid w:val="00605DF5"/>
    <w:rsid w:val="00605EC8"/>
    <w:rsid w:val="00605EF4"/>
    <w:rsid w:val="00606237"/>
    <w:rsid w:val="00606AA9"/>
    <w:rsid w:val="0060721E"/>
    <w:rsid w:val="00607231"/>
    <w:rsid w:val="00607247"/>
    <w:rsid w:val="006072F3"/>
    <w:rsid w:val="0060737C"/>
    <w:rsid w:val="00607663"/>
    <w:rsid w:val="006078CC"/>
    <w:rsid w:val="00607B03"/>
    <w:rsid w:val="00607B86"/>
    <w:rsid w:val="00607C92"/>
    <w:rsid w:val="00607E7E"/>
    <w:rsid w:val="00610050"/>
    <w:rsid w:val="006103C4"/>
    <w:rsid w:val="00610A47"/>
    <w:rsid w:val="00610AF5"/>
    <w:rsid w:val="00610B85"/>
    <w:rsid w:val="00610BF8"/>
    <w:rsid w:val="00610CC2"/>
    <w:rsid w:val="00610E9F"/>
    <w:rsid w:val="006116D8"/>
    <w:rsid w:val="006116E1"/>
    <w:rsid w:val="0061171C"/>
    <w:rsid w:val="00611970"/>
    <w:rsid w:val="0061197B"/>
    <w:rsid w:val="006119D9"/>
    <w:rsid w:val="006119DE"/>
    <w:rsid w:val="00611BB6"/>
    <w:rsid w:val="00611D59"/>
    <w:rsid w:val="006124B4"/>
    <w:rsid w:val="00612516"/>
    <w:rsid w:val="006125C8"/>
    <w:rsid w:val="0061261F"/>
    <w:rsid w:val="00612778"/>
    <w:rsid w:val="00612BF7"/>
    <w:rsid w:val="00612C18"/>
    <w:rsid w:val="00612F53"/>
    <w:rsid w:val="00612FA0"/>
    <w:rsid w:val="006130F7"/>
    <w:rsid w:val="006132B7"/>
    <w:rsid w:val="0061355C"/>
    <w:rsid w:val="006136FF"/>
    <w:rsid w:val="00613850"/>
    <w:rsid w:val="00613F10"/>
    <w:rsid w:val="00613F37"/>
    <w:rsid w:val="0061403F"/>
    <w:rsid w:val="0061420D"/>
    <w:rsid w:val="00614251"/>
    <w:rsid w:val="00614617"/>
    <w:rsid w:val="00614837"/>
    <w:rsid w:val="00614984"/>
    <w:rsid w:val="00614B74"/>
    <w:rsid w:val="0061569E"/>
    <w:rsid w:val="00615944"/>
    <w:rsid w:val="006159AA"/>
    <w:rsid w:val="00615CA2"/>
    <w:rsid w:val="00616065"/>
    <w:rsid w:val="006161B3"/>
    <w:rsid w:val="00616228"/>
    <w:rsid w:val="006166F2"/>
    <w:rsid w:val="00616A8F"/>
    <w:rsid w:val="00616DE9"/>
    <w:rsid w:val="00617310"/>
    <w:rsid w:val="0061742B"/>
    <w:rsid w:val="0061761F"/>
    <w:rsid w:val="006176C2"/>
    <w:rsid w:val="00617F3D"/>
    <w:rsid w:val="00617F3E"/>
    <w:rsid w:val="006200C9"/>
    <w:rsid w:val="0062010F"/>
    <w:rsid w:val="00620117"/>
    <w:rsid w:val="0062020A"/>
    <w:rsid w:val="00620527"/>
    <w:rsid w:val="006205FF"/>
    <w:rsid w:val="00620784"/>
    <w:rsid w:val="0062088F"/>
    <w:rsid w:val="00620930"/>
    <w:rsid w:val="00620C0F"/>
    <w:rsid w:val="00620C5E"/>
    <w:rsid w:val="00620C62"/>
    <w:rsid w:val="00620F25"/>
    <w:rsid w:val="00621032"/>
    <w:rsid w:val="006210F5"/>
    <w:rsid w:val="0062114C"/>
    <w:rsid w:val="00621520"/>
    <w:rsid w:val="00621626"/>
    <w:rsid w:val="00621811"/>
    <w:rsid w:val="006219B5"/>
    <w:rsid w:val="00621D40"/>
    <w:rsid w:val="00621E2A"/>
    <w:rsid w:val="00621E32"/>
    <w:rsid w:val="006220C6"/>
    <w:rsid w:val="00622366"/>
    <w:rsid w:val="006223C0"/>
    <w:rsid w:val="00622444"/>
    <w:rsid w:val="00622680"/>
    <w:rsid w:val="0062278D"/>
    <w:rsid w:val="006229E1"/>
    <w:rsid w:val="00622AF1"/>
    <w:rsid w:val="00622DAA"/>
    <w:rsid w:val="00622E3F"/>
    <w:rsid w:val="00622E75"/>
    <w:rsid w:val="00623066"/>
    <w:rsid w:val="006231EF"/>
    <w:rsid w:val="006234A9"/>
    <w:rsid w:val="00623660"/>
    <w:rsid w:val="0062367D"/>
    <w:rsid w:val="00623703"/>
    <w:rsid w:val="00623756"/>
    <w:rsid w:val="00624073"/>
    <w:rsid w:val="00624084"/>
    <w:rsid w:val="00624334"/>
    <w:rsid w:val="006243A9"/>
    <w:rsid w:val="00624549"/>
    <w:rsid w:val="0062461E"/>
    <w:rsid w:val="006247F2"/>
    <w:rsid w:val="0062482F"/>
    <w:rsid w:val="00624BC6"/>
    <w:rsid w:val="00624FB9"/>
    <w:rsid w:val="006250DF"/>
    <w:rsid w:val="00625368"/>
    <w:rsid w:val="0062546B"/>
    <w:rsid w:val="00625660"/>
    <w:rsid w:val="00625867"/>
    <w:rsid w:val="0062602E"/>
    <w:rsid w:val="00626043"/>
    <w:rsid w:val="00626205"/>
    <w:rsid w:val="0062655C"/>
    <w:rsid w:val="0062690E"/>
    <w:rsid w:val="0062694F"/>
    <w:rsid w:val="00626B51"/>
    <w:rsid w:val="00626B58"/>
    <w:rsid w:val="00626B71"/>
    <w:rsid w:val="00626C70"/>
    <w:rsid w:val="00626D41"/>
    <w:rsid w:val="00626E6D"/>
    <w:rsid w:val="00626F17"/>
    <w:rsid w:val="00626F22"/>
    <w:rsid w:val="00626FF1"/>
    <w:rsid w:val="00627083"/>
    <w:rsid w:val="006270E2"/>
    <w:rsid w:val="00627179"/>
    <w:rsid w:val="006273A5"/>
    <w:rsid w:val="0062768D"/>
    <w:rsid w:val="00627D28"/>
    <w:rsid w:val="00630060"/>
    <w:rsid w:val="0063009A"/>
    <w:rsid w:val="0063012F"/>
    <w:rsid w:val="0063015B"/>
    <w:rsid w:val="006303AC"/>
    <w:rsid w:val="00630989"/>
    <w:rsid w:val="00630CFE"/>
    <w:rsid w:val="00631167"/>
    <w:rsid w:val="00631177"/>
    <w:rsid w:val="006311A4"/>
    <w:rsid w:val="00631596"/>
    <w:rsid w:val="00631ABB"/>
    <w:rsid w:val="00631B0B"/>
    <w:rsid w:val="00631B9D"/>
    <w:rsid w:val="00631DEC"/>
    <w:rsid w:val="00631EA0"/>
    <w:rsid w:val="00632149"/>
    <w:rsid w:val="006321C8"/>
    <w:rsid w:val="0063242A"/>
    <w:rsid w:val="00632436"/>
    <w:rsid w:val="00632837"/>
    <w:rsid w:val="00632A2B"/>
    <w:rsid w:val="00632A4A"/>
    <w:rsid w:val="00632BE3"/>
    <w:rsid w:val="00632FE2"/>
    <w:rsid w:val="00633074"/>
    <w:rsid w:val="0063342F"/>
    <w:rsid w:val="0063361F"/>
    <w:rsid w:val="006337DA"/>
    <w:rsid w:val="00633B79"/>
    <w:rsid w:val="00633CDF"/>
    <w:rsid w:val="00633EFC"/>
    <w:rsid w:val="006340E2"/>
    <w:rsid w:val="00634350"/>
    <w:rsid w:val="006346B3"/>
    <w:rsid w:val="00634975"/>
    <w:rsid w:val="00634CF7"/>
    <w:rsid w:val="00634D32"/>
    <w:rsid w:val="006350F4"/>
    <w:rsid w:val="00635120"/>
    <w:rsid w:val="00635975"/>
    <w:rsid w:val="006359D9"/>
    <w:rsid w:val="00635C3B"/>
    <w:rsid w:val="00635C6B"/>
    <w:rsid w:val="00635CD1"/>
    <w:rsid w:val="00635E13"/>
    <w:rsid w:val="00635E82"/>
    <w:rsid w:val="006360D6"/>
    <w:rsid w:val="006366BA"/>
    <w:rsid w:val="00636823"/>
    <w:rsid w:val="0063686D"/>
    <w:rsid w:val="006368B1"/>
    <w:rsid w:val="00636A3D"/>
    <w:rsid w:val="00637034"/>
    <w:rsid w:val="00637109"/>
    <w:rsid w:val="00637245"/>
    <w:rsid w:val="0063729F"/>
    <w:rsid w:val="00637617"/>
    <w:rsid w:val="0063766A"/>
    <w:rsid w:val="006376E1"/>
    <w:rsid w:val="0063784E"/>
    <w:rsid w:val="006378AD"/>
    <w:rsid w:val="00637C71"/>
    <w:rsid w:val="00637DB5"/>
    <w:rsid w:val="006401DB"/>
    <w:rsid w:val="00640499"/>
    <w:rsid w:val="00640B28"/>
    <w:rsid w:val="00640BD0"/>
    <w:rsid w:val="00640BD7"/>
    <w:rsid w:val="0064100D"/>
    <w:rsid w:val="006413A3"/>
    <w:rsid w:val="006417AA"/>
    <w:rsid w:val="00641D2E"/>
    <w:rsid w:val="00642028"/>
    <w:rsid w:val="006420AE"/>
    <w:rsid w:val="00642400"/>
    <w:rsid w:val="006424A6"/>
    <w:rsid w:val="00642982"/>
    <w:rsid w:val="00642A00"/>
    <w:rsid w:val="00642AB9"/>
    <w:rsid w:val="00642BD7"/>
    <w:rsid w:val="00643198"/>
    <w:rsid w:val="006431A0"/>
    <w:rsid w:val="00643800"/>
    <w:rsid w:val="0064399F"/>
    <w:rsid w:val="00643CA9"/>
    <w:rsid w:val="00643E71"/>
    <w:rsid w:val="006440CB"/>
    <w:rsid w:val="0064415B"/>
    <w:rsid w:val="00644463"/>
    <w:rsid w:val="00644571"/>
    <w:rsid w:val="00644608"/>
    <w:rsid w:val="00644761"/>
    <w:rsid w:val="00644A29"/>
    <w:rsid w:val="00644CBC"/>
    <w:rsid w:val="00644DB9"/>
    <w:rsid w:val="00644DE9"/>
    <w:rsid w:val="006451BD"/>
    <w:rsid w:val="00645481"/>
    <w:rsid w:val="006457F6"/>
    <w:rsid w:val="00645A7D"/>
    <w:rsid w:val="00645B88"/>
    <w:rsid w:val="00645DF4"/>
    <w:rsid w:val="00645E3B"/>
    <w:rsid w:val="00645E76"/>
    <w:rsid w:val="00646038"/>
    <w:rsid w:val="006462BF"/>
    <w:rsid w:val="006462EC"/>
    <w:rsid w:val="0064630A"/>
    <w:rsid w:val="00646464"/>
    <w:rsid w:val="006465AE"/>
    <w:rsid w:val="0064679C"/>
    <w:rsid w:val="006467AA"/>
    <w:rsid w:val="006467EE"/>
    <w:rsid w:val="00646A9F"/>
    <w:rsid w:val="00646F12"/>
    <w:rsid w:val="00647278"/>
    <w:rsid w:val="006473F5"/>
    <w:rsid w:val="00647404"/>
    <w:rsid w:val="00647471"/>
    <w:rsid w:val="006476D3"/>
    <w:rsid w:val="00647724"/>
    <w:rsid w:val="00647984"/>
    <w:rsid w:val="00647A57"/>
    <w:rsid w:val="00647AD4"/>
    <w:rsid w:val="00647B62"/>
    <w:rsid w:val="00647CDB"/>
    <w:rsid w:val="00647D53"/>
    <w:rsid w:val="00647D6D"/>
    <w:rsid w:val="00647DA2"/>
    <w:rsid w:val="00647DED"/>
    <w:rsid w:val="00650083"/>
    <w:rsid w:val="006500F2"/>
    <w:rsid w:val="0065025E"/>
    <w:rsid w:val="006502F1"/>
    <w:rsid w:val="0065040D"/>
    <w:rsid w:val="0065051A"/>
    <w:rsid w:val="006505DC"/>
    <w:rsid w:val="00650980"/>
    <w:rsid w:val="00650A0F"/>
    <w:rsid w:val="00650B80"/>
    <w:rsid w:val="00650FAC"/>
    <w:rsid w:val="0065107E"/>
    <w:rsid w:val="0065132B"/>
    <w:rsid w:val="006513D1"/>
    <w:rsid w:val="006515B2"/>
    <w:rsid w:val="00651D8B"/>
    <w:rsid w:val="00651F96"/>
    <w:rsid w:val="00651FD7"/>
    <w:rsid w:val="0065205D"/>
    <w:rsid w:val="006521A6"/>
    <w:rsid w:val="006522AA"/>
    <w:rsid w:val="006522D3"/>
    <w:rsid w:val="00652317"/>
    <w:rsid w:val="00652406"/>
    <w:rsid w:val="006529AC"/>
    <w:rsid w:val="00653106"/>
    <w:rsid w:val="00653207"/>
    <w:rsid w:val="006533B1"/>
    <w:rsid w:val="006538F6"/>
    <w:rsid w:val="006539D7"/>
    <w:rsid w:val="00653A35"/>
    <w:rsid w:val="00653C9E"/>
    <w:rsid w:val="00653CF7"/>
    <w:rsid w:val="00653EC3"/>
    <w:rsid w:val="00654200"/>
    <w:rsid w:val="006542AE"/>
    <w:rsid w:val="00654BCC"/>
    <w:rsid w:val="00654F4D"/>
    <w:rsid w:val="00655039"/>
    <w:rsid w:val="006550F1"/>
    <w:rsid w:val="0065515B"/>
    <w:rsid w:val="00655507"/>
    <w:rsid w:val="00655802"/>
    <w:rsid w:val="006558BE"/>
    <w:rsid w:val="00655930"/>
    <w:rsid w:val="00655EEF"/>
    <w:rsid w:val="00655F52"/>
    <w:rsid w:val="00656039"/>
    <w:rsid w:val="00656090"/>
    <w:rsid w:val="00656357"/>
    <w:rsid w:val="0065659F"/>
    <w:rsid w:val="00656603"/>
    <w:rsid w:val="006566E4"/>
    <w:rsid w:val="0065672E"/>
    <w:rsid w:val="006567A2"/>
    <w:rsid w:val="00656887"/>
    <w:rsid w:val="0065690D"/>
    <w:rsid w:val="00656CC8"/>
    <w:rsid w:val="00656CCB"/>
    <w:rsid w:val="00657145"/>
    <w:rsid w:val="00657160"/>
    <w:rsid w:val="00657164"/>
    <w:rsid w:val="00657267"/>
    <w:rsid w:val="00657312"/>
    <w:rsid w:val="00657448"/>
    <w:rsid w:val="0065760F"/>
    <w:rsid w:val="0065786B"/>
    <w:rsid w:val="00657A29"/>
    <w:rsid w:val="00657BEF"/>
    <w:rsid w:val="00657F0D"/>
    <w:rsid w:val="00657F36"/>
    <w:rsid w:val="006602F1"/>
    <w:rsid w:val="006604B6"/>
    <w:rsid w:val="00660665"/>
    <w:rsid w:val="0066084D"/>
    <w:rsid w:val="006609BF"/>
    <w:rsid w:val="00660C77"/>
    <w:rsid w:val="00660D6F"/>
    <w:rsid w:val="00660D96"/>
    <w:rsid w:val="00660F00"/>
    <w:rsid w:val="0066153D"/>
    <w:rsid w:val="00661542"/>
    <w:rsid w:val="006617C1"/>
    <w:rsid w:val="00661A75"/>
    <w:rsid w:val="00661B26"/>
    <w:rsid w:val="00661D47"/>
    <w:rsid w:val="00662163"/>
    <w:rsid w:val="006621DA"/>
    <w:rsid w:val="00662253"/>
    <w:rsid w:val="00662514"/>
    <w:rsid w:val="00662610"/>
    <w:rsid w:val="00662706"/>
    <w:rsid w:val="00662790"/>
    <w:rsid w:val="00662DEC"/>
    <w:rsid w:val="00662DF8"/>
    <w:rsid w:val="00662FA8"/>
    <w:rsid w:val="006632B5"/>
    <w:rsid w:val="0066352D"/>
    <w:rsid w:val="0066354E"/>
    <w:rsid w:val="00663886"/>
    <w:rsid w:val="00663927"/>
    <w:rsid w:val="006639E4"/>
    <w:rsid w:val="00663AF3"/>
    <w:rsid w:val="00663B6B"/>
    <w:rsid w:val="00663BC3"/>
    <w:rsid w:val="00663EE2"/>
    <w:rsid w:val="00664420"/>
    <w:rsid w:val="0066490C"/>
    <w:rsid w:val="00664D28"/>
    <w:rsid w:val="00664FD5"/>
    <w:rsid w:val="00665155"/>
    <w:rsid w:val="00665285"/>
    <w:rsid w:val="00665707"/>
    <w:rsid w:val="00665748"/>
    <w:rsid w:val="00665952"/>
    <w:rsid w:val="00665B04"/>
    <w:rsid w:val="00665F09"/>
    <w:rsid w:val="006662CA"/>
    <w:rsid w:val="006662F4"/>
    <w:rsid w:val="006665D6"/>
    <w:rsid w:val="0066677A"/>
    <w:rsid w:val="0066678E"/>
    <w:rsid w:val="00666888"/>
    <w:rsid w:val="00666949"/>
    <w:rsid w:val="00666970"/>
    <w:rsid w:val="00666C30"/>
    <w:rsid w:val="00666C90"/>
    <w:rsid w:val="00666E49"/>
    <w:rsid w:val="0066714D"/>
    <w:rsid w:val="006674DA"/>
    <w:rsid w:val="00667529"/>
    <w:rsid w:val="00667600"/>
    <w:rsid w:val="0066765C"/>
    <w:rsid w:val="006677A4"/>
    <w:rsid w:val="00667992"/>
    <w:rsid w:val="006679F0"/>
    <w:rsid w:val="00667EB3"/>
    <w:rsid w:val="0067000B"/>
    <w:rsid w:val="0067003D"/>
    <w:rsid w:val="00670247"/>
    <w:rsid w:val="0067026D"/>
    <w:rsid w:val="006702C7"/>
    <w:rsid w:val="006702FB"/>
    <w:rsid w:val="00670365"/>
    <w:rsid w:val="0067064E"/>
    <w:rsid w:val="0067094B"/>
    <w:rsid w:val="00670B85"/>
    <w:rsid w:val="00670EF7"/>
    <w:rsid w:val="00670FCE"/>
    <w:rsid w:val="006712C5"/>
    <w:rsid w:val="0067152B"/>
    <w:rsid w:val="00671D8D"/>
    <w:rsid w:val="0067262F"/>
    <w:rsid w:val="0067268D"/>
    <w:rsid w:val="006729B1"/>
    <w:rsid w:val="00672A7F"/>
    <w:rsid w:val="00672B47"/>
    <w:rsid w:val="00672B62"/>
    <w:rsid w:val="00672D97"/>
    <w:rsid w:val="0067352A"/>
    <w:rsid w:val="006736B5"/>
    <w:rsid w:val="0067388B"/>
    <w:rsid w:val="00673A2F"/>
    <w:rsid w:val="00673A7C"/>
    <w:rsid w:val="00673B5B"/>
    <w:rsid w:val="00673B69"/>
    <w:rsid w:val="00673D63"/>
    <w:rsid w:val="00673FF9"/>
    <w:rsid w:val="00674170"/>
    <w:rsid w:val="006741FB"/>
    <w:rsid w:val="00674298"/>
    <w:rsid w:val="0067457E"/>
    <w:rsid w:val="006745C5"/>
    <w:rsid w:val="006747E2"/>
    <w:rsid w:val="006747F4"/>
    <w:rsid w:val="00674897"/>
    <w:rsid w:val="0067491E"/>
    <w:rsid w:val="0067494C"/>
    <w:rsid w:val="00674AC1"/>
    <w:rsid w:val="00674C26"/>
    <w:rsid w:val="00674D3D"/>
    <w:rsid w:val="00674D5A"/>
    <w:rsid w:val="00674F61"/>
    <w:rsid w:val="00674FFC"/>
    <w:rsid w:val="006750C2"/>
    <w:rsid w:val="0067511B"/>
    <w:rsid w:val="006753EA"/>
    <w:rsid w:val="00675469"/>
    <w:rsid w:val="006758FC"/>
    <w:rsid w:val="006759D0"/>
    <w:rsid w:val="00675E39"/>
    <w:rsid w:val="00676325"/>
    <w:rsid w:val="00676703"/>
    <w:rsid w:val="006768A4"/>
    <w:rsid w:val="006769AE"/>
    <w:rsid w:val="00676AD8"/>
    <w:rsid w:val="00676B63"/>
    <w:rsid w:val="00676DB8"/>
    <w:rsid w:val="00676E24"/>
    <w:rsid w:val="0067727F"/>
    <w:rsid w:val="006772E6"/>
    <w:rsid w:val="006774F1"/>
    <w:rsid w:val="0067755B"/>
    <w:rsid w:val="006776B8"/>
    <w:rsid w:val="006779E6"/>
    <w:rsid w:val="00677B29"/>
    <w:rsid w:val="00677C64"/>
    <w:rsid w:val="00677D51"/>
    <w:rsid w:val="006800B3"/>
    <w:rsid w:val="0068028A"/>
    <w:rsid w:val="006802A2"/>
    <w:rsid w:val="00680343"/>
    <w:rsid w:val="00680421"/>
    <w:rsid w:val="006807B3"/>
    <w:rsid w:val="006807B8"/>
    <w:rsid w:val="006808DA"/>
    <w:rsid w:val="0068091B"/>
    <w:rsid w:val="00680F2B"/>
    <w:rsid w:val="0068106D"/>
    <w:rsid w:val="00681705"/>
    <w:rsid w:val="00681866"/>
    <w:rsid w:val="00681A58"/>
    <w:rsid w:val="00681AED"/>
    <w:rsid w:val="00681F7F"/>
    <w:rsid w:val="006820C2"/>
    <w:rsid w:val="00682156"/>
    <w:rsid w:val="006828CE"/>
    <w:rsid w:val="00682D95"/>
    <w:rsid w:val="006830C3"/>
    <w:rsid w:val="00683554"/>
    <w:rsid w:val="00683592"/>
    <w:rsid w:val="00683673"/>
    <w:rsid w:val="00683754"/>
    <w:rsid w:val="006837A8"/>
    <w:rsid w:val="0068385B"/>
    <w:rsid w:val="00683876"/>
    <w:rsid w:val="00683930"/>
    <w:rsid w:val="00683B38"/>
    <w:rsid w:val="00683F6B"/>
    <w:rsid w:val="00684042"/>
    <w:rsid w:val="00684162"/>
    <w:rsid w:val="006841EF"/>
    <w:rsid w:val="0068460E"/>
    <w:rsid w:val="00684860"/>
    <w:rsid w:val="006849C9"/>
    <w:rsid w:val="00684B46"/>
    <w:rsid w:val="00684C62"/>
    <w:rsid w:val="00685086"/>
    <w:rsid w:val="0068514A"/>
    <w:rsid w:val="00685176"/>
    <w:rsid w:val="0068537C"/>
    <w:rsid w:val="00685509"/>
    <w:rsid w:val="006858EF"/>
    <w:rsid w:val="00685B2C"/>
    <w:rsid w:val="00685BE0"/>
    <w:rsid w:val="00685C6B"/>
    <w:rsid w:val="00685EA6"/>
    <w:rsid w:val="0068603E"/>
    <w:rsid w:val="00686120"/>
    <w:rsid w:val="00686379"/>
    <w:rsid w:val="00686457"/>
    <w:rsid w:val="00686B7A"/>
    <w:rsid w:val="00686D84"/>
    <w:rsid w:val="00686D9D"/>
    <w:rsid w:val="006870BF"/>
    <w:rsid w:val="00687238"/>
    <w:rsid w:val="00687565"/>
    <w:rsid w:val="00687AAD"/>
    <w:rsid w:val="00687B07"/>
    <w:rsid w:val="00687D5F"/>
    <w:rsid w:val="00687F56"/>
    <w:rsid w:val="006900B9"/>
    <w:rsid w:val="00690359"/>
    <w:rsid w:val="0069052E"/>
    <w:rsid w:val="006905AA"/>
    <w:rsid w:val="00690677"/>
    <w:rsid w:val="00690A30"/>
    <w:rsid w:val="00690B6D"/>
    <w:rsid w:val="00690B96"/>
    <w:rsid w:val="00690CB8"/>
    <w:rsid w:val="00690FE9"/>
    <w:rsid w:val="0069109F"/>
    <w:rsid w:val="006912BE"/>
    <w:rsid w:val="006912EC"/>
    <w:rsid w:val="00691375"/>
    <w:rsid w:val="006913B8"/>
    <w:rsid w:val="0069151B"/>
    <w:rsid w:val="006916EA"/>
    <w:rsid w:val="00691724"/>
    <w:rsid w:val="00691B40"/>
    <w:rsid w:val="00691BC7"/>
    <w:rsid w:val="00691DAB"/>
    <w:rsid w:val="00692291"/>
    <w:rsid w:val="00692456"/>
    <w:rsid w:val="006924A4"/>
    <w:rsid w:val="0069268B"/>
    <w:rsid w:val="006926DD"/>
    <w:rsid w:val="006926F2"/>
    <w:rsid w:val="00692BE6"/>
    <w:rsid w:val="00692C14"/>
    <w:rsid w:val="00692EF0"/>
    <w:rsid w:val="00692F26"/>
    <w:rsid w:val="00693500"/>
    <w:rsid w:val="0069360D"/>
    <w:rsid w:val="00693A2A"/>
    <w:rsid w:val="00693C5A"/>
    <w:rsid w:val="00693C79"/>
    <w:rsid w:val="00694189"/>
    <w:rsid w:val="00694229"/>
    <w:rsid w:val="0069468F"/>
    <w:rsid w:val="00694758"/>
    <w:rsid w:val="006947C2"/>
    <w:rsid w:val="00694876"/>
    <w:rsid w:val="006949E2"/>
    <w:rsid w:val="00694B68"/>
    <w:rsid w:val="00694CC7"/>
    <w:rsid w:val="0069508F"/>
    <w:rsid w:val="006950C0"/>
    <w:rsid w:val="00695698"/>
    <w:rsid w:val="00695887"/>
    <w:rsid w:val="00695891"/>
    <w:rsid w:val="00695A93"/>
    <w:rsid w:val="00695E15"/>
    <w:rsid w:val="00695E8F"/>
    <w:rsid w:val="00696009"/>
    <w:rsid w:val="0069608C"/>
    <w:rsid w:val="006961BD"/>
    <w:rsid w:val="006961D2"/>
    <w:rsid w:val="006963B6"/>
    <w:rsid w:val="0069663A"/>
    <w:rsid w:val="00696A65"/>
    <w:rsid w:val="00696B22"/>
    <w:rsid w:val="00696E9E"/>
    <w:rsid w:val="00697062"/>
    <w:rsid w:val="00697074"/>
    <w:rsid w:val="006970F5"/>
    <w:rsid w:val="006972D3"/>
    <w:rsid w:val="00697426"/>
    <w:rsid w:val="00697565"/>
    <w:rsid w:val="00697784"/>
    <w:rsid w:val="00697AE2"/>
    <w:rsid w:val="00697B8C"/>
    <w:rsid w:val="00697E2F"/>
    <w:rsid w:val="006A00A2"/>
    <w:rsid w:val="006A02B1"/>
    <w:rsid w:val="006A0493"/>
    <w:rsid w:val="006A04B0"/>
    <w:rsid w:val="006A0765"/>
    <w:rsid w:val="006A09B3"/>
    <w:rsid w:val="006A0AD4"/>
    <w:rsid w:val="006A0C9D"/>
    <w:rsid w:val="006A0D9C"/>
    <w:rsid w:val="006A1263"/>
    <w:rsid w:val="006A138D"/>
    <w:rsid w:val="006A14C8"/>
    <w:rsid w:val="006A188A"/>
    <w:rsid w:val="006A189A"/>
    <w:rsid w:val="006A1B78"/>
    <w:rsid w:val="006A1E9B"/>
    <w:rsid w:val="006A1F1F"/>
    <w:rsid w:val="006A23C7"/>
    <w:rsid w:val="006A2E9B"/>
    <w:rsid w:val="006A2E9E"/>
    <w:rsid w:val="006A326A"/>
    <w:rsid w:val="006A32DB"/>
    <w:rsid w:val="006A3407"/>
    <w:rsid w:val="006A3565"/>
    <w:rsid w:val="006A36D0"/>
    <w:rsid w:val="006A3B48"/>
    <w:rsid w:val="006A3CB3"/>
    <w:rsid w:val="006A3CCF"/>
    <w:rsid w:val="006A4088"/>
    <w:rsid w:val="006A42B9"/>
    <w:rsid w:val="006A43AD"/>
    <w:rsid w:val="006A43B5"/>
    <w:rsid w:val="006A4539"/>
    <w:rsid w:val="006A4706"/>
    <w:rsid w:val="006A4EA4"/>
    <w:rsid w:val="006A50ED"/>
    <w:rsid w:val="006A51A3"/>
    <w:rsid w:val="006A52CF"/>
    <w:rsid w:val="006A5341"/>
    <w:rsid w:val="006A5523"/>
    <w:rsid w:val="006A55DA"/>
    <w:rsid w:val="006A5663"/>
    <w:rsid w:val="006A575C"/>
    <w:rsid w:val="006A58BF"/>
    <w:rsid w:val="006A5CBA"/>
    <w:rsid w:val="006A5D20"/>
    <w:rsid w:val="006A5F0A"/>
    <w:rsid w:val="006A6130"/>
    <w:rsid w:val="006A6432"/>
    <w:rsid w:val="006A6525"/>
    <w:rsid w:val="006A677A"/>
    <w:rsid w:val="006A6BCD"/>
    <w:rsid w:val="006A6DE4"/>
    <w:rsid w:val="006A6ECE"/>
    <w:rsid w:val="006A71F9"/>
    <w:rsid w:val="006A762C"/>
    <w:rsid w:val="006A7803"/>
    <w:rsid w:val="006A7B46"/>
    <w:rsid w:val="006B00F8"/>
    <w:rsid w:val="006B01A0"/>
    <w:rsid w:val="006B08FA"/>
    <w:rsid w:val="006B094F"/>
    <w:rsid w:val="006B0ABA"/>
    <w:rsid w:val="006B0C27"/>
    <w:rsid w:val="006B0D21"/>
    <w:rsid w:val="006B10F7"/>
    <w:rsid w:val="006B145A"/>
    <w:rsid w:val="006B17F3"/>
    <w:rsid w:val="006B19B2"/>
    <w:rsid w:val="006B1AC5"/>
    <w:rsid w:val="006B1C10"/>
    <w:rsid w:val="006B1C31"/>
    <w:rsid w:val="006B1E35"/>
    <w:rsid w:val="006B208B"/>
    <w:rsid w:val="006B23BB"/>
    <w:rsid w:val="006B23EE"/>
    <w:rsid w:val="006B2463"/>
    <w:rsid w:val="006B2621"/>
    <w:rsid w:val="006B26AF"/>
    <w:rsid w:val="006B275D"/>
    <w:rsid w:val="006B2992"/>
    <w:rsid w:val="006B2A81"/>
    <w:rsid w:val="006B2BA4"/>
    <w:rsid w:val="006B2E34"/>
    <w:rsid w:val="006B2FF3"/>
    <w:rsid w:val="006B301F"/>
    <w:rsid w:val="006B31AF"/>
    <w:rsid w:val="006B31EF"/>
    <w:rsid w:val="006B33F3"/>
    <w:rsid w:val="006B3635"/>
    <w:rsid w:val="006B367D"/>
    <w:rsid w:val="006B3708"/>
    <w:rsid w:val="006B3F4C"/>
    <w:rsid w:val="006B4016"/>
    <w:rsid w:val="006B428C"/>
    <w:rsid w:val="006B42D3"/>
    <w:rsid w:val="006B441C"/>
    <w:rsid w:val="006B45D1"/>
    <w:rsid w:val="006B4C24"/>
    <w:rsid w:val="006B4C34"/>
    <w:rsid w:val="006B4DD5"/>
    <w:rsid w:val="006B50EF"/>
    <w:rsid w:val="006B5221"/>
    <w:rsid w:val="006B523F"/>
    <w:rsid w:val="006B537F"/>
    <w:rsid w:val="006B54C4"/>
    <w:rsid w:val="006B54FC"/>
    <w:rsid w:val="006B5541"/>
    <w:rsid w:val="006B5569"/>
    <w:rsid w:val="006B571E"/>
    <w:rsid w:val="006B5784"/>
    <w:rsid w:val="006B57E9"/>
    <w:rsid w:val="006B5A74"/>
    <w:rsid w:val="006B5D78"/>
    <w:rsid w:val="006B5DC0"/>
    <w:rsid w:val="006B5FB7"/>
    <w:rsid w:val="006B5FB8"/>
    <w:rsid w:val="006B5FFB"/>
    <w:rsid w:val="006B647E"/>
    <w:rsid w:val="006B6502"/>
    <w:rsid w:val="006B657A"/>
    <w:rsid w:val="006B6A96"/>
    <w:rsid w:val="006B6B75"/>
    <w:rsid w:val="006B6C0E"/>
    <w:rsid w:val="006B6DA4"/>
    <w:rsid w:val="006B6E0E"/>
    <w:rsid w:val="006B7163"/>
    <w:rsid w:val="006B78A3"/>
    <w:rsid w:val="006B7919"/>
    <w:rsid w:val="006B79F5"/>
    <w:rsid w:val="006B7A1D"/>
    <w:rsid w:val="006B7C30"/>
    <w:rsid w:val="006B7C68"/>
    <w:rsid w:val="006B7C9E"/>
    <w:rsid w:val="006B7CD1"/>
    <w:rsid w:val="006C0090"/>
    <w:rsid w:val="006C022E"/>
    <w:rsid w:val="006C036B"/>
    <w:rsid w:val="006C0426"/>
    <w:rsid w:val="006C05EF"/>
    <w:rsid w:val="006C06C5"/>
    <w:rsid w:val="006C071B"/>
    <w:rsid w:val="006C07F1"/>
    <w:rsid w:val="006C0863"/>
    <w:rsid w:val="006C09D6"/>
    <w:rsid w:val="006C0A43"/>
    <w:rsid w:val="006C0BC5"/>
    <w:rsid w:val="006C0D30"/>
    <w:rsid w:val="006C10EF"/>
    <w:rsid w:val="006C1168"/>
    <w:rsid w:val="006C1197"/>
    <w:rsid w:val="006C1282"/>
    <w:rsid w:val="006C12D7"/>
    <w:rsid w:val="006C1535"/>
    <w:rsid w:val="006C17C2"/>
    <w:rsid w:val="006C1C07"/>
    <w:rsid w:val="006C1C8E"/>
    <w:rsid w:val="006C2089"/>
    <w:rsid w:val="006C25D3"/>
    <w:rsid w:val="006C29EA"/>
    <w:rsid w:val="006C29F7"/>
    <w:rsid w:val="006C2A04"/>
    <w:rsid w:val="006C2A66"/>
    <w:rsid w:val="006C2BFB"/>
    <w:rsid w:val="006C2D64"/>
    <w:rsid w:val="006C3100"/>
    <w:rsid w:val="006C3149"/>
    <w:rsid w:val="006C3246"/>
    <w:rsid w:val="006C332E"/>
    <w:rsid w:val="006C334C"/>
    <w:rsid w:val="006C363A"/>
    <w:rsid w:val="006C37E3"/>
    <w:rsid w:val="006C3974"/>
    <w:rsid w:val="006C3A93"/>
    <w:rsid w:val="006C3B5E"/>
    <w:rsid w:val="006C3C9F"/>
    <w:rsid w:val="006C3EBF"/>
    <w:rsid w:val="006C3EE1"/>
    <w:rsid w:val="006C41FA"/>
    <w:rsid w:val="006C4285"/>
    <w:rsid w:val="006C4311"/>
    <w:rsid w:val="006C46F3"/>
    <w:rsid w:val="006C471D"/>
    <w:rsid w:val="006C49A2"/>
    <w:rsid w:val="006C4C63"/>
    <w:rsid w:val="006C5361"/>
    <w:rsid w:val="006C53C7"/>
    <w:rsid w:val="006C56C6"/>
    <w:rsid w:val="006C5779"/>
    <w:rsid w:val="006C5889"/>
    <w:rsid w:val="006C59B5"/>
    <w:rsid w:val="006C5C80"/>
    <w:rsid w:val="006C5EB0"/>
    <w:rsid w:val="006C5F0A"/>
    <w:rsid w:val="006C6009"/>
    <w:rsid w:val="006C63DF"/>
    <w:rsid w:val="006C640F"/>
    <w:rsid w:val="006C6562"/>
    <w:rsid w:val="006C6681"/>
    <w:rsid w:val="006C6855"/>
    <w:rsid w:val="006C6B7A"/>
    <w:rsid w:val="006C6B85"/>
    <w:rsid w:val="006C6C3E"/>
    <w:rsid w:val="006C6EEC"/>
    <w:rsid w:val="006C7030"/>
    <w:rsid w:val="006C7041"/>
    <w:rsid w:val="006C7130"/>
    <w:rsid w:val="006C7572"/>
    <w:rsid w:val="006C764D"/>
    <w:rsid w:val="006C780B"/>
    <w:rsid w:val="006C78AB"/>
    <w:rsid w:val="006C7F1F"/>
    <w:rsid w:val="006C7FB3"/>
    <w:rsid w:val="006D02EE"/>
    <w:rsid w:val="006D033A"/>
    <w:rsid w:val="006D0436"/>
    <w:rsid w:val="006D043E"/>
    <w:rsid w:val="006D059B"/>
    <w:rsid w:val="006D05FA"/>
    <w:rsid w:val="006D061A"/>
    <w:rsid w:val="006D0744"/>
    <w:rsid w:val="006D0747"/>
    <w:rsid w:val="006D08E5"/>
    <w:rsid w:val="006D0993"/>
    <w:rsid w:val="006D0ADB"/>
    <w:rsid w:val="006D0B8B"/>
    <w:rsid w:val="006D0EEC"/>
    <w:rsid w:val="006D1008"/>
    <w:rsid w:val="006D1117"/>
    <w:rsid w:val="006D14B7"/>
    <w:rsid w:val="006D15AE"/>
    <w:rsid w:val="006D17A6"/>
    <w:rsid w:val="006D1BE8"/>
    <w:rsid w:val="006D1DE7"/>
    <w:rsid w:val="006D214D"/>
    <w:rsid w:val="006D21E8"/>
    <w:rsid w:val="006D2382"/>
    <w:rsid w:val="006D24A4"/>
    <w:rsid w:val="006D2B4C"/>
    <w:rsid w:val="006D2C02"/>
    <w:rsid w:val="006D2D8A"/>
    <w:rsid w:val="006D2F0F"/>
    <w:rsid w:val="006D30ED"/>
    <w:rsid w:val="006D3140"/>
    <w:rsid w:val="006D3151"/>
    <w:rsid w:val="006D34A3"/>
    <w:rsid w:val="006D3691"/>
    <w:rsid w:val="006D3A44"/>
    <w:rsid w:val="006D3C92"/>
    <w:rsid w:val="006D3DD3"/>
    <w:rsid w:val="006D3FC1"/>
    <w:rsid w:val="006D409C"/>
    <w:rsid w:val="006D420E"/>
    <w:rsid w:val="006D477E"/>
    <w:rsid w:val="006D47C6"/>
    <w:rsid w:val="006D4A0B"/>
    <w:rsid w:val="006D4C0A"/>
    <w:rsid w:val="006D4C82"/>
    <w:rsid w:val="006D50D1"/>
    <w:rsid w:val="006D50E1"/>
    <w:rsid w:val="006D50F5"/>
    <w:rsid w:val="006D5295"/>
    <w:rsid w:val="006D52C3"/>
    <w:rsid w:val="006D5337"/>
    <w:rsid w:val="006D56AE"/>
    <w:rsid w:val="006D56B1"/>
    <w:rsid w:val="006D585F"/>
    <w:rsid w:val="006D593B"/>
    <w:rsid w:val="006D5A9F"/>
    <w:rsid w:val="006D5CEE"/>
    <w:rsid w:val="006D5F3F"/>
    <w:rsid w:val="006D5F8E"/>
    <w:rsid w:val="006D60E9"/>
    <w:rsid w:val="006D6360"/>
    <w:rsid w:val="006D63AE"/>
    <w:rsid w:val="006D65F1"/>
    <w:rsid w:val="006D6648"/>
    <w:rsid w:val="006D6719"/>
    <w:rsid w:val="006D67C1"/>
    <w:rsid w:val="006D6BA5"/>
    <w:rsid w:val="006D6D9B"/>
    <w:rsid w:val="006D7039"/>
    <w:rsid w:val="006D7299"/>
    <w:rsid w:val="006D7324"/>
    <w:rsid w:val="006D760F"/>
    <w:rsid w:val="006D7693"/>
    <w:rsid w:val="006D7B9D"/>
    <w:rsid w:val="006D7E0D"/>
    <w:rsid w:val="006D7F77"/>
    <w:rsid w:val="006D7F9F"/>
    <w:rsid w:val="006E0185"/>
    <w:rsid w:val="006E01D4"/>
    <w:rsid w:val="006E039B"/>
    <w:rsid w:val="006E05A9"/>
    <w:rsid w:val="006E0C00"/>
    <w:rsid w:val="006E0E32"/>
    <w:rsid w:val="006E0E89"/>
    <w:rsid w:val="006E1478"/>
    <w:rsid w:val="006E14C7"/>
    <w:rsid w:val="006E1620"/>
    <w:rsid w:val="006E1983"/>
    <w:rsid w:val="006E19C5"/>
    <w:rsid w:val="006E1EFA"/>
    <w:rsid w:val="006E1F25"/>
    <w:rsid w:val="006E2060"/>
    <w:rsid w:val="006E2417"/>
    <w:rsid w:val="006E2638"/>
    <w:rsid w:val="006E27FB"/>
    <w:rsid w:val="006E29B9"/>
    <w:rsid w:val="006E2B38"/>
    <w:rsid w:val="006E2CDB"/>
    <w:rsid w:val="006E2EE1"/>
    <w:rsid w:val="006E2EE9"/>
    <w:rsid w:val="006E2EFB"/>
    <w:rsid w:val="006E2F76"/>
    <w:rsid w:val="006E3102"/>
    <w:rsid w:val="006E3132"/>
    <w:rsid w:val="006E3133"/>
    <w:rsid w:val="006E3258"/>
    <w:rsid w:val="006E33C6"/>
    <w:rsid w:val="006E33ED"/>
    <w:rsid w:val="006E3545"/>
    <w:rsid w:val="006E3551"/>
    <w:rsid w:val="006E3599"/>
    <w:rsid w:val="006E3828"/>
    <w:rsid w:val="006E38A7"/>
    <w:rsid w:val="006E39CA"/>
    <w:rsid w:val="006E39DC"/>
    <w:rsid w:val="006E3CFA"/>
    <w:rsid w:val="006E3DFF"/>
    <w:rsid w:val="006E3E9F"/>
    <w:rsid w:val="006E3F1F"/>
    <w:rsid w:val="006E41BE"/>
    <w:rsid w:val="006E4636"/>
    <w:rsid w:val="006E4712"/>
    <w:rsid w:val="006E478B"/>
    <w:rsid w:val="006E4955"/>
    <w:rsid w:val="006E49BE"/>
    <w:rsid w:val="006E4CAC"/>
    <w:rsid w:val="006E4E10"/>
    <w:rsid w:val="006E4EBA"/>
    <w:rsid w:val="006E505F"/>
    <w:rsid w:val="006E52C1"/>
    <w:rsid w:val="006E5352"/>
    <w:rsid w:val="006E5492"/>
    <w:rsid w:val="006E5548"/>
    <w:rsid w:val="006E5580"/>
    <w:rsid w:val="006E578F"/>
    <w:rsid w:val="006E5B77"/>
    <w:rsid w:val="006E60F0"/>
    <w:rsid w:val="006E6652"/>
    <w:rsid w:val="006E667D"/>
    <w:rsid w:val="006E683A"/>
    <w:rsid w:val="006E6A3E"/>
    <w:rsid w:val="006E6B53"/>
    <w:rsid w:val="006E6C04"/>
    <w:rsid w:val="006E6D4E"/>
    <w:rsid w:val="006E6DE6"/>
    <w:rsid w:val="006E6ECF"/>
    <w:rsid w:val="006E7276"/>
    <w:rsid w:val="006E7323"/>
    <w:rsid w:val="006E7405"/>
    <w:rsid w:val="006E743D"/>
    <w:rsid w:val="006E7701"/>
    <w:rsid w:val="006E7830"/>
    <w:rsid w:val="006E7CA1"/>
    <w:rsid w:val="006E7CF0"/>
    <w:rsid w:val="006E7F1D"/>
    <w:rsid w:val="006F0188"/>
    <w:rsid w:val="006F04CE"/>
    <w:rsid w:val="006F05A5"/>
    <w:rsid w:val="006F0716"/>
    <w:rsid w:val="006F0D8F"/>
    <w:rsid w:val="006F0DF6"/>
    <w:rsid w:val="006F109A"/>
    <w:rsid w:val="006F11FD"/>
    <w:rsid w:val="006F127D"/>
    <w:rsid w:val="006F13D5"/>
    <w:rsid w:val="006F149E"/>
    <w:rsid w:val="006F18A6"/>
    <w:rsid w:val="006F1A31"/>
    <w:rsid w:val="006F1CBD"/>
    <w:rsid w:val="006F1D68"/>
    <w:rsid w:val="006F2005"/>
    <w:rsid w:val="006F207E"/>
    <w:rsid w:val="006F20F0"/>
    <w:rsid w:val="006F219F"/>
    <w:rsid w:val="006F2345"/>
    <w:rsid w:val="006F25ED"/>
    <w:rsid w:val="006F29F0"/>
    <w:rsid w:val="006F2A65"/>
    <w:rsid w:val="006F2AC3"/>
    <w:rsid w:val="006F2D56"/>
    <w:rsid w:val="006F3158"/>
    <w:rsid w:val="006F356A"/>
    <w:rsid w:val="006F35BF"/>
    <w:rsid w:val="006F3633"/>
    <w:rsid w:val="006F37FD"/>
    <w:rsid w:val="006F3F43"/>
    <w:rsid w:val="006F4308"/>
    <w:rsid w:val="006F430A"/>
    <w:rsid w:val="006F44E7"/>
    <w:rsid w:val="006F4517"/>
    <w:rsid w:val="006F46ED"/>
    <w:rsid w:val="006F48C6"/>
    <w:rsid w:val="006F4A43"/>
    <w:rsid w:val="006F4B01"/>
    <w:rsid w:val="006F4B82"/>
    <w:rsid w:val="006F4F8B"/>
    <w:rsid w:val="006F5070"/>
    <w:rsid w:val="006F5136"/>
    <w:rsid w:val="006F5297"/>
    <w:rsid w:val="006F52BD"/>
    <w:rsid w:val="006F53B4"/>
    <w:rsid w:val="006F53E7"/>
    <w:rsid w:val="006F5836"/>
    <w:rsid w:val="006F588A"/>
    <w:rsid w:val="006F5910"/>
    <w:rsid w:val="006F5A5B"/>
    <w:rsid w:val="006F5B39"/>
    <w:rsid w:val="006F5D33"/>
    <w:rsid w:val="006F5DE7"/>
    <w:rsid w:val="006F5E6A"/>
    <w:rsid w:val="006F6072"/>
    <w:rsid w:val="006F6176"/>
    <w:rsid w:val="006F63C5"/>
    <w:rsid w:val="006F686C"/>
    <w:rsid w:val="006F68EE"/>
    <w:rsid w:val="006F69A2"/>
    <w:rsid w:val="006F6A41"/>
    <w:rsid w:val="006F6A80"/>
    <w:rsid w:val="006F6A9E"/>
    <w:rsid w:val="006F6BA4"/>
    <w:rsid w:val="006F6C1E"/>
    <w:rsid w:val="006F6E63"/>
    <w:rsid w:val="006F714C"/>
    <w:rsid w:val="006F721B"/>
    <w:rsid w:val="006F73E1"/>
    <w:rsid w:val="006F7564"/>
    <w:rsid w:val="006F7782"/>
    <w:rsid w:val="006F784A"/>
    <w:rsid w:val="006F7977"/>
    <w:rsid w:val="006F7EC6"/>
    <w:rsid w:val="006F7F7C"/>
    <w:rsid w:val="006F7F95"/>
    <w:rsid w:val="006F7FBC"/>
    <w:rsid w:val="0070019A"/>
    <w:rsid w:val="0070041A"/>
    <w:rsid w:val="00700574"/>
    <w:rsid w:val="00700801"/>
    <w:rsid w:val="00700973"/>
    <w:rsid w:val="00700AD1"/>
    <w:rsid w:val="00700C3C"/>
    <w:rsid w:val="00700DE6"/>
    <w:rsid w:val="00700F97"/>
    <w:rsid w:val="00700F9E"/>
    <w:rsid w:val="0070100B"/>
    <w:rsid w:val="0070102F"/>
    <w:rsid w:val="00701048"/>
    <w:rsid w:val="0070146F"/>
    <w:rsid w:val="00701552"/>
    <w:rsid w:val="00701701"/>
    <w:rsid w:val="00701799"/>
    <w:rsid w:val="00701B77"/>
    <w:rsid w:val="00701CB5"/>
    <w:rsid w:val="00701D19"/>
    <w:rsid w:val="00701D93"/>
    <w:rsid w:val="00701E29"/>
    <w:rsid w:val="00701FD9"/>
    <w:rsid w:val="007021F4"/>
    <w:rsid w:val="00702238"/>
    <w:rsid w:val="00702390"/>
    <w:rsid w:val="00702433"/>
    <w:rsid w:val="0070243E"/>
    <w:rsid w:val="0070283D"/>
    <w:rsid w:val="00702BD0"/>
    <w:rsid w:val="00702C4B"/>
    <w:rsid w:val="00702CC2"/>
    <w:rsid w:val="00702CE9"/>
    <w:rsid w:val="00702E03"/>
    <w:rsid w:val="00702E5D"/>
    <w:rsid w:val="00702F6A"/>
    <w:rsid w:val="007030F6"/>
    <w:rsid w:val="0070323D"/>
    <w:rsid w:val="007035FE"/>
    <w:rsid w:val="0070368F"/>
    <w:rsid w:val="00703692"/>
    <w:rsid w:val="00703D18"/>
    <w:rsid w:val="007045CC"/>
    <w:rsid w:val="007047FA"/>
    <w:rsid w:val="00704989"/>
    <w:rsid w:val="00704A6F"/>
    <w:rsid w:val="00704CAE"/>
    <w:rsid w:val="00704E8B"/>
    <w:rsid w:val="007051FE"/>
    <w:rsid w:val="00705477"/>
    <w:rsid w:val="00705588"/>
    <w:rsid w:val="00705632"/>
    <w:rsid w:val="00705703"/>
    <w:rsid w:val="00705852"/>
    <w:rsid w:val="00705B33"/>
    <w:rsid w:val="0070604E"/>
    <w:rsid w:val="00706264"/>
    <w:rsid w:val="0070639A"/>
    <w:rsid w:val="007064CE"/>
    <w:rsid w:val="007066FB"/>
    <w:rsid w:val="00706799"/>
    <w:rsid w:val="007067B2"/>
    <w:rsid w:val="00706BBD"/>
    <w:rsid w:val="00706EA1"/>
    <w:rsid w:val="00707074"/>
    <w:rsid w:val="00707262"/>
    <w:rsid w:val="0070740C"/>
    <w:rsid w:val="00707638"/>
    <w:rsid w:val="007076C8"/>
    <w:rsid w:val="007076F9"/>
    <w:rsid w:val="007077F7"/>
    <w:rsid w:val="00707DAD"/>
    <w:rsid w:val="00707F36"/>
    <w:rsid w:val="007101F1"/>
    <w:rsid w:val="00710267"/>
    <w:rsid w:val="007107FE"/>
    <w:rsid w:val="00710902"/>
    <w:rsid w:val="00710D5A"/>
    <w:rsid w:val="00711018"/>
    <w:rsid w:val="00711240"/>
    <w:rsid w:val="007112D6"/>
    <w:rsid w:val="0071130A"/>
    <w:rsid w:val="00711B7C"/>
    <w:rsid w:val="00711CF5"/>
    <w:rsid w:val="00711D68"/>
    <w:rsid w:val="00711D77"/>
    <w:rsid w:val="00711FB1"/>
    <w:rsid w:val="00711FCA"/>
    <w:rsid w:val="00712065"/>
    <w:rsid w:val="00712125"/>
    <w:rsid w:val="00712142"/>
    <w:rsid w:val="007121EA"/>
    <w:rsid w:val="007125D7"/>
    <w:rsid w:val="007125F0"/>
    <w:rsid w:val="007127BC"/>
    <w:rsid w:val="007128DC"/>
    <w:rsid w:val="00712C9A"/>
    <w:rsid w:val="00712DE7"/>
    <w:rsid w:val="00713091"/>
    <w:rsid w:val="0071321F"/>
    <w:rsid w:val="007133E1"/>
    <w:rsid w:val="00713CE8"/>
    <w:rsid w:val="00714032"/>
    <w:rsid w:val="0071411E"/>
    <w:rsid w:val="0071445E"/>
    <w:rsid w:val="00714548"/>
    <w:rsid w:val="007145C8"/>
    <w:rsid w:val="007145FE"/>
    <w:rsid w:val="00714728"/>
    <w:rsid w:val="007147EF"/>
    <w:rsid w:val="0071494B"/>
    <w:rsid w:val="00714AB5"/>
    <w:rsid w:val="00714BDF"/>
    <w:rsid w:val="00714CAD"/>
    <w:rsid w:val="007150F5"/>
    <w:rsid w:val="007150F8"/>
    <w:rsid w:val="00715120"/>
    <w:rsid w:val="0071533A"/>
    <w:rsid w:val="00715482"/>
    <w:rsid w:val="0071551B"/>
    <w:rsid w:val="00715528"/>
    <w:rsid w:val="007155A9"/>
    <w:rsid w:val="00715724"/>
    <w:rsid w:val="00715937"/>
    <w:rsid w:val="00715C25"/>
    <w:rsid w:val="00715DC5"/>
    <w:rsid w:val="00715E2D"/>
    <w:rsid w:val="00715F7F"/>
    <w:rsid w:val="00716153"/>
    <w:rsid w:val="007162CC"/>
    <w:rsid w:val="00716321"/>
    <w:rsid w:val="00716529"/>
    <w:rsid w:val="0071664A"/>
    <w:rsid w:val="0071685E"/>
    <w:rsid w:val="0071695E"/>
    <w:rsid w:val="00716BCB"/>
    <w:rsid w:val="00716C56"/>
    <w:rsid w:val="00716E4F"/>
    <w:rsid w:val="00717117"/>
    <w:rsid w:val="007171EA"/>
    <w:rsid w:val="0071728A"/>
    <w:rsid w:val="0071734F"/>
    <w:rsid w:val="00717408"/>
    <w:rsid w:val="0071759C"/>
    <w:rsid w:val="007176FE"/>
    <w:rsid w:val="007178A0"/>
    <w:rsid w:val="00717947"/>
    <w:rsid w:val="00717970"/>
    <w:rsid w:val="00717A75"/>
    <w:rsid w:val="00717B71"/>
    <w:rsid w:val="00717C49"/>
    <w:rsid w:val="00720708"/>
    <w:rsid w:val="0072074C"/>
    <w:rsid w:val="007208C2"/>
    <w:rsid w:val="0072096F"/>
    <w:rsid w:val="0072098D"/>
    <w:rsid w:val="00720A47"/>
    <w:rsid w:val="00720B90"/>
    <w:rsid w:val="00720BE5"/>
    <w:rsid w:val="00720C32"/>
    <w:rsid w:val="00720C93"/>
    <w:rsid w:val="00720F12"/>
    <w:rsid w:val="007212D2"/>
    <w:rsid w:val="007212D9"/>
    <w:rsid w:val="00721446"/>
    <w:rsid w:val="0072171E"/>
    <w:rsid w:val="0072182B"/>
    <w:rsid w:val="00721945"/>
    <w:rsid w:val="007219E4"/>
    <w:rsid w:val="00721AAA"/>
    <w:rsid w:val="00721B79"/>
    <w:rsid w:val="00721C94"/>
    <w:rsid w:val="00721FE1"/>
    <w:rsid w:val="00722083"/>
    <w:rsid w:val="00722147"/>
    <w:rsid w:val="00722289"/>
    <w:rsid w:val="00722320"/>
    <w:rsid w:val="00722888"/>
    <w:rsid w:val="00722C1C"/>
    <w:rsid w:val="00722DAD"/>
    <w:rsid w:val="0072323C"/>
    <w:rsid w:val="00723445"/>
    <w:rsid w:val="007234DB"/>
    <w:rsid w:val="0072356F"/>
    <w:rsid w:val="00723593"/>
    <w:rsid w:val="007235FC"/>
    <w:rsid w:val="00723630"/>
    <w:rsid w:val="00723680"/>
    <w:rsid w:val="00723BAD"/>
    <w:rsid w:val="00723CD2"/>
    <w:rsid w:val="0072409C"/>
    <w:rsid w:val="007243FC"/>
    <w:rsid w:val="0072453C"/>
    <w:rsid w:val="007245C1"/>
    <w:rsid w:val="0072461D"/>
    <w:rsid w:val="007246F8"/>
    <w:rsid w:val="00724710"/>
    <w:rsid w:val="00724976"/>
    <w:rsid w:val="00724A33"/>
    <w:rsid w:val="00724A5B"/>
    <w:rsid w:val="00724EBE"/>
    <w:rsid w:val="00725516"/>
    <w:rsid w:val="0072581C"/>
    <w:rsid w:val="007259B1"/>
    <w:rsid w:val="00725A39"/>
    <w:rsid w:val="00725A94"/>
    <w:rsid w:val="00725CD1"/>
    <w:rsid w:val="00726211"/>
    <w:rsid w:val="00726300"/>
    <w:rsid w:val="00726902"/>
    <w:rsid w:val="00726B00"/>
    <w:rsid w:val="00726C69"/>
    <w:rsid w:val="00726CA6"/>
    <w:rsid w:val="007273A5"/>
    <w:rsid w:val="00727456"/>
    <w:rsid w:val="007274A1"/>
    <w:rsid w:val="007275D9"/>
    <w:rsid w:val="007277A7"/>
    <w:rsid w:val="00727B3C"/>
    <w:rsid w:val="00727CD3"/>
    <w:rsid w:val="00727D1E"/>
    <w:rsid w:val="00727D74"/>
    <w:rsid w:val="00727D8A"/>
    <w:rsid w:val="007304AD"/>
    <w:rsid w:val="007306EB"/>
    <w:rsid w:val="00730716"/>
    <w:rsid w:val="00730A00"/>
    <w:rsid w:val="00730E1F"/>
    <w:rsid w:val="00730E54"/>
    <w:rsid w:val="00730F15"/>
    <w:rsid w:val="00730F87"/>
    <w:rsid w:val="00730FDE"/>
    <w:rsid w:val="007313F1"/>
    <w:rsid w:val="0073195E"/>
    <w:rsid w:val="00731A57"/>
    <w:rsid w:val="00731D24"/>
    <w:rsid w:val="007320A7"/>
    <w:rsid w:val="00732203"/>
    <w:rsid w:val="007322CE"/>
    <w:rsid w:val="007324F7"/>
    <w:rsid w:val="00732567"/>
    <w:rsid w:val="007326E0"/>
    <w:rsid w:val="007327F1"/>
    <w:rsid w:val="0073288E"/>
    <w:rsid w:val="00732901"/>
    <w:rsid w:val="007329D9"/>
    <w:rsid w:val="00732B55"/>
    <w:rsid w:val="00732C22"/>
    <w:rsid w:val="00732CF6"/>
    <w:rsid w:val="00732EC4"/>
    <w:rsid w:val="00733003"/>
    <w:rsid w:val="0073315B"/>
    <w:rsid w:val="007331C8"/>
    <w:rsid w:val="00733809"/>
    <w:rsid w:val="007339D8"/>
    <w:rsid w:val="00733D6B"/>
    <w:rsid w:val="00733F63"/>
    <w:rsid w:val="00733FB6"/>
    <w:rsid w:val="00734002"/>
    <w:rsid w:val="00734025"/>
    <w:rsid w:val="00734107"/>
    <w:rsid w:val="007341D0"/>
    <w:rsid w:val="00734340"/>
    <w:rsid w:val="0073444E"/>
    <w:rsid w:val="0073447D"/>
    <w:rsid w:val="0073463B"/>
    <w:rsid w:val="00734C61"/>
    <w:rsid w:val="00734CA8"/>
    <w:rsid w:val="00734D7B"/>
    <w:rsid w:val="00734D99"/>
    <w:rsid w:val="00734F3C"/>
    <w:rsid w:val="0073517F"/>
    <w:rsid w:val="007351C6"/>
    <w:rsid w:val="00735261"/>
    <w:rsid w:val="007352E0"/>
    <w:rsid w:val="0073534C"/>
    <w:rsid w:val="00735363"/>
    <w:rsid w:val="007353CC"/>
    <w:rsid w:val="007357A8"/>
    <w:rsid w:val="007357ED"/>
    <w:rsid w:val="00735A21"/>
    <w:rsid w:val="00735C6E"/>
    <w:rsid w:val="00735FFF"/>
    <w:rsid w:val="007361C2"/>
    <w:rsid w:val="007363FF"/>
    <w:rsid w:val="007369A8"/>
    <w:rsid w:val="007369F9"/>
    <w:rsid w:val="00736BE1"/>
    <w:rsid w:val="007372A0"/>
    <w:rsid w:val="007374E8"/>
    <w:rsid w:val="0073772F"/>
    <w:rsid w:val="0073795F"/>
    <w:rsid w:val="00737B9E"/>
    <w:rsid w:val="00737BE1"/>
    <w:rsid w:val="00737C82"/>
    <w:rsid w:val="007402DB"/>
    <w:rsid w:val="007403D5"/>
    <w:rsid w:val="00740690"/>
    <w:rsid w:val="00740701"/>
    <w:rsid w:val="00740C3E"/>
    <w:rsid w:val="00740FC1"/>
    <w:rsid w:val="0074106E"/>
    <w:rsid w:val="00741297"/>
    <w:rsid w:val="00741412"/>
    <w:rsid w:val="00741467"/>
    <w:rsid w:val="00741A4A"/>
    <w:rsid w:val="00741B67"/>
    <w:rsid w:val="00741B89"/>
    <w:rsid w:val="00741C58"/>
    <w:rsid w:val="00741FB7"/>
    <w:rsid w:val="007421D7"/>
    <w:rsid w:val="007423A2"/>
    <w:rsid w:val="007425DB"/>
    <w:rsid w:val="0074260E"/>
    <w:rsid w:val="0074261F"/>
    <w:rsid w:val="00742A92"/>
    <w:rsid w:val="00742E72"/>
    <w:rsid w:val="00742EBE"/>
    <w:rsid w:val="00742EEE"/>
    <w:rsid w:val="0074304D"/>
    <w:rsid w:val="00743096"/>
    <w:rsid w:val="0074313C"/>
    <w:rsid w:val="00743157"/>
    <w:rsid w:val="0074353A"/>
    <w:rsid w:val="00743664"/>
    <w:rsid w:val="0074383C"/>
    <w:rsid w:val="00743F8E"/>
    <w:rsid w:val="00744011"/>
    <w:rsid w:val="007440DC"/>
    <w:rsid w:val="0074414E"/>
    <w:rsid w:val="007445B0"/>
    <w:rsid w:val="0074475C"/>
    <w:rsid w:val="0074479A"/>
    <w:rsid w:val="00744826"/>
    <w:rsid w:val="00744945"/>
    <w:rsid w:val="007449FF"/>
    <w:rsid w:val="00744B1E"/>
    <w:rsid w:val="00745289"/>
    <w:rsid w:val="0074532E"/>
    <w:rsid w:val="0074541D"/>
    <w:rsid w:val="0074549D"/>
    <w:rsid w:val="007456D5"/>
    <w:rsid w:val="00745716"/>
    <w:rsid w:val="007458DF"/>
    <w:rsid w:val="00745D18"/>
    <w:rsid w:val="00745E7B"/>
    <w:rsid w:val="00745EFC"/>
    <w:rsid w:val="0074619A"/>
    <w:rsid w:val="0074625C"/>
    <w:rsid w:val="0074632D"/>
    <w:rsid w:val="007463A0"/>
    <w:rsid w:val="0074671A"/>
    <w:rsid w:val="00746F7E"/>
    <w:rsid w:val="00747060"/>
    <w:rsid w:val="00747104"/>
    <w:rsid w:val="007474B0"/>
    <w:rsid w:val="00747595"/>
    <w:rsid w:val="007475A7"/>
    <w:rsid w:val="00747A34"/>
    <w:rsid w:val="00747B00"/>
    <w:rsid w:val="007500B8"/>
    <w:rsid w:val="00750297"/>
    <w:rsid w:val="0075096D"/>
    <w:rsid w:val="00750D2F"/>
    <w:rsid w:val="00750E09"/>
    <w:rsid w:val="00750E29"/>
    <w:rsid w:val="00750F22"/>
    <w:rsid w:val="00750F2C"/>
    <w:rsid w:val="007510D0"/>
    <w:rsid w:val="007510FB"/>
    <w:rsid w:val="0075120F"/>
    <w:rsid w:val="007512BF"/>
    <w:rsid w:val="007513A1"/>
    <w:rsid w:val="00751557"/>
    <w:rsid w:val="00751693"/>
    <w:rsid w:val="00751AAD"/>
    <w:rsid w:val="00751B58"/>
    <w:rsid w:val="00751C97"/>
    <w:rsid w:val="00751D97"/>
    <w:rsid w:val="00752052"/>
    <w:rsid w:val="00752083"/>
    <w:rsid w:val="007521BC"/>
    <w:rsid w:val="00752215"/>
    <w:rsid w:val="007524AA"/>
    <w:rsid w:val="00752676"/>
    <w:rsid w:val="00752705"/>
    <w:rsid w:val="00752726"/>
    <w:rsid w:val="007529B5"/>
    <w:rsid w:val="007529C5"/>
    <w:rsid w:val="00752B34"/>
    <w:rsid w:val="00752D5F"/>
    <w:rsid w:val="00752DCB"/>
    <w:rsid w:val="00753488"/>
    <w:rsid w:val="007535E6"/>
    <w:rsid w:val="00753882"/>
    <w:rsid w:val="00753915"/>
    <w:rsid w:val="00753C86"/>
    <w:rsid w:val="00754076"/>
    <w:rsid w:val="00754514"/>
    <w:rsid w:val="00754661"/>
    <w:rsid w:val="007548EC"/>
    <w:rsid w:val="0075491C"/>
    <w:rsid w:val="007549C6"/>
    <w:rsid w:val="00754EA7"/>
    <w:rsid w:val="00754FD5"/>
    <w:rsid w:val="00755218"/>
    <w:rsid w:val="007552A6"/>
    <w:rsid w:val="00755410"/>
    <w:rsid w:val="0075544B"/>
    <w:rsid w:val="00755C3F"/>
    <w:rsid w:val="00755D33"/>
    <w:rsid w:val="00755DCF"/>
    <w:rsid w:val="00755DF6"/>
    <w:rsid w:val="00755DFF"/>
    <w:rsid w:val="00756219"/>
    <w:rsid w:val="00756814"/>
    <w:rsid w:val="007568A9"/>
    <w:rsid w:val="00756B93"/>
    <w:rsid w:val="00756D45"/>
    <w:rsid w:val="00756EC3"/>
    <w:rsid w:val="007573D8"/>
    <w:rsid w:val="00757587"/>
    <w:rsid w:val="00757875"/>
    <w:rsid w:val="00757BD1"/>
    <w:rsid w:val="00757CD1"/>
    <w:rsid w:val="00757D1D"/>
    <w:rsid w:val="00757EDB"/>
    <w:rsid w:val="00760041"/>
    <w:rsid w:val="00760646"/>
    <w:rsid w:val="007606F9"/>
    <w:rsid w:val="00760710"/>
    <w:rsid w:val="00760B68"/>
    <w:rsid w:val="00760EEF"/>
    <w:rsid w:val="00760F49"/>
    <w:rsid w:val="00761031"/>
    <w:rsid w:val="00761143"/>
    <w:rsid w:val="007611D4"/>
    <w:rsid w:val="007616C6"/>
    <w:rsid w:val="00761791"/>
    <w:rsid w:val="00761F85"/>
    <w:rsid w:val="0076240D"/>
    <w:rsid w:val="0076259F"/>
    <w:rsid w:val="00762EF2"/>
    <w:rsid w:val="00762FA3"/>
    <w:rsid w:val="0076305B"/>
    <w:rsid w:val="0076317A"/>
    <w:rsid w:val="00763521"/>
    <w:rsid w:val="007636CA"/>
    <w:rsid w:val="0076372F"/>
    <w:rsid w:val="00763832"/>
    <w:rsid w:val="0076394C"/>
    <w:rsid w:val="00763AAD"/>
    <w:rsid w:val="00763CA1"/>
    <w:rsid w:val="00763E3E"/>
    <w:rsid w:val="00764430"/>
    <w:rsid w:val="0076460D"/>
    <w:rsid w:val="00764667"/>
    <w:rsid w:val="0076471C"/>
    <w:rsid w:val="00764838"/>
    <w:rsid w:val="00764902"/>
    <w:rsid w:val="00764A41"/>
    <w:rsid w:val="00764AEE"/>
    <w:rsid w:val="00764BEE"/>
    <w:rsid w:val="00764C5B"/>
    <w:rsid w:val="00764CC1"/>
    <w:rsid w:val="00764CD9"/>
    <w:rsid w:val="00764CF6"/>
    <w:rsid w:val="00764D80"/>
    <w:rsid w:val="00764DBA"/>
    <w:rsid w:val="00765056"/>
    <w:rsid w:val="00765105"/>
    <w:rsid w:val="0076532A"/>
    <w:rsid w:val="00765528"/>
    <w:rsid w:val="00765532"/>
    <w:rsid w:val="007655C7"/>
    <w:rsid w:val="00765675"/>
    <w:rsid w:val="0076571B"/>
    <w:rsid w:val="0076595D"/>
    <w:rsid w:val="00765CD4"/>
    <w:rsid w:val="00765DC3"/>
    <w:rsid w:val="00765FDD"/>
    <w:rsid w:val="007661B0"/>
    <w:rsid w:val="007662D7"/>
    <w:rsid w:val="00766323"/>
    <w:rsid w:val="007668E2"/>
    <w:rsid w:val="00766A3D"/>
    <w:rsid w:val="00766C55"/>
    <w:rsid w:val="00766D8E"/>
    <w:rsid w:val="00766F45"/>
    <w:rsid w:val="00767181"/>
    <w:rsid w:val="00767190"/>
    <w:rsid w:val="0076722A"/>
    <w:rsid w:val="0076725E"/>
    <w:rsid w:val="00767579"/>
    <w:rsid w:val="00767663"/>
    <w:rsid w:val="0076768B"/>
    <w:rsid w:val="00767740"/>
    <w:rsid w:val="007678BE"/>
    <w:rsid w:val="007679A3"/>
    <w:rsid w:val="00767BDF"/>
    <w:rsid w:val="00767C58"/>
    <w:rsid w:val="00767F65"/>
    <w:rsid w:val="00770054"/>
    <w:rsid w:val="00770059"/>
    <w:rsid w:val="0077012D"/>
    <w:rsid w:val="0077025E"/>
    <w:rsid w:val="0077078C"/>
    <w:rsid w:val="007709DE"/>
    <w:rsid w:val="00770A27"/>
    <w:rsid w:val="00770AB4"/>
    <w:rsid w:val="00770D20"/>
    <w:rsid w:val="00770ECB"/>
    <w:rsid w:val="00770EE1"/>
    <w:rsid w:val="0077154F"/>
    <w:rsid w:val="007716A6"/>
    <w:rsid w:val="00771A1E"/>
    <w:rsid w:val="00771B18"/>
    <w:rsid w:val="00771CC4"/>
    <w:rsid w:val="00771E4B"/>
    <w:rsid w:val="00771F7E"/>
    <w:rsid w:val="007720AB"/>
    <w:rsid w:val="00772209"/>
    <w:rsid w:val="00772221"/>
    <w:rsid w:val="00772325"/>
    <w:rsid w:val="00772327"/>
    <w:rsid w:val="00772698"/>
    <w:rsid w:val="00772750"/>
    <w:rsid w:val="0077284C"/>
    <w:rsid w:val="00772C48"/>
    <w:rsid w:val="00772D52"/>
    <w:rsid w:val="007731C5"/>
    <w:rsid w:val="0077351C"/>
    <w:rsid w:val="007739FA"/>
    <w:rsid w:val="00773D0C"/>
    <w:rsid w:val="00773ED7"/>
    <w:rsid w:val="00774038"/>
    <w:rsid w:val="007743B6"/>
    <w:rsid w:val="0077490E"/>
    <w:rsid w:val="00774955"/>
    <w:rsid w:val="00774AC2"/>
    <w:rsid w:val="00774ACF"/>
    <w:rsid w:val="00774B80"/>
    <w:rsid w:val="00774CC6"/>
    <w:rsid w:val="00774FB5"/>
    <w:rsid w:val="0077503B"/>
    <w:rsid w:val="007750D2"/>
    <w:rsid w:val="007751E9"/>
    <w:rsid w:val="007752AF"/>
    <w:rsid w:val="00775562"/>
    <w:rsid w:val="00775716"/>
    <w:rsid w:val="00775869"/>
    <w:rsid w:val="00775881"/>
    <w:rsid w:val="00775A5D"/>
    <w:rsid w:val="00775C54"/>
    <w:rsid w:val="00775E87"/>
    <w:rsid w:val="00775ED4"/>
    <w:rsid w:val="00775EF6"/>
    <w:rsid w:val="00776637"/>
    <w:rsid w:val="00776811"/>
    <w:rsid w:val="007769B4"/>
    <w:rsid w:val="00776A5F"/>
    <w:rsid w:val="00776B72"/>
    <w:rsid w:val="00776C02"/>
    <w:rsid w:val="00776D8B"/>
    <w:rsid w:val="00776E2D"/>
    <w:rsid w:val="00776EB8"/>
    <w:rsid w:val="007770CD"/>
    <w:rsid w:val="007774EB"/>
    <w:rsid w:val="007775B6"/>
    <w:rsid w:val="00777687"/>
    <w:rsid w:val="007776D5"/>
    <w:rsid w:val="00777838"/>
    <w:rsid w:val="00777A89"/>
    <w:rsid w:val="00777A8F"/>
    <w:rsid w:val="00777CB7"/>
    <w:rsid w:val="00777DDE"/>
    <w:rsid w:val="00777F0A"/>
    <w:rsid w:val="00780229"/>
    <w:rsid w:val="007802FA"/>
    <w:rsid w:val="0078039D"/>
    <w:rsid w:val="00780602"/>
    <w:rsid w:val="00780718"/>
    <w:rsid w:val="007807A3"/>
    <w:rsid w:val="007809D3"/>
    <w:rsid w:val="00780A3C"/>
    <w:rsid w:val="00780A8E"/>
    <w:rsid w:val="00780BC1"/>
    <w:rsid w:val="0078100F"/>
    <w:rsid w:val="007812E6"/>
    <w:rsid w:val="00781363"/>
    <w:rsid w:val="0078159F"/>
    <w:rsid w:val="0078162F"/>
    <w:rsid w:val="007816A5"/>
    <w:rsid w:val="00781BE8"/>
    <w:rsid w:val="00781C7D"/>
    <w:rsid w:val="00781D29"/>
    <w:rsid w:val="007821CB"/>
    <w:rsid w:val="007823FB"/>
    <w:rsid w:val="00782751"/>
    <w:rsid w:val="007828E5"/>
    <w:rsid w:val="007828FF"/>
    <w:rsid w:val="007829DB"/>
    <w:rsid w:val="00782A4B"/>
    <w:rsid w:val="00782A81"/>
    <w:rsid w:val="00782BF0"/>
    <w:rsid w:val="00782BF3"/>
    <w:rsid w:val="00782CCC"/>
    <w:rsid w:val="00782FB1"/>
    <w:rsid w:val="0078370D"/>
    <w:rsid w:val="0078376C"/>
    <w:rsid w:val="0078378E"/>
    <w:rsid w:val="00783849"/>
    <w:rsid w:val="00783BC8"/>
    <w:rsid w:val="00783C03"/>
    <w:rsid w:val="00783C5A"/>
    <w:rsid w:val="00783C77"/>
    <w:rsid w:val="00783C9C"/>
    <w:rsid w:val="00783D0D"/>
    <w:rsid w:val="00783E51"/>
    <w:rsid w:val="00783ECE"/>
    <w:rsid w:val="00783F73"/>
    <w:rsid w:val="00783FCA"/>
    <w:rsid w:val="007842BE"/>
    <w:rsid w:val="00784A56"/>
    <w:rsid w:val="00784A87"/>
    <w:rsid w:val="00784CF8"/>
    <w:rsid w:val="00784F26"/>
    <w:rsid w:val="00784F28"/>
    <w:rsid w:val="00784F58"/>
    <w:rsid w:val="00784FB5"/>
    <w:rsid w:val="00784FF0"/>
    <w:rsid w:val="00785074"/>
    <w:rsid w:val="007850EB"/>
    <w:rsid w:val="0078562C"/>
    <w:rsid w:val="007857B6"/>
    <w:rsid w:val="0078580F"/>
    <w:rsid w:val="00785E42"/>
    <w:rsid w:val="00785EDF"/>
    <w:rsid w:val="00785EE3"/>
    <w:rsid w:val="00786003"/>
    <w:rsid w:val="007866BE"/>
    <w:rsid w:val="007866FE"/>
    <w:rsid w:val="007867EE"/>
    <w:rsid w:val="00786839"/>
    <w:rsid w:val="00786AB6"/>
    <w:rsid w:val="00786B9F"/>
    <w:rsid w:val="00786CC6"/>
    <w:rsid w:val="00786D20"/>
    <w:rsid w:val="00786DEF"/>
    <w:rsid w:val="00786F92"/>
    <w:rsid w:val="007870D0"/>
    <w:rsid w:val="00787360"/>
    <w:rsid w:val="007877A8"/>
    <w:rsid w:val="00787929"/>
    <w:rsid w:val="0078799B"/>
    <w:rsid w:val="00787A55"/>
    <w:rsid w:val="00790486"/>
    <w:rsid w:val="007904AF"/>
    <w:rsid w:val="007905F9"/>
    <w:rsid w:val="00790696"/>
    <w:rsid w:val="00790B08"/>
    <w:rsid w:val="00790BCF"/>
    <w:rsid w:val="00790DFD"/>
    <w:rsid w:val="0079102D"/>
    <w:rsid w:val="007913C7"/>
    <w:rsid w:val="007914AF"/>
    <w:rsid w:val="00791756"/>
    <w:rsid w:val="00791988"/>
    <w:rsid w:val="00791A6A"/>
    <w:rsid w:val="00791BEB"/>
    <w:rsid w:val="00791ED7"/>
    <w:rsid w:val="0079248F"/>
    <w:rsid w:val="007924C2"/>
    <w:rsid w:val="007925EB"/>
    <w:rsid w:val="007925FF"/>
    <w:rsid w:val="00792641"/>
    <w:rsid w:val="00792650"/>
    <w:rsid w:val="007927CF"/>
    <w:rsid w:val="00792996"/>
    <w:rsid w:val="00792ACE"/>
    <w:rsid w:val="00792B01"/>
    <w:rsid w:val="00792BB2"/>
    <w:rsid w:val="00792CF4"/>
    <w:rsid w:val="00792D14"/>
    <w:rsid w:val="00793303"/>
    <w:rsid w:val="00793328"/>
    <w:rsid w:val="00793736"/>
    <w:rsid w:val="00793A3E"/>
    <w:rsid w:val="00793CAE"/>
    <w:rsid w:val="00794136"/>
    <w:rsid w:val="00794342"/>
    <w:rsid w:val="0079436F"/>
    <w:rsid w:val="00794C70"/>
    <w:rsid w:val="00794D0C"/>
    <w:rsid w:val="00794D9D"/>
    <w:rsid w:val="00794E90"/>
    <w:rsid w:val="0079514C"/>
    <w:rsid w:val="00795257"/>
    <w:rsid w:val="00795260"/>
    <w:rsid w:val="0079551D"/>
    <w:rsid w:val="00795687"/>
    <w:rsid w:val="00795817"/>
    <w:rsid w:val="00795834"/>
    <w:rsid w:val="00795865"/>
    <w:rsid w:val="00795F35"/>
    <w:rsid w:val="00795F74"/>
    <w:rsid w:val="0079626E"/>
    <w:rsid w:val="00796320"/>
    <w:rsid w:val="007964D1"/>
    <w:rsid w:val="007964D6"/>
    <w:rsid w:val="007967E3"/>
    <w:rsid w:val="00796A13"/>
    <w:rsid w:val="00796A9F"/>
    <w:rsid w:val="00796BBC"/>
    <w:rsid w:val="00796C67"/>
    <w:rsid w:val="00797084"/>
    <w:rsid w:val="00797093"/>
    <w:rsid w:val="007971C3"/>
    <w:rsid w:val="0079736D"/>
    <w:rsid w:val="0079737D"/>
    <w:rsid w:val="007975CE"/>
    <w:rsid w:val="007976C9"/>
    <w:rsid w:val="00797B8D"/>
    <w:rsid w:val="00797D79"/>
    <w:rsid w:val="00797E25"/>
    <w:rsid w:val="00797EA9"/>
    <w:rsid w:val="00797EC1"/>
    <w:rsid w:val="00797F49"/>
    <w:rsid w:val="00797FA4"/>
    <w:rsid w:val="007A00DE"/>
    <w:rsid w:val="007A0107"/>
    <w:rsid w:val="007A0254"/>
    <w:rsid w:val="007A025F"/>
    <w:rsid w:val="007A0278"/>
    <w:rsid w:val="007A049E"/>
    <w:rsid w:val="007A0626"/>
    <w:rsid w:val="007A0792"/>
    <w:rsid w:val="007A0AA0"/>
    <w:rsid w:val="007A0B46"/>
    <w:rsid w:val="007A0E8D"/>
    <w:rsid w:val="007A0EB1"/>
    <w:rsid w:val="007A0FA3"/>
    <w:rsid w:val="007A1089"/>
    <w:rsid w:val="007A109C"/>
    <w:rsid w:val="007A110B"/>
    <w:rsid w:val="007A146B"/>
    <w:rsid w:val="007A1889"/>
    <w:rsid w:val="007A18BD"/>
    <w:rsid w:val="007A1A38"/>
    <w:rsid w:val="007A1AF3"/>
    <w:rsid w:val="007A1D00"/>
    <w:rsid w:val="007A1DD7"/>
    <w:rsid w:val="007A2043"/>
    <w:rsid w:val="007A2089"/>
    <w:rsid w:val="007A20E8"/>
    <w:rsid w:val="007A2432"/>
    <w:rsid w:val="007A2596"/>
    <w:rsid w:val="007A2792"/>
    <w:rsid w:val="007A2DDA"/>
    <w:rsid w:val="007A2E1C"/>
    <w:rsid w:val="007A2EE4"/>
    <w:rsid w:val="007A2F1A"/>
    <w:rsid w:val="007A31EE"/>
    <w:rsid w:val="007A3269"/>
    <w:rsid w:val="007A32B1"/>
    <w:rsid w:val="007A347B"/>
    <w:rsid w:val="007A3522"/>
    <w:rsid w:val="007A35C6"/>
    <w:rsid w:val="007A3717"/>
    <w:rsid w:val="007A3831"/>
    <w:rsid w:val="007A38AC"/>
    <w:rsid w:val="007A3A46"/>
    <w:rsid w:val="007A3B33"/>
    <w:rsid w:val="007A3C17"/>
    <w:rsid w:val="007A3D62"/>
    <w:rsid w:val="007A3DC7"/>
    <w:rsid w:val="007A3FA9"/>
    <w:rsid w:val="007A4052"/>
    <w:rsid w:val="007A4366"/>
    <w:rsid w:val="007A441F"/>
    <w:rsid w:val="007A4595"/>
    <w:rsid w:val="007A47C0"/>
    <w:rsid w:val="007A47D1"/>
    <w:rsid w:val="007A498A"/>
    <w:rsid w:val="007A4C94"/>
    <w:rsid w:val="007A4ECF"/>
    <w:rsid w:val="007A501E"/>
    <w:rsid w:val="007A51B6"/>
    <w:rsid w:val="007A51EA"/>
    <w:rsid w:val="007A52CB"/>
    <w:rsid w:val="007A538F"/>
    <w:rsid w:val="007A541D"/>
    <w:rsid w:val="007A5636"/>
    <w:rsid w:val="007A56D5"/>
    <w:rsid w:val="007A5844"/>
    <w:rsid w:val="007A58FC"/>
    <w:rsid w:val="007A59C3"/>
    <w:rsid w:val="007A5D6A"/>
    <w:rsid w:val="007A5D82"/>
    <w:rsid w:val="007A608D"/>
    <w:rsid w:val="007A60D5"/>
    <w:rsid w:val="007A61B8"/>
    <w:rsid w:val="007A6586"/>
    <w:rsid w:val="007A65B1"/>
    <w:rsid w:val="007A6639"/>
    <w:rsid w:val="007A6689"/>
    <w:rsid w:val="007A69D9"/>
    <w:rsid w:val="007A6A11"/>
    <w:rsid w:val="007A6B10"/>
    <w:rsid w:val="007A6D7F"/>
    <w:rsid w:val="007A6EFE"/>
    <w:rsid w:val="007A7281"/>
    <w:rsid w:val="007A7ABF"/>
    <w:rsid w:val="007A7AE0"/>
    <w:rsid w:val="007A7BE0"/>
    <w:rsid w:val="007A7DA8"/>
    <w:rsid w:val="007A7DF0"/>
    <w:rsid w:val="007A7F29"/>
    <w:rsid w:val="007A7FB3"/>
    <w:rsid w:val="007B01F6"/>
    <w:rsid w:val="007B0343"/>
    <w:rsid w:val="007B058A"/>
    <w:rsid w:val="007B072B"/>
    <w:rsid w:val="007B08BC"/>
    <w:rsid w:val="007B0A87"/>
    <w:rsid w:val="007B0B13"/>
    <w:rsid w:val="007B0B6D"/>
    <w:rsid w:val="007B0D3D"/>
    <w:rsid w:val="007B0D8A"/>
    <w:rsid w:val="007B0D91"/>
    <w:rsid w:val="007B0DED"/>
    <w:rsid w:val="007B1182"/>
    <w:rsid w:val="007B130C"/>
    <w:rsid w:val="007B13BB"/>
    <w:rsid w:val="007B14AB"/>
    <w:rsid w:val="007B16A4"/>
    <w:rsid w:val="007B1A10"/>
    <w:rsid w:val="007B1A7B"/>
    <w:rsid w:val="007B1AA4"/>
    <w:rsid w:val="007B1AD1"/>
    <w:rsid w:val="007B206F"/>
    <w:rsid w:val="007B220B"/>
    <w:rsid w:val="007B2498"/>
    <w:rsid w:val="007B25F9"/>
    <w:rsid w:val="007B2C51"/>
    <w:rsid w:val="007B2E72"/>
    <w:rsid w:val="007B2F13"/>
    <w:rsid w:val="007B3038"/>
    <w:rsid w:val="007B3058"/>
    <w:rsid w:val="007B31F0"/>
    <w:rsid w:val="007B3276"/>
    <w:rsid w:val="007B33CC"/>
    <w:rsid w:val="007B3790"/>
    <w:rsid w:val="007B37DE"/>
    <w:rsid w:val="007B39D7"/>
    <w:rsid w:val="007B3B7D"/>
    <w:rsid w:val="007B3BBE"/>
    <w:rsid w:val="007B3C70"/>
    <w:rsid w:val="007B3D7E"/>
    <w:rsid w:val="007B4208"/>
    <w:rsid w:val="007B460D"/>
    <w:rsid w:val="007B476C"/>
    <w:rsid w:val="007B4937"/>
    <w:rsid w:val="007B4E14"/>
    <w:rsid w:val="007B4E1A"/>
    <w:rsid w:val="007B4E36"/>
    <w:rsid w:val="007B4E92"/>
    <w:rsid w:val="007B507B"/>
    <w:rsid w:val="007B51AE"/>
    <w:rsid w:val="007B52EB"/>
    <w:rsid w:val="007B55D1"/>
    <w:rsid w:val="007B577D"/>
    <w:rsid w:val="007B5E4C"/>
    <w:rsid w:val="007B5F8B"/>
    <w:rsid w:val="007B620F"/>
    <w:rsid w:val="007B646A"/>
    <w:rsid w:val="007B6A50"/>
    <w:rsid w:val="007B6ACA"/>
    <w:rsid w:val="007B6B6A"/>
    <w:rsid w:val="007B6B74"/>
    <w:rsid w:val="007B6BC4"/>
    <w:rsid w:val="007B6D69"/>
    <w:rsid w:val="007B6DAC"/>
    <w:rsid w:val="007B6DC0"/>
    <w:rsid w:val="007B6DE6"/>
    <w:rsid w:val="007B6EDE"/>
    <w:rsid w:val="007B7179"/>
    <w:rsid w:val="007B7316"/>
    <w:rsid w:val="007B73D8"/>
    <w:rsid w:val="007B75A8"/>
    <w:rsid w:val="007B769C"/>
    <w:rsid w:val="007B7752"/>
    <w:rsid w:val="007B77E0"/>
    <w:rsid w:val="007B78B4"/>
    <w:rsid w:val="007B796B"/>
    <w:rsid w:val="007B7978"/>
    <w:rsid w:val="007B7C58"/>
    <w:rsid w:val="007B7EAF"/>
    <w:rsid w:val="007B7F12"/>
    <w:rsid w:val="007C0383"/>
    <w:rsid w:val="007C065F"/>
    <w:rsid w:val="007C06C3"/>
    <w:rsid w:val="007C07C9"/>
    <w:rsid w:val="007C0F0B"/>
    <w:rsid w:val="007C10B4"/>
    <w:rsid w:val="007C12F0"/>
    <w:rsid w:val="007C1647"/>
    <w:rsid w:val="007C1713"/>
    <w:rsid w:val="007C176E"/>
    <w:rsid w:val="007C1DBF"/>
    <w:rsid w:val="007C1E47"/>
    <w:rsid w:val="007C218C"/>
    <w:rsid w:val="007C2273"/>
    <w:rsid w:val="007C2510"/>
    <w:rsid w:val="007C2747"/>
    <w:rsid w:val="007C2AFE"/>
    <w:rsid w:val="007C2D0B"/>
    <w:rsid w:val="007C3098"/>
    <w:rsid w:val="007C32AD"/>
    <w:rsid w:val="007C34D5"/>
    <w:rsid w:val="007C3789"/>
    <w:rsid w:val="007C3BC9"/>
    <w:rsid w:val="007C4101"/>
    <w:rsid w:val="007C4162"/>
    <w:rsid w:val="007C4375"/>
    <w:rsid w:val="007C495A"/>
    <w:rsid w:val="007C4D80"/>
    <w:rsid w:val="007C535A"/>
    <w:rsid w:val="007C5A19"/>
    <w:rsid w:val="007C5B06"/>
    <w:rsid w:val="007C5F26"/>
    <w:rsid w:val="007C604C"/>
    <w:rsid w:val="007C6101"/>
    <w:rsid w:val="007C6402"/>
    <w:rsid w:val="007C669A"/>
    <w:rsid w:val="007C6802"/>
    <w:rsid w:val="007C6813"/>
    <w:rsid w:val="007C7068"/>
    <w:rsid w:val="007C70DF"/>
    <w:rsid w:val="007C7310"/>
    <w:rsid w:val="007C73C0"/>
    <w:rsid w:val="007C76D7"/>
    <w:rsid w:val="007C7804"/>
    <w:rsid w:val="007C7976"/>
    <w:rsid w:val="007C7AA9"/>
    <w:rsid w:val="007C7D0A"/>
    <w:rsid w:val="007D0435"/>
    <w:rsid w:val="007D0551"/>
    <w:rsid w:val="007D075A"/>
    <w:rsid w:val="007D16A0"/>
    <w:rsid w:val="007D16A5"/>
    <w:rsid w:val="007D1830"/>
    <w:rsid w:val="007D18E8"/>
    <w:rsid w:val="007D1B05"/>
    <w:rsid w:val="007D1C3D"/>
    <w:rsid w:val="007D1DC2"/>
    <w:rsid w:val="007D1EDB"/>
    <w:rsid w:val="007D243D"/>
    <w:rsid w:val="007D2AE3"/>
    <w:rsid w:val="007D2AEB"/>
    <w:rsid w:val="007D2C2A"/>
    <w:rsid w:val="007D2E40"/>
    <w:rsid w:val="007D2FF3"/>
    <w:rsid w:val="007D3052"/>
    <w:rsid w:val="007D30D5"/>
    <w:rsid w:val="007D31C3"/>
    <w:rsid w:val="007D32E8"/>
    <w:rsid w:val="007D3362"/>
    <w:rsid w:val="007D33B9"/>
    <w:rsid w:val="007D3436"/>
    <w:rsid w:val="007D34CC"/>
    <w:rsid w:val="007D3741"/>
    <w:rsid w:val="007D3759"/>
    <w:rsid w:val="007D38B6"/>
    <w:rsid w:val="007D395A"/>
    <w:rsid w:val="007D39E4"/>
    <w:rsid w:val="007D3AF5"/>
    <w:rsid w:val="007D3CEC"/>
    <w:rsid w:val="007D3DDD"/>
    <w:rsid w:val="007D3F38"/>
    <w:rsid w:val="007D4132"/>
    <w:rsid w:val="007D4175"/>
    <w:rsid w:val="007D4382"/>
    <w:rsid w:val="007D4781"/>
    <w:rsid w:val="007D4858"/>
    <w:rsid w:val="007D4959"/>
    <w:rsid w:val="007D4E2C"/>
    <w:rsid w:val="007D4F16"/>
    <w:rsid w:val="007D52FF"/>
    <w:rsid w:val="007D55B4"/>
    <w:rsid w:val="007D5879"/>
    <w:rsid w:val="007D592C"/>
    <w:rsid w:val="007D5A96"/>
    <w:rsid w:val="007D5B95"/>
    <w:rsid w:val="007D5B9F"/>
    <w:rsid w:val="007D5F72"/>
    <w:rsid w:val="007D603C"/>
    <w:rsid w:val="007D607E"/>
    <w:rsid w:val="007D62BC"/>
    <w:rsid w:val="007D6303"/>
    <w:rsid w:val="007D6589"/>
    <w:rsid w:val="007D66A6"/>
    <w:rsid w:val="007D6819"/>
    <w:rsid w:val="007D68E4"/>
    <w:rsid w:val="007D6ADD"/>
    <w:rsid w:val="007D6AED"/>
    <w:rsid w:val="007D6CDD"/>
    <w:rsid w:val="007D70F1"/>
    <w:rsid w:val="007D71AF"/>
    <w:rsid w:val="007D7206"/>
    <w:rsid w:val="007D72AB"/>
    <w:rsid w:val="007D72B2"/>
    <w:rsid w:val="007D734B"/>
    <w:rsid w:val="007D7501"/>
    <w:rsid w:val="007D7AA8"/>
    <w:rsid w:val="007D7C2F"/>
    <w:rsid w:val="007D7DF0"/>
    <w:rsid w:val="007E0013"/>
    <w:rsid w:val="007E02E2"/>
    <w:rsid w:val="007E0464"/>
    <w:rsid w:val="007E0614"/>
    <w:rsid w:val="007E0651"/>
    <w:rsid w:val="007E0886"/>
    <w:rsid w:val="007E0AA2"/>
    <w:rsid w:val="007E0D5E"/>
    <w:rsid w:val="007E0DE4"/>
    <w:rsid w:val="007E0EDF"/>
    <w:rsid w:val="007E1005"/>
    <w:rsid w:val="007E146E"/>
    <w:rsid w:val="007E19C5"/>
    <w:rsid w:val="007E19E7"/>
    <w:rsid w:val="007E1CD0"/>
    <w:rsid w:val="007E1E91"/>
    <w:rsid w:val="007E1EBB"/>
    <w:rsid w:val="007E1FA3"/>
    <w:rsid w:val="007E2168"/>
    <w:rsid w:val="007E256D"/>
    <w:rsid w:val="007E26F5"/>
    <w:rsid w:val="007E2A86"/>
    <w:rsid w:val="007E2BAB"/>
    <w:rsid w:val="007E2E59"/>
    <w:rsid w:val="007E301E"/>
    <w:rsid w:val="007E325E"/>
    <w:rsid w:val="007E32D1"/>
    <w:rsid w:val="007E332A"/>
    <w:rsid w:val="007E3434"/>
    <w:rsid w:val="007E3489"/>
    <w:rsid w:val="007E34A7"/>
    <w:rsid w:val="007E358A"/>
    <w:rsid w:val="007E3594"/>
    <w:rsid w:val="007E35AD"/>
    <w:rsid w:val="007E3765"/>
    <w:rsid w:val="007E3842"/>
    <w:rsid w:val="007E3927"/>
    <w:rsid w:val="007E3991"/>
    <w:rsid w:val="007E3A97"/>
    <w:rsid w:val="007E3A9B"/>
    <w:rsid w:val="007E3C00"/>
    <w:rsid w:val="007E3D10"/>
    <w:rsid w:val="007E4057"/>
    <w:rsid w:val="007E41B6"/>
    <w:rsid w:val="007E42CD"/>
    <w:rsid w:val="007E43F3"/>
    <w:rsid w:val="007E447F"/>
    <w:rsid w:val="007E44AA"/>
    <w:rsid w:val="007E47A2"/>
    <w:rsid w:val="007E48ED"/>
    <w:rsid w:val="007E4A60"/>
    <w:rsid w:val="007E4B97"/>
    <w:rsid w:val="007E4F3B"/>
    <w:rsid w:val="007E50A1"/>
    <w:rsid w:val="007E5107"/>
    <w:rsid w:val="007E5383"/>
    <w:rsid w:val="007E58A4"/>
    <w:rsid w:val="007E60CB"/>
    <w:rsid w:val="007E62EE"/>
    <w:rsid w:val="007E64C5"/>
    <w:rsid w:val="007E6906"/>
    <w:rsid w:val="007E6AAB"/>
    <w:rsid w:val="007E6C15"/>
    <w:rsid w:val="007E7164"/>
    <w:rsid w:val="007E72BA"/>
    <w:rsid w:val="007E745B"/>
    <w:rsid w:val="007E745F"/>
    <w:rsid w:val="007E757A"/>
    <w:rsid w:val="007E7659"/>
    <w:rsid w:val="007E76E7"/>
    <w:rsid w:val="007E791D"/>
    <w:rsid w:val="007E7960"/>
    <w:rsid w:val="007E7ED6"/>
    <w:rsid w:val="007E7F7A"/>
    <w:rsid w:val="007E7F91"/>
    <w:rsid w:val="007F01F7"/>
    <w:rsid w:val="007F022C"/>
    <w:rsid w:val="007F02B9"/>
    <w:rsid w:val="007F0515"/>
    <w:rsid w:val="007F0659"/>
    <w:rsid w:val="007F0C6A"/>
    <w:rsid w:val="007F0DAE"/>
    <w:rsid w:val="007F0E54"/>
    <w:rsid w:val="007F0E62"/>
    <w:rsid w:val="007F0EB5"/>
    <w:rsid w:val="007F0ED1"/>
    <w:rsid w:val="007F0FFE"/>
    <w:rsid w:val="007F104B"/>
    <w:rsid w:val="007F10B5"/>
    <w:rsid w:val="007F1177"/>
    <w:rsid w:val="007F1255"/>
    <w:rsid w:val="007F17DF"/>
    <w:rsid w:val="007F19CE"/>
    <w:rsid w:val="007F1B4F"/>
    <w:rsid w:val="007F1CA6"/>
    <w:rsid w:val="007F1CF1"/>
    <w:rsid w:val="007F1E42"/>
    <w:rsid w:val="007F1E67"/>
    <w:rsid w:val="007F1F7C"/>
    <w:rsid w:val="007F1F7F"/>
    <w:rsid w:val="007F21BB"/>
    <w:rsid w:val="007F22B4"/>
    <w:rsid w:val="007F2300"/>
    <w:rsid w:val="007F2350"/>
    <w:rsid w:val="007F256D"/>
    <w:rsid w:val="007F25FC"/>
    <w:rsid w:val="007F2943"/>
    <w:rsid w:val="007F2A7C"/>
    <w:rsid w:val="007F2D09"/>
    <w:rsid w:val="007F2F11"/>
    <w:rsid w:val="007F3146"/>
    <w:rsid w:val="007F323A"/>
    <w:rsid w:val="007F34E0"/>
    <w:rsid w:val="007F3508"/>
    <w:rsid w:val="007F3624"/>
    <w:rsid w:val="007F36D9"/>
    <w:rsid w:val="007F37A7"/>
    <w:rsid w:val="007F3895"/>
    <w:rsid w:val="007F3952"/>
    <w:rsid w:val="007F3A08"/>
    <w:rsid w:val="007F3A1B"/>
    <w:rsid w:val="007F3A34"/>
    <w:rsid w:val="007F3C2A"/>
    <w:rsid w:val="007F3D3B"/>
    <w:rsid w:val="007F3F5B"/>
    <w:rsid w:val="007F4065"/>
    <w:rsid w:val="007F4230"/>
    <w:rsid w:val="007F42C8"/>
    <w:rsid w:val="007F4318"/>
    <w:rsid w:val="007F436F"/>
    <w:rsid w:val="007F43F8"/>
    <w:rsid w:val="007F44BB"/>
    <w:rsid w:val="007F46E6"/>
    <w:rsid w:val="007F4CC5"/>
    <w:rsid w:val="007F4D9B"/>
    <w:rsid w:val="007F4E3B"/>
    <w:rsid w:val="007F4F2F"/>
    <w:rsid w:val="007F4F54"/>
    <w:rsid w:val="007F4F6F"/>
    <w:rsid w:val="007F4F81"/>
    <w:rsid w:val="007F5012"/>
    <w:rsid w:val="007F5045"/>
    <w:rsid w:val="007F51BE"/>
    <w:rsid w:val="007F523C"/>
    <w:rsid w:val="007F54E3"/>
    <w:rsid w:val="007F5718"/>
    <w:rsid w:val="007F57ED"/>
    <w:rsid w:val="007F5866"/>
    <w:rsid w:val="007F5B77"/>
    <w:rsid w:val="007F5B8E"/>
    <w:rsid w:val="007F5CC5"/>
    <w:rsid w:val="007F5D39"/>
    <w:rsid w:val="007F5E3A"/>
    <w:rsid w:val="007F5F42"/>
    <w:rsid w:val="007F6144"/>
    <w:rsid w:val="007F62C6"/>
    <w:rsid w:val="007F6655"/>
    <w:rsid w:val="007F66B2"/>
    <w:rsid w:val="007F6768"/>
    <w:rsid w:val="007F68D5"/>
    <w:rsid w:val="007F6A93"/>
    <w:rsid w:val="007F6C7D"/>
    <w:rsid w:val="007F6EA3"/>
    <w:rsid w:val="007F7146"/>
    <w:rsid w:val="007F71CB"/>
    <w:rsid w:val="007F7384"/>
    <w:rsid w:val="007F7684"/>
    <w:rsid w:val="007F77F7"/>
    <w:rsid w:val="007F7890"/>
    <w:rsid w:val="007F7BCF"/>
    <w:rsid w:val="007F7DEF"/>
    <w:rsid w:val="008003E2"/>
    <w:rsid w:val="00800548"/>
    <w:rsid w:val="008006AF"/>
    <w:rsid w:val="008007D6"/>
    <w:rsid w:val="008008C6"/>
    <w:rsid w:val="00800AE0"/>
    <w:rsid w:val="00800C58"/>
    <w:rsid w:val="00800D62"/>
    <w:rsid w:val="00800DC1"/>
    <w:rsid w:val="00801039"/>
    <w:rsid w:val="0080108A"/>
    <w:rsid w:val="008013D3"/>
    <w:rsid w:val="0080166F"/>
    <w:rsid w:val="00801B95"/>
    <w:rsid w:val="00801B9A"/>
    <w:rsid w:val="00801DC5"/>
    <w:rsid w:val="00801F3C"/>
    <w:rsid w:val="00802026"/>
    <w:rsid w:val="0080216C"/>
    <w:rsid w:val="00802B6C"/>
    <w:rsid w:val="00802C52"/>
    <w:rsid w:val="00802FCD"/>
    <w:rsid w:val="008031D5"/>
    <w:rsid w:val="0080334C"/>
    <w:rsid w:val="0080347F"/>
    <w:rsid w:val="00803593"/>
    <w:rsid w:val="008035E2"/>
    <w:rsid w:val="00803EEB"/>
    <w:rsid w:val="00803F49"/>
    <w:rsid w:val="0080401C"/>
    <w:rsid w:val="008041C9"/>
    <w:rsid w:val="0080428D"/>
    <w:rsid w:val="0080429E"/>
    <w:rsid w:val="00804432"/>
    <w:rsid w:val="00804538"/>
    <w:rsid w:val="008046A1"/>
    <w:rsid w:val="00804794"/>
    <w:rsid w:val="0080481C"/>
    <w:rsid w:val="00804913"/>
    <w:rsid w:val="00804A23"/>
    <w:rsid w:val="00804AE8"/>
    <w:rsid w:val="0080510A"/>
    <w:rsid w:val="0080517A"/>
    <w:rsid w:val="00805193"/>
    <w:rsid w:val="0080519A"/>
    <w:rsid w:val="008053F7"/>
    <w:rsid w:val="00805494"/>
    <w:rsid w:val="00805838"/>
    <w:rsid w:val="00805940"/>
    <w:rsid w:val="0080595C"/>
    <w:rsid w:val="00805CA1"/>
    <w:rsid w:val="00805E79"/>
    <w:rsid w:val="00805F22"/>
    <w:rsid w:val="00805F26"/>
    <w:rsid w:val="008060C6"/>
    <w:rsid w:val="00806104"/>
    <w:rsid w:val="008061ED"/>
    <w:rsid w:val="00806377"/>
    <w:rsid w:val="008063B1"/>
    <w:rsid w:val="008064B5"/>
    <w:rsid w:val="00806776"/>
    <w:rsid w:val="008067A7"/>
    <w:rsid w:val="008067F3"/>
    <w:rsid w:val="0080689B"/>
    <w:rsid w:val="00806A39"/>
    <w:rsid w:val="00806EA0"/>
    <w:rsid w:val="00807145"/>
    <w:rsid w:val="00807389"/>
    <w:rsid w:val="008074C5"/>
    <w:rsid w:val="00807A56"/>
    <w:rsid w:val="00807D8C"/>
    <w:rsid w:val="00807DF6"/>
    <w:rsid w:val="00807ED1"/>
    <w:rsid w:val="0081049A"/>
    <w:rsid w:val="008105CF"/>
    <w:rsid w:val="008106EB"/>
    <w:rsid w:val="00810B51"/>
    <w:rsid w:val="00810CA7"/>
    <w:rsid w:val="00811098"/>
    <w:rsid w:val="008115BD"/>
    <w:rsid w:val="00811638"/>
    <w:rsid w:val="00811716"/>
    <w:rsid w:val="008117C6"/>
    <w:rsid w:val="00811948"/>
    <w:rsid w:val="00811A7D"/>
    <w:rsid w:val="00811BCB"/>
    <w:rsid w:val="00811CC9"/>
    <w:rsid w:val="00812287"/>
    <w:rsid w:val="008122AB"/>
    <w:rsid w:val="0081232D"/>
    <w:rsid w:val="008125F5"/>
    <w:rsid w:val="00812621"/>
    <w:rsid w:val="008127E9"/>
    <w:rsid w:val="008127F3"/>
    <w:rsid w:val="0081282A"/>
    <w:rsid w:val="00812EA9"/>
    <w:rsid w:val="00812FEC"/>
    <w:rsid w:val="00813344"/>
    <w:rsid w:val="0081336D"/>
    <w:rsid w:val="008134E2"/>
    <w:rsid w:val="008136FB"/>
    <w:rsid w:val="0081377A"/>
    <w:rsid w:val="008137A1"/>
    <w:rsid w:val="008139A4"/>
    <w:rsid w:val="008139B5"/>
    <w:rsid w:val="00813A81"/>
    <w:rsid w:val="00813ADF"/>
    <w:rsid w:val="00813DE1"/>
    <w:rsid w:val="00813F13"/>
    <w:rsid w:val="008141CE"/>
    <w:rsid w:val="00814422"/>
    <w:rsid w:val="008148C9"/>
    <w:rsid w:val="00814B0B"/>
    <w:rsid w:val="00814C69"/>
    <w:rsid w:val="008151EA"/>
    <w:rsid w:val="00815382"/>
    <w:rsid w:val="00815544"/>
    <w:rsid w:val="00815589"/>
    <w:rsid w:val="008158C2"/>
    <w:rsid w:val="008159A9"/>
    <w:rsid w:val="00815C4A"/>
    <w:rsid w:val="00815D11"/>
    <w:rsid w:val="00815EDB"/>
    <w:rsid w:val="00816026"/>
    <w:rsid w:val="008163E7"/>
    <w:rsid w:val="008166C5"/>
    <w:rsid w:val="0081675A"/>
    <w:rsid w:val="00816AAF"/>
    <w:rsid w:val="00816ABC"/>
    <w:rsid w:val="00816CBC"/>
    <w:rsid w:val="00816D85"/>
    <w:rsid w:val="00816E06"/>
    <w:rsid w:val="008173AE"/>
    <w:rsid w:val="008173DE"/>
    <w:rsid w:val="0081749D"/>
    <w:rsid w:val="00817E0E"/>
    <w:rsid w:val="00817F9E"/>
    <w:rsid w:val="00820011"/>
    <w:rsid w:val="0082001A"/>
    <w:rsid w:val="008200F2"/>
    <w:rsid w:val="008201FA"/>
    <w:rsid w:val="0082022D"/>
    <w:rsid w:val="00820252"/>
    <w:rsid w:val="00820274"/>
    <w:rsid w:val="00820418"/>
    <w:rsid w:val="008207F6"/>
    <w:rsid w:val="00820ACF"/>
    <w:rsid w:val="00820C57"/>
    <w:rsid w:val="00821048"/>
    <w:rsid w:val="0082106B"/>
    <w:rsid w:val="0082115A"/>
    <w:rsid w:val="00821222"/>
    <w:rsid w:val="00821590"/>
    <w:rsid w:val="008219D2"/>
    <w:rsid w:val="008219F3"/>
    <w:rsid w:val="00821A9D"/>
    <w:rsid w:val="00821AFF"/>
    <w:rsid w:val="00821DA0"/>
    <w:rsid w:val="00821DF0"/>
    <w:rsid w:val="00822144"/>
    <w:rsid w:val="008221A0"/>
    <w:rsid w:val="00822433"/>
    <w:rsid w:val="0082268A"/>
    <w:rsid w:val="008226CC"/>
    <w:rsid w:val="008226FE"/>
    <w:rsid w:val="008228AA"/>
    <w:rsid w:val="00822A1E"/>
    <w:rsid w:val="00822AE8"/>
    <w:rsid w:val="00822B6D"/>
    <w:rsid w:val="00822F19"/>
    <w:rsid w:val="00822FD1"/>
    <w:rsid w:val="00823039"/>
    <w:rsid w:val="008233D8"/>
    <w:rsid w:val="0082355E"/>
    <w:rsid w:val="0082428F"/>
    <w:rsid w:val="00824456"/>
    <w:rsid w:val="0082459D"/>
    <w:rsid w:val="00824815"/>
    <w:rsid w:val="008249B8"/>
    <w:rsid w:val="00824A7A"/>
    <w:rsid w:val="00824AF3"/>
    <w:rsid w:val="00824DD6"/>
    <w:rsid w:val="00824E42"/>
    <w:rsid w:val="008250C5"/>
    <w:rsid w:val="00825300"/>
    <w:rsid w:val="008257E4"/>
    <w:rsid w:val="00825B4A"/>
    <w:rsid w:val="00825B56"/>
    <w:rsid w:val="00825CD2"/>
    <w:rsid w:val="00825D3C"/>
    <w:rsid w:val="00825EF0"/>
    <w:rsid w:val="008262DE"/>
    <w:rsid w:val="008263B3"/>
    <w:rsid w:val="00826696"/>
    <w:rsid w:val="008267F7"/>
    <w:rsid w:val="00826903"/>
    <w:rsid w:val="0082697A"/>
    <w:rsid w:val="00826AD7"/>
    <w:rsid w:val="00826B8A"/>
    <w:rsid w:val="00826B8F"/>
    <w:rsid w:val="00826CF1"/>
    <w:rsid w:val="00826ECA"/>
    <w:rsid w:val="00826F19"/>
    <w:rsid w:val="00826FC3"/>
    <w:rsid w:val="008272DA"/>
    <w:rsid w:val="008272E4"/>
    <w:rsid w:val="0082730B"/>
    <w:rsid w:val="00827407"/>
    <w:rsid w:val="00827552"/>
    <w:rsid w:val="008275CF"/>
    <w:rsid w:val="00827969"/>
    <w:rsid w:val="00827C95"/>
    <w:rsid w:val="0083005D"/>
    <w:rsid w:val="0083007B"/>
    <w:rsid w:val="00830436"/>
    <w:rsid w:val="00830514"/>
    <w:rsid w:val="00830924"/>
    <w:rsid w:val="00830B53"/>
    <w:rsid w:val="00830C49"/>
    <w:rsid w:val="00830DE9"/>
    <w:rsid w:val="00830F90"/>
    <w:rsid w:val="008311B2"/>
    <w:rsid w:val="00831249"/>
    <w:rsid w:val="0083158B"/>
    <w:rsid w:val="0083174A"/>
    <w:rsid w:val="0083176F"/>
    <w:rsid w:val="0083180D"/>
    <w:rsid w:val="00831829"/>
    <w:rsid w:val="00831ADA"/>
    <w:rsid w:val="00831BEF"/>
    <w:rsid w:val="00832048"/>
    <w:rsid w:val="00832235"/>
    <w:rsid w:val="00832370"/>
    <w:rsid w:val="0083242C"/>
    <w:rsid w:val="00832C28"/>
    <w:rsid w:val="00832C2C"/>
    <w:rsid w:val="00832E5D"/>
    <w:rsid w:val="008331D7"/>
    <w:rsid w:val="0083332B"/>
    <w:rsid w:val="008335B4"/>
    <w:rsid w:val="00833756"/>
    <w:rsid w:val="008338DA"/>
    <w:rsid w:val="008339FC"/>
    <w:rsid w:val="00833B45"/>
    <w:rsid w:val="00833B64"/>
    <w:rsid w:val="00833BBD"/>
    <w:rsid w:val="00833DC9"/>
    <w:rsid w:val="00833F30"/>
    <w:rsid w:val="00833F9F"/>
    <w:rsid w:val="008340FC"/>
    <w:rsid w:val="008340FD"/>
    <w:rsid w:val="0083411F"/>
    <w:rsid w:val="008342C8"/>
    <w:rsid w:val="00834419"/>
    <w:rsid w:val="00834870"/>
    <w:rsid w:val="008348D3"/>
    <w:rsid w:val="00834B7F"/>
    <w:rsid w:val="00834DCE"/>
    <w:rsid w:val="00834FAC"/>
    <w:rsid w:val="008353E3"/>
    <w:rsid w:val="0083546C"/>
    <w:rsid w:val="0083551A"/>
    <w:rsid w:val="008356C4"/>
    <w:rsid w:val="00835A89"/>
    <w:rsid w:val="00835F8A"/>
    <w:rsid w:val="0083646A"/>
    <w:rsid w:val="00836493"/>
    <w:rsid w:val="0083685E"/>
    <w:rsid w:val="00836AE4"/>
    <w:rsid w:val="00836BC2"/>
    <w:rsid w:val="00837043"/>
    <w:rsid w:val="0083704F"/>
    <w:rsid w:val="008373D1"/>
    <w:rsid w:val="008374E1"/>
    <w:rsid w:val="008377E4"/>
    <w:rsid w:val="008379D3"/>
    <w:rsid w:val="00837A41"/>
    <w:rsid w:val="00837EBB"/>
    <w:rsid w:val="00837F70"/>
    <w:rsid w:val="00837FFE"/>
    <w:rsid w:val="00840003"/>
    <w:rsid w:val="00840478"/>
    <w:rsid w:val="0084060B"/>
    <w:rsid w:val="0084087C"/>
    <w:rsid w:val="0084088B"/>
    <w:rsid w:val="0084089B"/>
    <w:rsid w:val="008409A0"/>
    <w:rsid w:val="00840A66"/>
    <w:rsid w:val="00840E18"/>
    <w:rsid w:val="00841056"/>
    <w:rsid w:val="008410E7"/>
    <w:rsid w:val="008414D6"/>
    <w:rsid w:val="008414DF"/>
    <w:rsid w:val="0084152D"/>
    <w:rsid w:val="008416A6"/>
    <w:rsid w:val="00841AD5"/>
    <w:rsid w:val="00841AD9"/>
    <w:rsid w:val="00841D79"/>
    <w:rsid w:val="00842016"/>
    <w:rsid w:val="0084202B"/>
    <w:rsid w:val="0084216A"/>
    <w:rsid w:val="008421A8"/>
    <w:rsid w:val="008421F7"/>
    <w:rsid w:val="0084229A"/>
    <w:rsid w:val="0084245A"/>
    <w:rsid w:val="008424BD"/>
    <w:rsid w:val="00842681"/>
    <w:rsid w:val="00842781"/>
    <w:rsid w:val="0084280C"/>
    <w:rsid w:val="00842853"/>
    <w:rsid w:val="008429B2"/>
    <w:rsid w:val="00842A2F"/>
    <w:rsid w:val="00842DE1"/>
    <w:rsid w:val="00842DFF"/>
    <w:rsid w:val="00842E26"/>
    <w:rsid w:val="00842EFD"/>
    <w:rsid w:val="008430C2"/>
    <w:rsid w:val="008431AE"/>
    <w:rsid w:val="00843314"/>
    <w:rsid w:val="00843390"/>
    <w:rsid w:val="008433DE"/>
    <w:rsid w:val="0084340A"/>
    <w:rsid w:val="0084366F"/>
    <w:rsid w:val="00843977"/>
    <w:rsid w:val="008439DB"/>
    <w:rsid w:val="00843E0D"/>
    <w:rsid w:val="00843E28"/>
    <w:rsid w:val="0084409C"/>
    <w:rsid w:val="0084434E"/>
    <w:rsid w:val="008443EA"/>
    <w:rsid w:val="008443F3"/>
    <w:rsid w:val="008447BA"/>
    <w:rsid w:val="008449F2"/>
    <w:rsid w:val="00844AA2"/>
    <w:rsid w:val="008451AD"/>
    <w:rsid w:val="00845327"/>
    <w:rsid w:val="008453A9"/>
    <w:rsid w:val="008453E3"/>
    <w:rsid w:val="008453F7"/>
    <w:rsid w:val="00845772"/>
    <w:rsid w:val="0084584A"/>
    <w:rsid w:val="00845BEE"/>
    <w:rsid w:val="00845CA1"/>
    <w:rsid w:val="00845CB8"/>
    <w:rsid w:val="00845CFB"/>
    <w:rsid w:val="00845EF1"/>
    <w:rsid w:val="00845EFA"/>
    <w:rsid w:val="00846023"/>
    <w:rsid w:val="0084617F"/>
    <w:rsid w:val="008461F6"/>
    <w:rsid w:val="00846293"/>
    <w:rsid w:val="0084648A"/>
    <w:rsid w:val="0084658A"/>
    <w:rsid w:val="008465AD"/>
    <w:rsid w:val="008465CD"/>
    <w:rsid w:val="0084672E"/>
    <w:rsid w:val="00846BB9"/>
    <w:rsid w:val="00846D63"/>
    <w:rsid w:val="00846E4E"/>
    <w:rsid w:val="00846F1F"/>
    <w:rsid w:val="00846F74"/>
    <w:rsid w:val="00847244"/>
    <w:rsid w:val="0084735A"/>
    <w:rsid w:val="00847489"/>
    <w:rsid w:val="00847BE1"/>
    <w:rsid w:val="00847C70"/>
    <w:rsid w:val="00850045"/>
    <w:rsid w:val="0085005E"/>
    <w:rsid w:val="00850091"/>
    <w:rsid w:val="008501EA"/>
    <w:rsid w:val="00850261"/>
    <w:rsid w:val="00850362"/>
    <w:rsid w:val="008503D5"/>
    <w:rsid w:val="008504C8"/>
    <w:rsid w:val="008506ED"/>
    <w:rsid w:val="00850771"/>
    <w:rsid w:val="0085077E"/>
    <w:rsid w:val="008508A1"/>
    <w:rsid w:val="00850D53"/>
    <w:rsid w:val="00850F6D"/>
    <w:rsid w:val="008510D0"/>
    <w:rsid w:val="00851316"/>
    <w:rsid w:val="0085138A"/>
    <w:rsid w:val="00851758"/>
    <w:rsid w:val="0085180D"/>
    <w:rsid w:val="00851BF5"/>
    <w:rsid w:val="00851BF7"/>
    <w:rsid w:val="00851DE6"/>
    <w:rsid w:val="00851EC7"/>
    <w:rsid w:val="00851F70"/>
    <w:rsid w:val="0085231E"/>
    <w:rsid w:val="00852358"/>
    <w:rsid w:val="008523C4"/>
    <w:rsid w:val="0085256C"/>
    <w:rsid w:val="00852610"/>
    <w:rsid w:val="00852A7E"/>
    <w:rsid w:val="00852B38"/>
    <w:rsid w:val="00852BB1"/>
    <w:rsid w:val="00852FBD"/>
    <w:rsid w:val="008530CB"/>
    <w:rsid w:val="008530E7"/>
    <w:rsid w:val="0085314F"/>
    <w:rsid w:val="008531D1"/>
    <w:rsid w:val="00853463"/>
    <w:rsid w:val="008537E4"/>
    <w:rsid w:val="0085384B"/>
    <w:rsid w:val="0085387C"/>
    <w:rsid w:val="008538FA"/>
    <w:rsid w:val="00853A07"/>
    <w:rsid w:val="008541BB"/>
    <w:rsid w:val="00854395"/>
    <w:rsid w:val="00854488"/>
    <w:rsid w:val="008547E7"/>
    <w:rsid w:val="00854A1A"/>
    <w:rsid w:val="00854A75"/>
    <w:rsid w:val="00854DD8"/>
    <w:rsid w:val="00854E47"/>
    <w:rsid w:val="00854EF3"/>
    <w:rsid w:val="00854F38"/>
    <w:rsid w:val="00854FFD"/>
    <w:rsid w:val="0085500D"/>
    <w:rsid w:val="00855025"/>
    <w:rsid w:val="008552D8"/>
    <w:rsid w:val="008553C0"/>
    <w:rsid w:val="0085546F"/>
    <w:rsid w:val="0085588C"/>
    <w:rsid w:val="00855A43"/>
    <w:rsid w:val="00855A68"/>
    <w:rsid w:val="00855C64"/>
    <w:rsid w:val="00855E16"/>
    <w:rsid w:val="00856188"/>
    <w:rsid w:val="008564C1"/>
    <w:rsid w:val="00856592"/>
    <w:rsid w:val="00856684"/>
    <w:rsid w:val="008567DC"/>
    <w:rsid w:val="0085696C"/>
    <w:rsid w:val="00856976"/>
    <w:rsid w:val="0085709B"/>
    <w:rsid w:val="00857228"/>
    <w:rsid w:val="0085733E"/>
    <w:rsid w:val="008573CA"/>
    <w:rsid w:val="00857508"/>
    <w:rsid w:val="008579AD"/>
    <w:rsid w:val="00857A63"/>
    <w:rsid w:val="00857A65"/>
    <w:rsid w:val="00857A72"/>
    <w:rsid w:val="00857B5F"/>
    <w:rsid w:val="00857B64"/>
    <w:rsid w:val="00857BD3"/>
    <w:rsid w:val="00857CE4"/>
    <w:rsid w:val="00857DB2"/>
    <w:rsid w:val="00857E32"/>
    <w:rsid w:val="00857EE2"/>
    <w:rsid w:val="00857F2D"/>
    <w:rsid w:val="0086040A"/>
    <w:rsid w:val="008604FB"/>
    <w:rsid w:val="00860569"/>
    <w:rsid w:val="008608AC"/>
    <w:rsid w:val="00860AAD"/>
    <w:rsid w:val="00860AB0"/>
    <w:rsid w:val="00860AFF"/>
    <w:rsid w:val="00860E1C"/>
    <w:rsid w:val="00861301"/>
    <w:rsid w:val="008613F8"/>
    <w:rsid w:val="00861838"/>
    <w:rsid w:val="00861899"/>
    <w:rsid w:val="00861D82"/>
    <w:rsid w:val="00861D91"/>
    <w:rsid w:val="00861E97"/>
    <w:rsid w:val="00861FAF"/>
    <w:rsid w:val="00862546"/>
    <w:rsid w:val="00862567"/>
    <w:rsid w:val="008626DC"/>
    <w:rsid w:val="00862786"/>
    <w:rsid w:val="00862DF5"/>
    <w:rsid w:val="0086315D"/>
    <w:rsid w:val="008632A2"/>
    <w:rsid w:val="00863AB7"/>
    <w:rsid w:val="00863E48"/>
    <w:rsid w:val="00864119"/>
    <w:rsid w:val="0086424B"/>
    <w:rsid w:val="00864481"/>
    <w:rsid w:val="008646F2"/>
    <w:rsid w:val="0086473D"/>
    <w:rsid w:val="00864780"/>
    <w:rsid w:val="00864901"/>
    <w:rsid w:val="00864B29"/>
    <w:rsid w:val="00864B53"/>
    <w:rsid w:val="00864DE4"/>
    <w:rsid w:val="00864E0C"/>
    <w:rsid w:val="00864E5B"/>
    <w:rsid w:val="008650E3"/>
    <w:rsid w:val="008651EF"/>
    <w:rsid w:val="0086576A"/>
    <w:rsid w:val="00865A6F"/>
    <w:rsid w:val="00865B3B"/>
    <w:rsid w:val="00865C07"/>
    <w:rsid w:val="00865C55"/>
    <w:rsid w:val="00865DE4"/>
    <w:rsid w:val="00865F38"/>
    <w:rsid w:val="00866050"/>
    <w:rsid w:val="00866301"/>
    <w:rsid w:val="008664B4"/>
    <w:rsid w:val="00866567"/>
    <w:rsid w:val="00866585"/>
    <w:rsid w:val="008666C1"/>
    <w:rsid w:val="00866D7B"/>
    <w:rsid w:val="00866D93"/>
    <w:rsid w:val="00866E62"/>
    <w:rsid w:val="00866EC9"/>
    <w:rsid w:val="00867338"/>
    <w:rsid w:val="008673B7"/>
    <w:rsid w:val="008673FF"/>
    <w:rsid w:val="00867635"/>
    <w:rsid w:val="008678DF"/>
    <w:rsid w:val="00867A9A"/>
    <w:rsid w:val="00867BD5"/>
    <w:rsid w:val="00867C68"/>
    <w:rsid w:val="00867F0B"/>
    <w:rsid w:val="008700EF"/>
    <w:rsid w:val="008702B4"/>
    <w:rsid w:val="008705D2"/>
    <w:rsid w:val="008706A3"/>
    <w:rsid w:val="00870A01"/>
    <w:rsid w:val="00870A7E"/>
    <w:rsid w:val="00870A91"/>
    <w:rsid w:val="00870DFF"/>
    <w:rsid w:val="00871185"/>
    <w:rsid w:val="008712FB"/>
    <w:rsid w:val="008713B8"/>
    <w:rsid w:val="0087148C"/>
    <w:rsid w:val="00871CA1"/>
    <w:rsid w:val="00871CB9"/>
    <w:rsid w:val="00871ECC"/>
    <w:rsid w:val="00872104"/>
    <w:rsid w:val="0087231B"/>
    <w:rsid w:val="008723EB"/>
    <w:rsid w:val="008726B6"/>
    <w:rsid w:val="008727F1"/>
    <w:rsid w:val="00872A13"/>
    <w:rsid w:val="00872DA6"/>
    <w:rsid w:val="00872DFD"/>
    <w:rsid w:val="00872E98"/>
    <w:rsid w:val="00872EEC"/>
    <w:rsid w:val="00873098"/>
    <w:rsid w:val="00873308"/>
    <w:rsid w:val="0087333D"/>
    <w:rsid w:val="0087340D"/>
    <w:rsid w:val="0087357D"/>
    <w:rsid w:val="0087366F"/>
    <w:rsid w:val="00873720"/>
    <w:rsid w:val="008738EE"/>
    <w:rsid w:val="00873B3D"/>
    <w:rsid w:val="00873B7E"/>
    <w:rsid w:val="00873D92"/>
    <w:rsid w:val="00873E77"/>
    <w:rsid w:val="00873FA8"/>
    <w:rsid w:val="00874146"/>
    <w:rsid w:val="00874226"/>
    <w:rsid w:val="0087429D"/>
    <w:rsid w:val="00874372"/>
    <w:rsid w:val="00874818"/>
    <w:rsid w:val="00874829"/>
    <w:rsid w:val="00874855"/>
    <w:rsid w:val="008749E9"/>
    <w:rsid w:val="00874A18"/>
    <w:rsid w:val="00874E79"/>
    <w:rsid w:val="00874EBC"/>
    <w:rsid w:val="00874FF4"/>
    <w:rsid w:val="008752B8"/>
    <w:rsid w:val="0087536B"/>
    <w:rsid w:val="0087539F"/>
    <w:rsid w:val="008756A6"/>
    <w:rsid w:val="0087570F"/>
    <w:rsid w:val="00875843"/>
    <w:rsid w:val="00875C90"/>
    <w:rsid w:val="00875D60"/>
    <w:rsid w:val="00875DB9"/>
    <w:rsid w:val="00876052"/>
    <w:rsid w:val="0087622B"/>
    <w:rsid w:val="00876236"/>
    <w:rsid w:val="00876478"/>
    <w:rsid w:val="00876716"/>
    <w:rsid w:val="0087679A"/>
    <w:rsid w:val="008767ED"/>
    <w:rsid w:val="0087685B"/>
    <w:rsid w:val="00876A85"/>
    <w:rsid w:val="00876E98"/>
    <w:rsid w:val="00877900"/>
    <w:rsid w:val="0087793D"/>
    <w:rsid w:val="008779BF"/>
    <w:rsid w:val="008800B5"/>
    <w:rsid w:val="008801D7"/>
    <w:rsid w:val="008801DB"/>
    <w:rsid w:val="008803D0"/>
    <w:rsid w:val="008804C7"/>
    <w:rsid w:val="008805E6"/>
    <w:rsid w:val="00880714"/>
    <w:rsid w:val="008809B4"/>
    <w:rsid w:val="00880A1D"/>
    <w:rsid w:val="00880BE4"/>
    <w:rsid w:val="00880E0B"/>
    <w:rsid w:val="00880E7D"/>
    <w:rsid w:val="008812C4"/>
    <w:rsid w:val="0088163D"/>
    <w:rsid w:val="008816C1"/>
    <w:rsid w:val="00881FA3"/>
    <w:rsid w:val="00882052"/>
    <w:rsid w:val="0088205E"/>
    <w:rsid w:val="00882065"/>
    <w:rsid w:val="0088215E"/>
    <w:rsid w:val="0088255B"/>
    <w:rsid w:val="00882686"/>
    <w:rsid w:val="00882881"/>
    <w:rsid w:val="00882997"/>
    <w:rsid w:val="008829AE"/>
    <w:rsid w:val="00883311"/>
    <w:rsid w:val="0088337A"/>
    <w:rsid w:val="008833D5"/>
    <w:rsid w:val="008835D9"/>
    <w:rsid w:val="008838AB"/>
    <w:rsid w:val="00883A02"/>
    <w:rsid w:val="00883CA4"/>
    <w:rsid w:val="0088404D"/>
    <w:rsid w:val="008840FA"/>
    <w:rsid w:val="008842CA"/>
    <w:rsid w:val="008847B9"/>
    <w:rsid w:val="00884800"/>
    <w:rsid w:val="008848D1"/>
    <w:rsid w:val="00884C51"/>
    <w:rsid w:val="00884DDF"/>
    <w:rsid w:val="00884E85"/>
    <w:rsid w:val="00884F22"/>
    <w:rsid w:val="0088547F"/>
    <w:rsid w:val="0088548F"/>
    <w:rsid w:val="0088573F"/>
    <w:rsid w:val="00885889"/>
    <w:rsid w:val="008858C6"/>
    <w:rsid w:val="0088597B"/>
    <w:rsid w:val="00885ADF"/>
    <w:rsid w:val="00885B07"/>
    <w:rsid w:val="00885B2C"/>
    <w:rsid w:val="00885C83"/>
    <w:rsid w:val="00885D05"/>
    <w:rsid w:val="00885E5A"/>
    <w:rsid w:val="00885E69"/>
    <w:rsid w:val="00886110"/>
    <w:rsid w:val="008865C3"/>
    <w:rsid w:val="0088678C"/>
    <w:rsid w:val="0088685A"/>
    <w:rsid w:val="00886988"/>
    <w:rsid w:val="00886A56"/>
    <w:rsid w:val="00886D88"/>
    <w:rsid w:val="00886F9F"/>
    <w:rsid w:val="0088729B"/>
    <w:rsid w:val="008872BE"/>
    <w:rsid w:val="008876D1"/>
    <w:rsid w:val="00887726"/>
    <w:rsid w:val="008879D6"/>
    <w:rsid w:val="00887BC7"/>
    <w:rsid w:val="008902D7"/>
    <w:rsid w:val="008902DD"/>
    <w:rsid w:val="00890329"/>
    <w:rsid w:val="008903B6"/>
    <w:rsid w:val="0089069C"/>
    <w:rsid w:val="00890817"/>
    <w:rsid w:val="00890AC3"/>
    <w:rsid w:val="00890C34"/>
    <w:rsid w:val="00890EA0"/>
    <w:rsid w:val="00890EC3"/>
    <w:rsid w:val="00890F4F"/>
    <w:rsid w:val="00890FDD"/>
    <w:rsid w:val="00891055"/>
    <w:rsid w:val="0089157A"/>
    <w:rsid w:val="0089168A"/>
    <w:rsid w:val="00891735"/>
    <w:rsid w:val="00891879"/>
    <w:rsid w:val="008918B0"/>
    <w:rsid w:val="00891BE6"/>
    <w:rsid w:val="00891D72"/>
    <w:rsid w:val="00891F22"/>
    <w:rsid w:val="00891FB3"/>
    <w:rsid w:val="00891FCD"/>
    <w:rsid w:val="00892016"/>
    <w:rsid w:val="008921AC"/>
    <w:rsid w:val="008922B1"/>
    <w:rsid w:val="00892321"/>
    <w:rsid w:val="00892423"/>
    <w:rsid w:val="00892489"/>
    <w:rsid w:val="0089266A"/>
    <w:rsid w:val="0089273B"/>
    <w:rsid w:val="0089303D"/>
    <w:rsid w:val="0089348C"/>
    <w:rsid w:val="00893565"/>
    <w:rsid w:val="00893631"/>
    <w:rsid w:val="0089368B"/>
    <w:rsid w:val="008936D0"/>
    <w:rsid w:val="0089379C"/>
    <w:rsid w:val="00893833"/>
    <w:rsid w:val="00893876"/>
    <w:rsid w:val="008938F4"/>
    <w:rsid w:val="00893C16"/>
    <w:rsid w:val="00893DCC"/>
    <w:rsid w:val="00893E93"/>
    <w:rsid w:val="00893FED"/>
    <w:rsid w:val="008940DC"/>
    <w:rsid w:val="0089414A"/>
    <w:rsid w:val="00894250"/>
    <w:rsid w:val="008943C9"/>
    <w:rsid w:val="008943E0"/>
    <w:rsid w:val="008945A6"/>
    <w:rsid w:val="00894686"/>
    <w:rsid w:val="008947BE"/>
    <w:rsid w:val="00894E59"/>
    <w:rsid w:val="008951A8"/>
    <w:rsid w:val="00895294"/>
    <w:rsid w:val="0089539D"/>
    <w:rsid w:val="0089559F"/>
    <w:rsid w:val="00895705"/>
    <w:rsid w:val="00895BDC"/>
    <w:rsid w:val="00895DA1"/>
    <w:rsid w:val="00895F11"/>
    <w:rsid w:val="008961D9"/>
    <w:rsid w:val="00896346"/>
    <w:rsid w:val="0089636C"/>
    <w:rsid w:val="008963E6"/>
    <w:rsid w:val="0089642F"/>
    <w:rsid w:val="0089661F"/>
    <w:rsid w:val="00896621"/>
    <w:rsid w:val="00896691"/>
    <w:rsid w:val="00896727"/>
    <w:rsid w:val="0089680B"/>
    <w:rsid w:val="00896E74"/>
    <w:rsid w:val="00896FFA"/>
    <w:rsid w:val="008970F9"/>
    <w:rsid w:val="00897383"/>
    <w:rsid w:val="00897AE7"/>
    <w:rsid w:val="00897E3D"/>
    <w:rsid w:val="00897FDF"/>
    <w:rsid w:val="008A001E"/>
    <w:rsid w:val="008A03F7"/>
    <w:rsid w:val="008A0458"/>
    <w:rsid w:val="008A0527"/>
    <w:rsid w:val="008A0544"/>
    <w:rsid w:val="008A0667"/>
    <w:rsid w:val="008A08A1"/>
    <w:rsid w:val="008A096B"/>
    <w:rsid w:val="008A0C04"/>
    <w:rsid w:val="008A0F28"/>
    <w:rsid w:val="008A101F"/>
    <w:rsid w:val="008A1027"/>
    <w:rsid w:val="008A1227"/>
    <w:rsid w:val="008A13F1"/>
    <w:rsid w:val="008A15A4"/>
    <w:rsid w:val="008A1756"/>
    <w:rsid w:val="008A1949"/>
    <w:rsid w:val="008A2311"/>
    <w:rsid w:val="008A248A"/>
    <w:rsid w:val="008A2542"/>
    <w:rsid w:val="008A27CE"/>
    <w:rsid w:val="008A2908"/>
    <w:rsid w:val="008A2FE0"/>
    <w:rsid w:val="008A3195"/>
    <w:rsid w:val="008A321C"/>
    <w:rsid w:val="008A37D0"/>
    <w:rsid w:val="008A398F"/>
    <w:rsid w:val="008A3B28"/>
    <w:rsid w:val="008A3D2F"/>
    <w:rsid w:val="008A3E73"/>
    <w:rsid w:val="008A4155"/>
    <w:rsid w:val="008A431E"/>
    <w:rsid w:val="008A4A31"/>
    <w:rsid w:val="008A4BFF"/>
    <w:rsid w:val="008A4C3E"/>
    <w:rsid w:val="008A4DF6"/>
    <w:rsid w:val="008A52CA"/>
    <w:rsid w:val="008A54ED"/>
    <w:rsid w:val="008A595A"/>
    <w:rsid w:val="008A596E"/>
    <w:rsid w:val="008A5C32"/>
    <w:rsid w:val="008A5D26"/>
    <w:rsid w:val="008A5F85"/>
    <w:rsid w:val="008A6508"/>
    <w:rsid w:val="008A682F"/>
    <w:rsid w:val="008A69A6"/>
    <w:rsid w:val="008A6A62"/>
    <w:rsid w:val="008A6DB3"/>
    <w:rsid w:val="008A6E76"/>
    <w:rsid w:val="008A6EAA"/>
    <w:rsid w:val="008A6FAD"/>
    <w:rsid w:val="008A7060"/>
    <w:rsid w:val="008A7898"/>
    <w:rsid w:val="008A7C6A"/>
    <w:rsid w:val="008A7D97"/>
    <w:rsid w:val="008A7E29"/>
    <w:rsid w:val="008A7F6A"/>
    <w:rsid w:val="008A7F96"/>
    <w:rsid w:val="008B023D"/>
    <w:rsid w:val="008B03BB"/>
    <w:rsid w:val="008B0435"/>
    <w:rsid w:val="008B0448"/>
    <w:rsid w:val="008B057D"/>
    <w:rsid w:val="008B0687"/>
    <w:rsid w:val="008B0AF8"/>
    <w:rsid w:val="008B0CB0"/>
    <w:rsid w:val="008B0FD4"/>
    <w:rsid w:val="008B11AF"/>
    <w:rsid w:val="008B11BA"/>
    <w:rsid w:val="008B135F"/>
    <w:rsid w:val="008B13A6"/>
    <w:rsid w:val="008B13C8"/>
    <w:rsid w:val="008B14D9"/>
    <w:rsid w:val="008B1599"/>
    <w:rsid w:val="008B1D94"/>
    <w:rsid w:val="008B1DF0"/>
    <w:rsid w:val="008B1EB4"/>
    <w:rsid w:val="008B205A"/>
    <w:rsid w:val="008B2425"/>
    <w:rsid w:val="008B2983"/>
    <w:rsid w:val="008B2AC5"/>
    <w:rsid w:val="008B2B05"/>
    <w:rsid w:val="008B2D8F"/>
    <w:rsid w:val="008B2F02"/>
    <w:rsid w:val="008B2FE5"/>
    <w:rsid w:val="008B30CB"/>
    <w:rsid w:val="008B3576"/>
    <w:rsid w:val="008B37B8"/>
    <w:rsid w:val="008B42BE"/>
    <w:rsid w:val="008B47CC"/>
    <w:rsid w:val="008B4D72"/>
    <w:rsid w:val="008B5093"/>
    <w:rsid w:val="008B520E"/>
    <w:rsid w:val="008B525E"/>
    <w:rsid w:val="008B5454"/>
    <w:rsid w:val="008B54BF"/>
    <w:rsid w:val="008B5548"/>
    <w:rsid w:val="008B56B6"/>
    <w:rsid w:val="008B5857"/>
    <w:rsid w:val="008B58FE"/>
    <w:rsid w:val="008B5BBC"/>
    <w:rsid w:val="008B5C22"/>
    <w:rsid w:val="008B5D9A"/>
    <w:rsid w:val="008B5FD1"/>
    <w:rsid w:val="008B6064"/>
    <w:rsid w:val="008B62D2"/>
    <w:rsid w:val="008B694A"/>
    <w:rsid w:val="008B6A3F"/>
    <w:rsid w:val="008B6AFB"/>
    <w:rsid w:val="008B6F05"/>
    <w:rsid w:val="008B6F74"/>
    <w:rsid w:val="008B71D2"/>
    <w:rsid w:val="008B73D1"/>
    <w:rsid w:val="008B740A"/>
    <w:rsid w:val="008B77DC"/>
    <w:rsid w:val="008B79A5"/>
    <w:rsid w:val="008B7B0E"/>
    <w:rsid w:val="008C0031"/>
    <w:rsid w:val="008C01CE"/>
    <w:rsid w:val="008C01E8"/>
    <w:rsid w:val="008C03F9"/>
    <w:rsid w:val="008C064D"/>
    <w:rsid w:val="008C08C2"/>
    <w:rsid w:val="008C0914"/>
    <w:rsid w:val="008C0A03"/>
    <w:rsid w:val="008C0A96"/>
    <w:rsid w:val="008C0A9A"/>
    <w:rsid w:val="008C0B4A"/>
    <w:rsid w:val="008C0BCC"/>
    <w:rsid w:val="008C0D2F"/>
    <w:rsid w:val="008C0D9B"/>
    <w:rsid w:val="008C0F05"/>
    <w:rsid w:val="008C0F94"/>
    <w:rsid w:val="008C1553"/>
    <w:rsid w:val="008C166B"/>
    <w:rsid w:val="008C1AAC"/>
    <w:rsid w:val="008C1C11"/>
    <w:rsid w:val="008C1DD7"/>
    <w:rsid w:val="008C243E"/>
    <w:rsid w:val="008C248E"/>
    <w:rsid w:val="008C27F0"/>
    <w:rsid w:val="008C29DA"/>
    <w:rsid w:val="008C2B55"/>
    <w:rsid w:val="008C2B6B"/>
    <w:rsid w:val="008C2D12"/>
    <w:rsid w:val="008C2E31"/>
    <w:rsid w:val="008C2E34"/>
    <w:rsid w:val="008C2ED5"/>
    <w:rsid w:val="008C3256"/>
    <w:rsid w:val="008C381F"/>
    <w:rsid w:val="008C3AF6"/>
    <w:rsid w:val="008C3E28"/>
    <w:rsid w:val="008C4011"/>
    <w:rsid w:val="008C4509"/>
    <w:rsid w:val="008C45A7"/>
    <w:rsid w:val="008C4787"/>
    <w:rsid w:val="008C4BEA"/>
    <w:rsid w:val="008C4CB6"/>
    <w:rsid w:val="008C4D00"/>
    <w:rsid w:val="008C4D93"/>
    <w:rsid w:val="008C50A8"/>
    <w:rsid w:val="008C522E"/>
    <w:rsid w:val="008C532C"/>
    <w:rsid w:val="008C5349"/>
    <w:rsid w:val="008C5769"/>
    <w:rsid w:val="008C5922"/>
    <w:rsid w:val="008C59EA"/>
    <w:rsid w:val="008C5AE2"/>
    <w:rsid w:val="008C5B0E"/>
    <w:rsid w:val="008C5F5B"/>
    <w:rsid w:val="008C6213"/>
    <w:rsid w:val="008C68C9"/>
    <w:rsid w:val="008C6946"/>
    <w:rsid w:val="008C6AFD"/>
    <w:rsid w:val="008C6B17"/>
    <w:rsid w:val="008C6BF0"/>
    <w:rsid w:val="008C6CFD"/>
    <w:rsid w:val="008C6DDC"/>
    <w:rsid w:val="008C6F5E"/>
    <w:rsid w:val="008C6F69"/>
    <w:rsid w:val="008C70CA"/>
    <w:rsid w:val="008C710A"/>
    <w:rsid w:val="008C71E9"/>
    <w:rsid w:val="008C727A"/>
    <w:rsid w:val="008C747C"/>
    <w:rsid w:val="008C7481"/>
    <w:rsid w:val="008C74FB"/>
    <w:rsid w:val="008C759B"/>
    <w:rsid w:val="008C7697"/>
    <w:rsid w:val="008C79EF"/>
    <w:rsid w:val="008C7BFD"/>
    <w:rsid w:val="008C7C91"/>
    <w:rsid w:val="008C7E3E"/>
    <w:rsid w:val="008D00C3"/>
    <w:rsid w:val="008D00CD"/>
    <w:rsid w:val="008D02C5"/>
    <w:rsid w:val="008D036A"/>
    <w:rsid w:val="008D03C8"/>
    <w:rsid w:val="008D04B5"/>
    <w:rsid w:val="008D0632"/>
    <w:rsid w:val="008D066D"/>
    <w:rsid w:val="008D0792"/>
    <w:rsid w:val="008D07A9"/>
    <w:rsid w:val="008D07C8"/>
    <w:rsid w:val="008D082C"/>
    <w:rsid w:val="008D096C"/>
    <w:rsid w:val="008D09CE"/>
    <w:rsid w:val="008D0AFB"/>
    <w:rsid w:val="008D0CD3"/>
    <w:rsid w:val="008D0ED7"/>
    <w:rsid w:val="008D0EF1"/>
    <w:rsid w:val="008D0FDE"/>
    <w:rsid w:val="008D11FE"/>
    <w:rsid w:val="008D1298"/>
    <w:rsid w:val="008D1564"/>
    <w:rsid w:val="008D1594"/>
    <w:rsid w:val="008D17D1"/>
    <w:rsid w:val="008D1844"/>
    <w:rsid w:val="008D1870"/>
    <w:rsid w:val="008D1952"/>
    <w:rsid w:val="008D19AC"/>
    <w:rsid w:val="008D19DE"/>
    <w:rsid w:val="008D19EB"/>
    <w:rsid w:val="008D1A6D"/>
    <w:rsid w:val="008D1AD3"/>
    <w:rsid w:val="008D1B13"/>
    <w:rsid w:val="008D1BA8"/>
    <w:rsid w:val="008D1EC1"/>
    <w:rsid w:val="008D20FB"/>
    <w:rsid w:val="008D22ED"/>
    <w:rsid w:val="008D2650"/>
    <w:rsid w:val="008D27B1"/>
    <w:rsid w:val="008D2B23"/>
    <w:rsid w:val="008D2B85"/>
    <w:rsid w:val="008D2CB5"/>
    <w:rsid w:val="008D2EEC"/>
    <w:rsid w:val="008D2F23"/>
    <w:rsid w:val="008D2F78"/>
    <w:rsid w:val="008D32AF"/>
    <w:rsid w:val="008D362D"/>
    <w:rsid w:val="008D371D"/>
    <w:rsid w:val="008D3A25"/>
    <w:rsid w:val="008D3F07"/>
    <w:rsid w:val="008D40BB"/>
    <w:rsid w:val="008D4118"/>
    <w:rsid w:val="008D44EA"/>
    <w:rsid w:val="008D458F"/>
    <w:rsid w:val="008D4923"/>
    <w:rsid w:val="008D4A52"/>
    <w:rsid w:val="008D515F"/>
    <w:rsid w:val="008D576C"/>
    <w:rsid w:val="008D579B"/>
    <w:rsid w:val="008D57D4"/>
    <w:rsid w:val="008D58F1"/>
    <w:rsid w:val="008D5FD2"/>
    <w:rsid w:val="008D60E4"/>
    <w:rsid w:val="008D63A0"/>
    <w:rsid w:val="008D6735"/>
    <w:rsid w:val="008D67C1"/>
    <w:rsid w:val="008D67C4"/>
    <w:rsid w:val="008D68BC"/>
    <w:rsid w:val="008D6975"/>
    <w:rsid w:val="008D6B70"/>
    <w:rsid w:val="008D6D1C"/>
    <w:rsid w:val="008D6DC6"/>
    <w:rsid w:val="008D722E"/>
    <w:rsid w:val="008D7534"/>
    <w:rsid w:val="008D7593"/>
    <w:rsid w:val="008D75ED"/>
    <w:rsid w:val="008D77F2"/>
    <w:rsid w:val="008D7966"/>
    <w:rsid w:val="008D7C17"/>
    <w:rsid w:val="008D7E41"/>
    <w:rsid w:val="008D7F61"/>
    <w:rsid w:val="008D7FAC"/>
    <w:rsid w:val="008E0050"/>
    <w:rsid w:val="008E0097"/>
    <w:rsid w:val="008E0381"/>
    <w:rsid w:val="008E051F"/>
    <w:rsid w:val="008E05EB"/>
    <w:rsid w:val="008E0889"/>
    <w:rsid w:val="008E0B90"/>
    <w:rsid w:val="008E0C5E"/>
    <w:rsid w:val="008E0E53"/>
    <w:rsid w:val="008E1035"/>
    <w:rsid w:val="008E1050"/>
    <w:rsid w:val="008E1BA9"/>
    <w:rsid w:val="008E1C7A"/>
    <w:rsid w:val="008E1DA7"/>
    <w:rsid w:val="008E1EA8"/>
    <w:rsid w:val="008E2443"/>
    <w:rsid w:val="008E2830"/>
    <w:rsid w:val="008E2977"/>
    <w:rsid w:val="008E2A2B"/>
    <w:rsid w:val="008E2DE1"/>
    <w:rsid w:val="008E2E1B"/>
    <w:rsid w:val="008E2E8B"/>
    <w:rsid w:val="008E2F61"/>
    <w:rsid w:val="008E3128"/>
    <w:rsid w:val="008E3418"/>
    <w:rsid w:val="008E359D"/>
    <w:rsid w:val="008E3A08"/>
    <w:rsid w:val="008E3E0A"/>
    <w:rsid w:val="008E4374"/>
    <w:rsid w:val="008E4A1B"/>
    <w:rsid w:val="008E4B74"/>
    <w:rsid w:val="008E4B93"/>
    <w:rsid w:val="008E4BC7"/>
    <w:rsid w:val="008E4FB6"/>
    <w:rsid w:val="008E5144"/>
    <w:rsid w:val="008E53A1"/>
    <w:rsid w:val="008E55E5"/>
    <w:rsid w:val="008E5693"/>
    <w:rsid w:val="008E5807"/>
    <w:rsid w:val="008E5DAB"/>
    <w:rsid w:val="008E5E71"/>
    <w:rsid w:val="008E608B"/>
    <w:rsid w:val="008E60D3"/>
    <w:rsid w:val="008E64E2"/>
    <w:rsid w:val="008E6859"/>
    <w:rsid w:val="008E6A8D"/>
    <w:rsid w:val="008E6B80"/>
    <w:rsid w:val="008E6E52"/>
    <w:rsid w:val="008E70BE"/>
    <w:rsid w:val="008E7141"/>
    <w:rsid w:val="008E71A9"/>
    <w:rsid w:val="008E7C57"/>
    <w:rsid w:val="008E7E60"/>
    <w:rsid w:val="008E7EA6"/>
    <w:rsid w:val="008E7FA9"/>
    <w:rsid w:val="008F0043"/>
    <w:rsid w:val="008F009D"/>
    <w:rsid w:val="008F0130"/>
    <w:rsid w:val="008F0389"/>
    <w:rsid w:val="008F0393"/>
    <w:rsid w:val="008F0472"/>
    <w:rsid w:val="008F0600"/>
    <w:rsid w:val="008F09ED"/>
    <w:rsid w:val="008F0CB0"/>
    <w:rsid w:val="008F1097"/>
    <w:rsid w:val="008F1177"/>
    <w:rsid w:val="008F1450"/>
    <w:rsid w:val="008F175A"/>
    <w:rsid w:val="008F1793"/>
    <w:rsid w:val="008F18F9"/>
    <w:rsid w:val="008F1A20"/>
    <w:rsid w:val="008F1A93"/>
    <w:rsid w:val="008F1D6A"/>
    <w:rsid w:val="008F1E1E"/>
    <w:rsid w:val="008F1FF9"/>
    <w:rsid w:val="008F20D0"/>
    <w:rsid w:val="008F221E"/>
    <w:rsid w:val="008F22B6"/>
    <w:rsid w:val="008F245B"/>
    <w:rsid w:val="008F250E"/>
    <w:rsid w:val="008F2824"/>
    <w:rsid w:val="008F2898"/>
    <w:rsid w:val="008F2A32"/>
    <w:rsid w:val="008F2B18"/>
    <w:rsid w:val="008F2B87"/>
    <w:rsid w:val="008F2C00"/>
    <w:rsid w:val="008F2CA6"/>
    <w:rsid w:val="008F2DA0"/>
    <w:rsid w:val="008F2F46"/>
    <w:rsid w:val="008F2F50"/>
    <w:rsid w:val="008F2FD6"/>
    <w:rsid w:val="008F3471"/>
    <w:rsid w:val="008F377E"/>
    <w:rsid w:val="008F3B04"/>
    <w:rsid w:val="008F3DA8"/>
    <w:rsid w:val="008F3E5F"/>
    <w:rsid w:val="008F3F07"/>
    <w:rsid w:val="008F40A3"/>
    <w:rsid w:val="008F42DE"/>
    <w:rsid w:val="008F4331"/>
    <w:rsid w:val="008F4390"/>
    <w:rsid w:val="008F4394"/>
    <w:rsid w:val="008F4396"/>
    <w:rsid w:val="008F43D0"/>
    <w:rsid w:val="008F462C"/>
    <w:rsid w:val="008F4A07"/>
    <w:rsid w:val="008F4C72"/>
    <w:rsid w:val="008F4CFA"/>
    <w:rsid w:val="008F4E9C"/>
    <w:rsid w:val="008F4FC5"/>
    <w:rsid w:val="008F505B"/>
    <w:rsid w:val="008F5126"/>
    <w:rsid w:val="008F52F0"/>
    <w:rsid w:val="008F54E1"/>
    <w:rsid w:val="008F5D08"/>
    <w:rsid w:val="008F619B"/>
    <w:rsid w:val="008F63F1"/>
    <w:rsid w:val="008F64C7"/>
    <w:rsid w:val="008F6548"/>
    <w:rsid w:val="008F67A0"/>
    <w:rsid w:val="008F68B8"/>
    <w:rsid w:val="008F6A44"/>
    <w:rsid w:val="008F6A7F"/>
    <w:rsid w:val="008F6CD7"/>
    <w:rsid w:val="008F6F0A"/>
    <w:rsid w:val="008F714E"/>
    <w:rsid w:val="008F736B"/>
    <w:rsid w:val="008F73B8"/>
    <w:rsid w:val="008F76E6"/>
    <w:rsid w:val="008F7801"/>
    <w:rsid w:val="008F787B"/>
    <w:rsid w:val="008F79A5"/>
    <w:rsid w:val="008F79C1"/>
    <w:rsid w:val="008F7AF9"/>
    <w:rsid w:val="008F7D35"/>
    <w:rsid w:val="009000B5"/>
    <w:rsid w:val="00900198"/>
    <w:rsid w:val="009002F6"/>
    <w:rsid w:val="009004AB"/>
    <w:rsid w:val="009004FD"/>
    <w:rsid w:val="0090073D"/>
    <w:rsid w:val="00900923"/>
    <w:rsid w:val="00900A96"/>
    <w:rsid w:val="00900AD4"/>
    <w:rsid w:val="00900B59"/>
    <w:rsid w:val="00900C70"/>
    <w:rsid w:val="00900CED"/>
    <w:rsid w:val="00900ECB"/>
    <w:rsid w:val="00900FA6"/>
    <w:rsid w:val="00900FB9"/>
    <w:rsid w:val="009010C2"/>
    <w:rsid w:val="00901138"/>
    <w:rsid w:val="00901200"/>
    <w:rsid w:val="009012AB"/>
    <w:rsid w:val="009013B1"/>
    <w:rsid w:val="009014D1"/>
    <w:rsid w:val="009015FA"/>
    <w:rsid w:val="00901702"/>
    <w:rsid w:val="00901714"/>
    <w:rsid w:val="00901725"/>
    <w:rsid w:val="00901952"/>
    <w:rsid w:val="009019DD"/>
    <w:rsid w:val="009019DE"/>
    <w:rsid w:val="00901AA5"/>
    <w:rsid w:val="00901CC8"/>
    <w:rsid w:val="00901E80"/>
    <w:rsid w:val="00901FAF"/>
    <w:rsid w:val="009020AC"/>
    <w:rsid w:val="0090218D"/>
    <w:rsid w:val="009021F0"/>
    <w:rsid w:val="00902462"/>
    <w:rsid w:val="0090254E"/>
    <w:rsid w:val="009025BF"/>
    <w:rsid w:val="00902614"/>
    <w:rsid w:val="009028E0"/>
    <w:rsid w:val="00902A69"/>
    <w:rsid w:val="00902C35"/>
    <w:rsid w:val="00902D6D"/>
    <w:rsid w:val="00902F79"/>
    <w:rsid w:val="00903005"/>
    <w:rsid w:val="009033B9"/>
    <w:rsid w:val="009035F7"/>
    <w:rsid w:val="009036FE"/>
    <w:rsid w:val="00903DB3"/>
    <w:rsid w:val="00903ED0"/>
    <w:rsid w:val="00903ED6"/>
    <w:rsid w:val="009040A1"/>
    <w:rsid w:val="00904141"/>
    <w:rsid w:val="00904163"/>
    <w:rsid w:val="00904A4C"/>
    <w:rsid w:val="00904A93"/>
    <w:rsid w:val="00904BAA"/>
    <w:rsid w:val="00904C1A"/>
    <w:rsid w:val="00904CB1"/>
    <w:rsid w:val="00904E8C"/>
    <w:rsid w:val="0090523A"/>
    <w:rsid w:val="0090543A"/>
    <w:rsid w:val="00905462"/>
    <w:rsid w:val="009055C4"/>
    <w:rsid w:val="009056DF"/>
    <w:rsid w:val="00905ADC"/>
    <w:rsid w:val="00905B8D"/>
    <w:rsid w:val="0090622A"/>
    <w:rsid w:val="00906335"/>
    <w:rsid w:val="00906A36"/>
    <w:rsid w:val="00906CF6"/>
    <w:rsid w:val="00906E60"/>
    <w:rsid w:val="00906FB5"/>
    <w:rsid w:val="00906FD2"/>
    <w:rsid w:val="0090706D"/>
    <w:rsid w:val="00907168"/>
    <w:rsid w:val="009072BB"/>
    <w:rsid w:val="00907443"/>
    <w:rsid w:val="00907824"/>
    <w:rsid w:val="00907CA1"/>
    <w:rsid w:val="00907FA4"/>
    <w:rsid w:val="009102FE"/>
    <w:rsid w:val="00910875"/>
    <w:rsid w:val="009109CA"/>
    <w:rsid w:val="00910B2B"/>
    <w:rsid w:val="00910B82"/>
    <w:rsid w:val="00910D1C"/>
    <w:rsid w:val="00911176"/>
    <w:rsid w:val="009111B4"/>
    <w:rsid w:val="009111F4"/>
    <w:rsid w:val="009114BB"/>
    <w:rsid w:val="00911524"/>
    <w:rsid w:val="00911687"/>
    <w:rsid w:val="009119A8"/>
    <w:rsid w:val="00911ADC"/>
    <w:rsid w:val="00911D9F"/>
    <w:rsid w:val="009120C6"/>
    <w:rsid w:val="00912A21"/>
    <w:rsid w:val="00912AE4"/>
    <w:rsid w:val="00912C03"/>
    <w:rsid w:val="00912DA6"/>
    <w:rsid w:val="00912E0F"/>
    <w:rsid w:val="00912E6E"/>
    <w:rsid w:val="00912F2D"/>
    <w:rsid w:val="00913085"/>
    <w:rsid w:val="009130DC"/>
    <w:rsid w:val="00913107"/>
    <w:rsid w:val="00913370"/>
    <w:rsid w:val="009135E5"/>
    <w:rsid w:val="00913655"/>
    <w:rsid w:val="00913739"/>
    <w:rsid w:val="00913882"/>
    <w:rsid w:val="009139C8"/>
    <w:rsid w:val="00913B40"/>
    <w:rsid w:val="00913C93"/>
    <w:rsid w:val="00913DA2"/>
    <w:rsid w:val="00913DBA"/>
    <w:rsid w:val="00913E42"/>
    <w:rsid w:val="0091412A"/>
    <w:rsid w:val="0091414D"/>
    <w:rsid w:val="00914748"/>
    <w:rsid w:val="009148EA"/>
    <w:rsid w:val="00914A71"/>
    <w:rsid w:val="00914CFC"/>
    <w:rsid w:val="00914D3B"/>
    <w:rsid w:val="00915024"/>
    <w:rsid w:val="00915156"/>
    <w:rsid w:val="009152A3"/>
    <w:rsid w:val="00915332"/>
    <w:rsid w:val="0091559D"/>
    <w:rsid w:val="0091572E"/>
    <w:rsid w:val="009158C1"/>
    <w:rsid w:val="00915AD3"/>
    <w:rsid w:val="00915B41"/>
    <w:rsid w:val="00915D36"/>
    <w:rsid w:val="00915DAC"/>
    <w:rsid w:val="009160C7"/>
    <w:rsid w:val="00916139"/>
    <w:rsid w:val="00916184"/>
    <w:rsid w:val="009161FC"/>
    <w:rsid w:val="00916307"/>
    <w:rsid w:val="00916390"/>
    <w:rsid w:val="00916539"/>
    <w:rsid w:val="00916662"/>
    <w:rsid w:val="00916BE6"/>
    <w:rsid w:val="00916D24"/>
    <w:rsid w:val="00917123"/>
    <w:rsid w:val="009173CA"/>
    <w:rsid w:val="00917652"/>
    <w:rsid w:val="009176B6"/>
    <w:rsid w:val="0091779E"/>
    <w:rsid w:val="00917977"/>
    <w:rsid w:val="00917980"/>
    <w:rsid w:val="00917A39"/>
    <w:rsid w:val="00917AB8"/>
    <w:rsid w:val="00917BE6"/>
    <w:rsid w:val="00917E9A"/>
    <w:rsid w:val="009200DF"/>
    <w:rsid w:val="009203E6"/>
    <w:rsid w:val="009203FC"/>
    <w:rsid w:val="0092040A"/>
    <w:rsid w:val="00920417"/>
    <w:rsid w:val="009205A9"/>
    <w:rsid w:val="009206FA"/>
    <w:rsid w:val="009208EA"/>
    <w:rsid w:val="009209CF"/>
    <w:rsid w:val="00920BA0"/>
    <w:rsid w:val="00920BE9"/>
    <w:rsid w:val="00920FA0"/>
    <w:rsid w:val="00920FB5"/>
    <w:rsid w:val="0092119F"/>
    <w:rsid w:val="009211F5"/>
    <w:rsid w:val="009212ED"/>
    <w:rsid w:val="0092135F"/>
    <w:rsid w:val="009213BE"/>
    <w:rsid w:val="0092154C"/>
    <w:rsid w:val="00921594"/>
    <w:rsid w:val="00921648"/>
    <w:rsid w:val="009216E6"/>
    <w:rsid w:val="0092170C"/>
    <w:rsid w:val="00922066"/>
    <w:rsid w:val="0092207D"/>
    <w:rsid w:val="0092219A"/>
    <w:rsid w:val="0092219D"/>
    <w:rsid w:val="009221E2"/>
    <w:rsid w:val="00922599"/>
    <w:rsid w:val="009226A7"/>
    <w:rsid w:val="009227AE"/>
    <w:rsid w:val="009228D4"/>
    <w:rsid w:val="00922A74"/>
    <w:rsid w:val="00922BE7"/>
    <w:rsid w:val="00922BF2"/>
    <w:rsid w:val="00922E0B"/>
    <w:rsid w:val="00922E15"/>
    <w:rsid w:val="00922EE8"/>
    <w:rsid w:val="00922FD5"/>
    <w:rsid w:val="009230F2"/>
    <w:rsid w:val="0092313C"/>
    <w:rsid w:val="00923169"/>
    <w:rsid w:val="009231C6"/>
    <w:rsid w:val="009232E0"/>
    <w:rsid w:val="00923712"/>
    <w:rsid w:val="009239D9"/>
    <w:rsid w:val="00923CC7"/>
    <w:rsid w:val="00923ECA"/>
    <w:rsid w:val="0092414C"/>
    <w:rsid w:val="00924194"/>
    <w:rsid w:val="00924290"/>
    <w:rsid w:val="009245BD"/>
    <w:rsid w:val="0092462A"/>
    <w:rsid w:val="00924716"/>
    <w:rsid w:val="009247BB"/>
    <w:rsid w:val="00924AE9"/>
    <w:rsid w:val="00924B26"/>
    <w:rsid w:val="00924C42"/>
    <w:rsid w:val="00924D28"/>
    <w:rsid w:val="00924F26"/>
    <w:rsid w:val="00924F7F"/>
    <w:rsid w:val="0092509F"/>
    <w:rsid w:val="009250B5"/>
    <w:rsid w:val="00925125"/>
    <w:rsid w:val="0092520A"/>
    <w:rsid w:val="009252C2"/>
    <w:rsid w:val="009256C3"/>
    <w:rsid w:val="009257FC"/>
    <w:rsid w:val="00925878"/>
    <w:rsid w:val="00925A9D"/>
    <w:rsid w:val="00925AFC"/>
    <w:rsid w:val="009261EA"/>
    <w:rsid w:val="0092654C"/>
    <w:rsid w:val="00926673"/>
    <w:rsid w:val="00926709"/>
    <w:rsid w:val="00926865"/>
    <w:rsid w:val="0092694D"/>
    <w:rsid w:val="00926B3C"/>
    <w:rsid w:val="00926B52"/>
    <w:rsid w:val="00926C1F"/>
    <w:rsid w:val="00926C4D"/>
    <w:rsid w:val="00926D0B"/>
    <w:rsid w:val="00926E74"/>
    <w:rsid w:val="00926F94"/>
    <w:rsid w:val="009272FB"/>
    <w:rsid w:val="009277A0"/>
    <w:rsid w:val="0092791C"/>
    <w:rsid w:val="00927B16"/>
    <w:rsid w:val="00930008"/>
    <w:rsid w:val="00930161"/>
    <w:rsid w:val="00930380"/>
    <w:rsid w:val="00930784"/>
    <w:rsid w:val="009307AA"/>
    <w:rsid w:val="009307E0"/>
    <w:rsid w:val="00930D0E"/>
    <w:rsid w:val="00930E5E"/>
    <w:rsid w:val="00930E85"/>
    <w:rsid w:val="00930E90"/>
    <w:rsid w:val="00931039"/>
    <w:rsid w:val="00931082"/>
    <w:rsid w:val="00931843"/>
    <w:rsid w:val="009319AD"/>
    <w:rsid w:val="00931B01"/>
    <w:rsid w:val="00931B20"/>
    <w:rsid w:val="00931B23"/>
    <w:rsid w:val="00931BA4"/>
    <w:rsid w:val="00931C35"/>
    <w:rsid w:val="00931DAD"/>
    <w:rsid w:val="00932638"/>
    <w:rsid w:val="0093293F"/>
    <w:rsid w:val="00932B61"/>
    <w:rsid w:val="00932F46"/>
    <w:rsid w:val="009330DA"/>
    <w:rsid w:val="00933195"/>
    <w:rsid w:val="009334E2"/>
    <w:rsid w:val="009334FE"/>
    <w:rsid w:val="009335D7"/>
    <w:rsid w:val="009337CE"/>
    <w:rsid w:val="00933991"/>
    <w:rsid w:val="009339B6"/>
    <w:rsid w:val="009339D7"/>
    <w:rsid w:val="00933A9E"/>
    <w:rsid w:val="00933D0C"/>
    <w:rsid w:val="00933EFA"/>
    <w:rsid w:val="00933F2C"/>
    <w:rsid w:val="00934007"/>
    <w:rsid w:val="0093460A"/>
    <w:rsid w:val="00934725"/>
    <w:rsid w:val="009348FF"/>
    <w:rsid w:val="00934EE8"/>
    <w:rsid w:val="00934F0A"/>
    <w:rsid w:val="009356C6"/>
    <w:rsid w:val="00935A5D"/>
    <w:rsid w:val="00935AF8"/>
    <w:rsid w:val="00935CBE"/>
    <w:rsid w:val="00935CC3"/>
    <w:rsid w:val="00935F1C"/>
    <w:rsid w:val="0093615C"/>
    <w:rsid w:val="00936329"/>
    <w:rsid w:val="00936595"/>
    <w:rsid w:val="0093685D"/>
    <w:rsid w:val="009369CE"/>
    <w:rsid w:val="00936ABF"/>
    <w:rsid w:val="00936AD3"/>
    <w:rsid w:val="00936CC3"/>
    <w:rsid w:val="00936D43"/>
    <w:rsid w:val="00936E7A"/>
    <w:rsid w:val="00936F48"/>
    <w:rsid w:val="00936FD1"/>
    <w:rsid w:val="0093708B"/>
    <w:rsid w:val="00937095"/>
    <w:rsid w:val="009372EF"/>
    <w:rsid w:val="009374C9"/>
    <w:rsid w:val="00937567"/>
    <w:rsid w:val="009376E0"/>
    <w:rsid w:val="009377D7"/>
    <w:rsid w:val="009377FD"/>
    <w:rsid w:val="00937D46"/>
    <w:rsid w:val="00937F9E"/>
    <w:rsid w:val="009400D6"/>
    <w:rsid w:val="009400EB"/>
    <w:rsid w:val="009402DC"/>
    <w:rsid w:val="009406AC"/>
    <w:rsid w:val="009409C3"/>
    <w:rsid w:val="00940A13"/>
    <w:rsid w:val="00940AC6"/>
    <w:rsid w:val="00940C75"/>
    <w:rsid w:val="00940E9F"/>
    <w:rsid w:val="00940F8F"/>
    <w:rsid w:val="0094121B"/>
    <w:rsid w:val="009414B0"/>
    <w:rsid w:val="00941743"/>
    <w:rsid w:val="00941774"/>
    <w:rsid w:val="0094178D"/>
    <w:rsid w:val="009417C2"/>
    <w:rsid w:val="00941A00"/>
    <w:rsid w:val="00941A20"/>
    <w:rsid w:val="00941AA8"/>
    <w:rsid w:val="00941CBD"/>
    <w:rsid w:val="00941DB8"/>
    <w:rsid w:val="00941F6D"/>
    <w:rsid w:val="0094200D"/>
    <w:rsid w:val="009420D9"/>
    <w:rsid w:val="00942367"/>
    <w:rsid w:val="009424E7"/>
    <w:rsid w:val="0094253D"/>
    <w:rsid w:val="009425AE"/>
    <w:rsid w:val="0094275F"/>
    <w:rsid w:val="00942832"/>
    <w:rsid w:val="0094284C"/>
    <w:rsid w:val="009428CC"/>
    <w:rsid w:val="00942BA4"/>
    <w:rsid w:val="00942C51"/>
    <w:rsid w:val="00943035"/>
    <w:rsid w:val="0094311B"/>
    <w:rsid w:val="0094316C"/>
    <w:rsid w:val="00943185"/>
    <w:rsid w:val="009432F6"/>
    <w:rsid w:val="0094338B"/>
    <w:rsid w:val="009433F9"/>
    <w:rsid w:val="009435AD"/>
    <w:rsid w:val="00943A0D"/>
    <w:rsid w:val="00943ACC"/>
    <w:rsid w:val="00943CD4"/>
    <w:rsid w:val="00943DA2"/>
    <w:rsid w:val="00943E4C"/>
    <w:rsid w:val="00943FA5"/>
    <w:rsid w:val="00944129"/>
    <w:rsid w:val="00944221"/>
    <w:rsid w:val="00944654"/>
    <w:rsid w:val="009448D4"/>
    <w:rsid w:val="00944AE1"/>
    <w:rsid w:val="00944E20"/>
    <w:rsid w:val="00944FA5"/>
    <w:rsid w:val="00944FFD"/>
    <w:rsid w:val="00945175"/>
    <w:rsid w:val="00945440"/>
    <w:rsid w:val="00945490"/>
    <w:rsid w:val="00945582"/>
    <w:rsid w:val="009456EB"/>
    <w:rsid w:val="0094578F"/>
    <w:rsid w:val="009458E1"/>
    <w:rsid w:val="00945B10"/>
    <w:rsid w:val="00945B6B"/>
    <w:rsid w:val="00945D8F"/>
    <w:rsid w:val="00945E5F"/>
    <w:rsid w:val="00945E96"/>
    <w:rsid w:val="00945EEF"/>
    <w:rsid w:val="00945FF2"/>
    <w:rsid w:val="00946031"/>
    <w:rsid w:val="0094621E"/>
    <w:rsid w:val="0094630C"/>
    <w:rsid w:val="009464CF"/>
    <w:rsid w:val="00946578"/>
    <w:rsid w:val="00946C46"/>
    <w:rsid w:val="00946E6B"/>
    <w:rsid w:val="00946FCD"/>
    <w:rsid w:val="009471C2"/>
    <w:rsid w:val="00947506"/>
    <w:rsid w:val="00947538"/>
    <w:rsid w:val="00947670"/>
    <w:rsid w:val="0094768E"/>
    <w:rsid w:val="00947A0A"/>
    <w:rsid w:val="00947A21"/>
    <w:rsid w:val="00947C54"/>
    <w:rsid w:val="00947D17"/>
    <w:rsid w:val="0095044C"/>
    <w:rsid w:val="009505A4"/>
    <w:rsid w:val="00950694"/>
    <w:rsid w:val="009507DD"/>
    <w:rsid w:val="00950EF5"/>
    <w:rsid w:val="009510B1"/>
    <w:rsid w:val="0095149F"/>
    <w:rsid w:val="009516EF"/>
    <w:rsid w:val="0095171F"/>
    <w:rsid w:val="00951919"/>
    <w:rsid w:val="00951927"/>
    <w:rsid w:val="00951B0A"/>
    <w:rsid w:val="00951BF7"/>
    <w:rsid w:val="00951C3D"/>
    <w:rsid w:val="00951CF1"/>
    <w:rsid w:val="00951F21"/>
    <w:rsid w:val="00952135"/>
    <w:rsid w:val="009521E9"/>
    <w:rsid w:val="00952590"/>
    <w:rsid w:val="00952772"/>
    <w:rsid w:val="0095297E"/>
    <w:rsid w:val="00952ADB"/>
    <w:rsid w:val="00952BD9"/>
    <w:rsid w:val="00952E2F"/>
    <w:rsid w:val="00952EF1"/>
    <w:rsid w:val="009530EE"/>
    <w:rsid w:val="0095316D"/>
    <w:rsid w:val="00953420"/>
    <w:rsid w:val="0095354D"/>
    <w:rsid w:val="0095369E"/>
    <w:rsid w:val="00953879"/>
    <w:rsid w:val="009538D8"/>
    <w:rsid w:val="009538F3"/>
    <w:rsid w:val="009539F8"/>
    <w:rsid w:val="00953B79"/>
    <w:rsid w:val="0095417C"/>
    <w:rsid w:val="009541F6"/>
    <w:rsid w:val="009543D0"/>
    <w:rsid w:val="00954580"/>
    <w:rsid w:val="009545E5"/>
    <w:rsid w:val="0095497C"/>
    <w:rsid w:val="00954A65"/>
    <w:rsid w:val="00954A66"/>
    <w:rsid w:val="00954A8B"/>
    <w:rsid w:val="00954C15"/>
    <w:rsid w:val="00954C89"/>
    <w:rsid w:val="00954E4A"/>
    <w:rsid w:val="00955023"/>
    <w:rsid w:val="009550BC"/>
    <w:rsid w:val="009550FF"/>
    <w:rsid w:val="00955213"/>
    <w:rsid w:val="00955922"/>
    <w:rsid w:val="00955DBE"/>
    <w:rsid w:val="00955E36"/>
    <w:rsid w:val="00956066"/>
    <w:rsid w:val="00956176"/>
    <w:rsid w:val="00956349"/>
    <w:rsid w:val="0095636B"/>
    <w:rsid w:val="009564F1"/>
    <w:rsid w:val="00956846"/>
    <w:rsid w:val="009569D1"/>
    <w:rsid w:val="00956B5D"/>
    <w:rsid w:val="00956D71"/>
    <w:rsid w:val="00956DA3"/>
    <w:rsid w:val="009573AE"/>
    <w:rsid w:val="009573B5"/>
    <w:rsid w:val="00957776"/>
    <w:rsid w:val="00957A71"/>
    <w:rsid w:val="00957B71"/>
    <w:rsid w:val="00957CB4"/>
    <w:rsid w:val="00957DD7"/>
    <w:rsid w:val="00957E5E"/>
    <w:rsid w:val="00957E82"/>
    <w:rsid w:val="0096057F"/>
    <w:rsid w:val="0096069F"/>
    <w:rsid w:val="00960916"/>
    <w:rsid w:val="009609C2"/>
    <w:rsid w:val="00960E5A"/>
    <w:rsid w:val="00960F39"/>
    <w:rsid w:val="00960F69"/>
    <w:rsid w:val="0096137A"/>
    <w:rsid w:val="00961405"/>
    <w:rsid w:val="0096155A"/>
    <w:rsid w:val="00961651"/>
    <w:rsid w:val="00961672"/>
    <w:rsid w:val="00961923"/>
    <w:rsid w:val="00961994"/>
    <w:rsid w:val="009619A1"/>
    <w:rsid w:val="00961B94"/>
    <w:rsid w:val="00961D0B"/>
    <w:rsid w:val="00961DCF"/>
    <w:rsid w:val="00961FBA"/>
    <w:rsid w:val="00961FBD"/>
    <w:rsid w:val="00961FE0"/>
    <w:rsid w:val="009620C5"/>
    <w:rsid w:val="00962132"/>
    <w:rsid w:val="00962148"/>
    <w:rsid w:val="0096216E"/>
    <w:rsid w:val="009621C5"/>
    <w:rsid w:val="009622B7"/>
    <w:rsid w:val="0096230A"/>
    <w:rsid w:val="0096249F"/>
    <w:rsid w:val="0096272B"/>
    <w:rsid w:val="00962839"/>
    <w:rsid w:val="009628B1"/>
    <w:rsid w:val="00962AFE"/>
    <w:rsid w:val="00962BD1"/>
    <w:rsid w:val="00962DB6"/>
    <w:rsid w:val="00962DE0"/>
    <w:rsid w:val="00962DF1"/>
    <w:rsid w:val="00962E3A"/>
    <w:rsid w:val="0096315F"/>
    <w:rsid w:val="009631FD"/>
    <w:rsid w:val="009632A3"/>
    <w:rsid w:val="00963440"/>
    <w:rsid w:val="0096366B"/>
    <w:rsid w:val="00963679"/>
    <w:rsid w:val="00963773"/>
    <w:rsid w:val="0096385A"/>
    <w:rsid w:val="00963A4C"/>
    <w:rsid w:val="00963E1C"/>
    <w:rsid w:val="00963EFF"/>
    <w:rsid w:val="0096424A"/>
    <w:rsid w:val="009646B4"/>
    <w:rsid w:val="00964C7D"/>
    <w:rsid w:val="00964C7E"/>
    <w:rsid w:val="00964D7F"/>
    <w:rsid w:val="00964DFC"/>
    <w:rsid w:val="00964F4E"/>
    <w:rsid w:val="00965B60"/>
    <w:rsid w:val="00965E4F"/>
    <w:rsid w:val="00966042"/>
    <w:rsid w:val="00966109"/>
    <w:rsid w:val="00966136"/>
    <w:rsid w:val="00966145"/>
    <w:rsid w:val="009663F1"/>
    <w:rsid w:val="009664A8"/>
    <w:rsid w:val="009666B6"/>
    <w:rsid w:val="00966820"/>
    <w:rsid w:val="00966B26"/>
    <w:rsid w:val="00966B78"/>
    <w:rsid w:val="00966D27"/>
    <w:rsid w:val="00966E93"/>
    <w:rsid w:val="00966EFF"/>
    <w:rsid w:val="00966F23"/>
    <w:rsid w:val="00967110"/>
    <w:rsid w:val="00967115"/>
    <w:rsid w:val="00967293"/>
    <w:rsid w:val="0096751F"/>
    <w:rsid w:val="00967724"/>
    <w:rsid w:val="0096773B"/>
    <w:rsid w:val="0096785E"/>
    <w:rsid w:val="0096798F"/>
    <w:rsid w:val="009679AD"/>
    <w:rsid w:val="00967C31"/>
    <w:rsid w:val="00967DA0"/>
    <w:rsid w:val="009701A4"/>
    <w:rsid w:val="009703F4"/>
    <w:rsid w:val="009705AA"/>
    <w:rsid w:val="00970E65"/>
    <w:rsid w:val="00970EA0"/>
    <w:rsid w:val="0097144E"/>
    <w:rsid w:val="0097177A"/>
    <w:rsid w:val="0097185F"/>
    <w:rsid w:val="0097186F"/>
    <w:rsid w:val="00971A4D"/>
    <w:rsid w:val="00971BE4"/>
    <w:rsid w:val="00971DBF"/>
    <w:rsid w:val="00971E38"/>
    <w:rsid w:val="00971FA0"/>
    <w:rsid w:val="0097202A"/>
    <w:rsid w:val="0097207F"/>
    <w:rsid w:val="00972213"/>
    <w:rsid w:val="0097223F"/>
    <w:rsid w:val="0097240E"/>
    <w:rsid w:val="00972540"/>
    <w:rsid w:val="00972617"/>
    <w:rsid w:val="00972739"/>
    <w:rsid w:val="00972883"/>
    <w:rsid w:val="009728F4"/>
    <w:rsid w:val="00972952"/>
    <w:rsid w:val="00972964"/>
    <w:rsid w:val="00972C15"/>
    <w:rsid w:val="00972C47"/>
    <w:rsid w:val="00972D82"/>
    <w:rsid w:val="00972E5B"/>
    <w:rsid w:val="00973429"/>
    <w:rsid w:val="009735E7"/>
    <w:rsid w:val="0097367C"/>
    <w:rsid w:val="009736C8"/>
    <w:rsid w:val="009739C1"/>
    <w:rsid w:val="00973BEC"/>
    <w:rsid w:val="00973CE4"/>
    <w:rsid w:val="00973D5A"/>
    <w:rsid w:val="009741AD"/>
    <w:rsid w:val="00974249"/>
    <w:rsid w:val="00974336"/>
    <w:rsid w:val="009743B9"/>
    <w:rsid w:val="0097442D"/>
    <w:rsid w:val="0097485D"/>
    <w:rsid w:val="009749B9"/>
    <w:rsid w:val="00974CF3"/>
    <w:rsid w:val="00974D2C"/>
    <w:rsid w:val="00974ED4"/>
    <w:rsid w:val="0097517F"/>
    <w:rsid w:val="009753BC"/>
    <w:rsid w:val="009753F2"/>
    <w:rsid w:val="00975A63"/>
    <w:rsid w:val="00975B5C"/>
    <w:rsid w:val="009762A5"/>
    <w:rsid w:val="0097633B"/>
    <w:rsid w:val="009764A6"/>
    <w:rsid w:val="009764D9"/>
    <w:rsid w:val="0097666A"/>
    <w:rsid w:val="009772AB"/>
    <w:rsid w:val="009772EE"/>
    <w:rsid w:val="0097731E"/>
    <w:rsid w:val="009773B5"/>
    <w:rsid w:val="00977837"/>
    <w:rsid w:val="00977916"/>
    <w:rsid w:val="00977A24"/>
    <w:rsid w:val="00977A5E"/>
    <w:rsid w:val="00977D80"/>
    <w:rsid w:val="00977DC8"/>
    <w:rsid w:val="009806A7"/>
    <w:rsid w:val="00980765"/>
    <w:rsid w:val="009808D5"/>
    <w:rsid w:val="00980AF3"/>
    <w:rsid w:val="00981619"/>
    <w:rsid w:val="00981739"/>
    <w:rsid w:val="00981811"/>
    <w:rsid w:val="0098191D"/>
    <w:rsid w:val="0098212E"/>
    <w:rsid w:val="00982341"/>
    <w:rsid w:val="009824B1"/>
    <w:rsid w:val="009824C8"/>
    <w:rsid w:val="00982992"/>
    <w:rsid w:val="00982F1F"/>
    <w:rsid w:val="00982FFF"/>
    <w:rsid w:val="0098336D"/>
    <w:rsid w:val="009833EF"/>
    <w:rsid w:val="009835D5"/>
    <w:rsid w:val="00983C29"/>
    <w:rsid w:val="00983F69"/>
    <w:rsid w:val="0098421B"/>
    <w:rsid w:val="00984767"/>
    <w:rsid w:val="00984925"/>
    <w:rsid w:val="00984978"/>
    <w:rsid w:val="009849AD"/>
    <w:rsid w:val="00984D98"/>
    <w:rsid w:val="00984E42"/>
    <w:rsid w:val="00984E4A"/>
    <w:rsid w:val="009850D4"/>
    <w:rsid w:val="009853D9"/>
    <w:rsid w:val="0098544E"/>
    <w:rsid w:val="0098545D"/>
    <w:rsid w:val="0098576A"/>
    <w:rsid w:val="00985C1B"/>
    <w:rsid w:val="00986013"/>
    <w:rsid w:val="00986156"/>
    <w:rsid w:val="00986266"/>
    <w:rsid w:val="0098626B"/>
    <w:rsid w:val="00986387"/>
    <w:rsid w:val="009863E8"/>
    <w:rsid w:val="009865F6"/>
    <w:rsid w:val="00986B47"/>
    <w:rsid w:val="00986C7E"/>
    <w:rsid w:val="00986DF3"/>
    <w:rsid w:val="00986F5D"/>
    <w:rsid w:val="009874D9"/>
    <w:rsid w:val="00987760"/>
    <w:rsid w:val="00987999"/>
    <w:rsid w:val="00987B72"/>
    <w:rsid w:val="00987B93"/>
    <w:rsid w:val="00987F99"/>
    <w:rsid w:val="00987FF2"/>
    <w:rsid w:val="0099000F"/>
    <w:rsid w:val="0099001C"/>
    <w:rsid w:val="0099008A"/>
    <w:rsid w:val="00990294"/>
    <w:rsid w:val="00990303"/>
    <w:rsid w:val="009903E0"/>
    <w:rsid w:val="00990461"/>
    <w:rsid w:val="00990716"/>
    <w:rsid w:val="00990B4A"/>
    <w:rsid w:val="00990EDB"/>
    <w:rsid w:val="00990EDE"/>
    <w:rsid w:val="0099101F"/>
    <w:rsid w:val="009910DF"/>
    <w:rsid w:val="00991118"/>
    <w:rsid w:val="0099138D"/>
    <w:rsid w:val="00991403"/>
    <w:rsid w:val="0099160B"/>
    <w:rsid w:val="009916D6"/>
    <w:rsid w:val="009917C7"/>
    <w:rsid w:val="00991910"/>
    <w:rsid w:val="0099197E"/>
    <w:rsid w:val="00991DF8"/>
    <w:rsid w:val="00991FA3"/>
    <w:rsid w:val="0099202D"/>
    <w:rsid w:val="009920DB"/>
    <w:rsid w:val="00992173"/>
    <w:rsid w:val="009922A8"/>
    <w:rsid w:val="00992535"/>
    <w:rsid w:val="009925B9"/>
    <w:rsid w:val="00992600"/>
    <w:rsid w:val="00992661"/>
    <w:rsid w:val="009926F2"/>
    <w:rsid w:val="00992785"/>
    <w:rsid w:val="0099280E"/>
    <w:rsid w:val="009928E6"/>
    <w:rsid w:val="009929EA"/>
    <w:rsid w:val="00992A63"/>
    <w:rsid w:val="00992B70"/>
    <w:rsid w:val="00992CE3"/>
    <w:rsid w:val="009931A1"/>
    <w:rsid w:val="00993445"/>
    <w:rsid w:val="009934C0"/>
    <w:rsid w:val="0099371B"/>
    <w:rsid w:val="00993912"/>
    <w:rsid w:val="009939BD"/>
    <w:rsid w:val="00993B98"/>
    <w:rsid w:val="00993C1A"/>
    <w:rsid w:val="00993DCD"/>
    <w:rsid w:val="00993E46"/>
    <w:rsid w:val="00993EF8"/>
    <w:rsid w:val="00993F1E"/>
    <w:rsid w:val="00993FE2"/>
    <w:rsid w:val="0099407B"/>
    <w:rsid w:val="009942A5"/>
    <w:rsid w:val="00994304"/>
    <w:rsid w:val="00994543"/>
    <w:rsid w:val="009946AA"/>
    <w:rsid w:val="009947F8"/>
    <w:rsid w:val="00994CBE"/>
    <w:rsid w:val="00994F8C"/>
    <w:rsid w:val="00994FAD"/>
    <w:rsid w:val="00995478"/>
    <w:rsid w:val="009956D8"/>
    <w:rsid w:val="00995E44"/>
    <w:rsid w:val="00995F1F"/>
    <w:rsid w:val="00996319"/>
    <w:rsid w:val="009963E2"/>
    <w:rsid w:val="009964EF"/>
    <w:rsid w:val="009964FB"/>
    <w:rsid w:val="009965AA"/>
    <w:rsid w:val="0099667A"/>
    <w:rsid w:val="00996978"/>
    <w:rsid w:val="009969B8"/>
    <w:rsid w:val="00996BBE"/>
    <w:rsid w:val="00996C1E"/>
    <w:rsid w:val="00996D45"/>
    <w:rsid w:val="00997384"/>
    <w:rsid w:val="00997551"/>
    <w:rsid w:val="00997703"/>
    <w:rsid w:val="00997A9F"/>
    <w:rsid w:val="00997D2D"/>
    <w:rsid w:val="009A0126"/>
    <w:rsid w:val="009A0613"/>
    <w:rsid w:val="009A0690"/>
    <w:rsid w:val="009A07BE"/>
    <w:rsid w:val="009A0890"/>
    <w:rsid w:val="009A0917"/>
    <w:rsid w:val="009A0930"/>
    <w:rsid w:val="009A0D94"/>
    <w:rsid w:val="009A0DDF"/>
    <w:rsid w:val="009A0EA4"/>
    <w:rsid w:val="009A0F03"/>
    <w:rsid w:val="009A1031"/>
    <w:rsid w:val="009A105F"/>
    <w:rsid w:val="009A123E"/>
    <w:rsid w:val="009A1240"/>
    <w:rsid w:val="009A134D"/>
    <w:rsid w:val="009A1379"/>
    <w:rsid w:val="009A1A5F"/>
    <w:rsid w:val="009A1BA3"/>
    <w:rsid w:val="009A1FE4"/>
    <w:rsid w:val="009A20DA"/>
    <w:rsid w:val="009A2257"/>
    <w:rsid w:val="009A240E"/>
    <w:rsid w:val="009A248D"/>
    <w:rsid w:val="009A25A1"/>
    <w:rsid w:val="009A2698"/>
    <w:rsid w:val="009A26C0"/>
    <w:rsid w:val="009A27D3"/>
    <w:rsid w:val="009A2951"/>
    <w:rsid w:val="009A2C5C"/>
    <w:rsid w:val="009A2D83"/>
    <w:rsid w:val="009A2E11"/>
    <w:rsid w:val="009A2EBC"/>
    <w:rsid w:val="009A303D"/>
    <w:rsid w:val="009A324D"/>
    <w:rsid w:val="009A3377"/>
    <w:rsid w:val="009A33FF"/>
    <w:rsid w:val="009A348C"/>
    <w:rsid w:val="009A34A3"/>
    <w:rsid w:val="009A3649"/>
    <w:rsid w:val="009A3821"/>
    <w:rsid w:val="009A3857"/>
    <w:rsid w:val="009A3AAB"/>
    <w:rsid w:val="009A3D0F"/>
    <w:rsid w:val="009A43D5"/>
    <w:rsid w:val="009A4479"/>
    <w:rsid w:val="009A46D1"/>
    <w:rsid w:val="009A4D3C"/>
    <w:rsid w:val="009A4F71"/>
    <w:rsid w:val="009A4FCD"/>
    <w:rsid w:val="009A51D6"/>
    <w:rsid w:val="009A52E7"/>
    <w:rsid w:val="009A540D"/>
    <w:rsid w:val="009A5514"/>
    <w:rsid w:val="009A5740"/>
    <w:rsid w:val="009A58A4"/>
    <w:rsid w:val="009A5FE1"/>
    <w:rsid w:val="009A6071"/>
    <w:rsid w:val="009A615C"/>
    <w:rsid w:val="009A64D4"/>
    <w:rsid w:val="009A66A0"/>
    <w:rsid w:val="009A682F"/>
    <w:rsid w:val="009A69BD"/>
    <w:rsid w:val="009A711F"/>
    <w:rsid w:val="009A74A2"/>
    <w:rsid w:val="009A77DA"/>
    <w:rsid w:val="009A7902"/>
    <w:rsid w:val="009A7C01"/>
    <w:rsid w:val="009A7F1D"/>
    <w:rsid w:val="009B004B"/>
    <w:rsid w:val="009B004D"/>
    <w:rsid w:val="009B0261"/>
    <w:rsid w:val="009B031B"/>
    <w:rsid w:val="009B04EC"/>
    <w:rsid w:val="009B051C"/>
    <w:rsid w:val="009B078C"/>
    <w:rsid w:val="009B09AB"/>
    <w:rsid w:val="009B09C9"/>
    <w:rsid w:val="009B0A43"/>
    <w:rsid w:val="009B0B76"/>
    <w:rsid w:val="009B0E8C"/>
    <w:rsid w:val="009B0EFB"/>
    <w:rsid w:val="009B0FEB"/>
    <w:rsid w:val="009B147C"/>
    <w:rsid w:val="009B170C"/>
    <w:rsid w:val="009B189E"/>
    <w:rsid w:val="009B1C0A"/>
    <w:rsid w:val="009B1D2E"/>
    <w:rsid w:val="009B1DAD"/>
    <w:rsid w:val="009B1F93"/>
    <w:rsid w:val="009B1F9A"/>
    <w:rsid w:val="009B2479"/>
    <w:rsid w:val="009B2626"/>
    <w:rsid w:val="009B26B2"/>
    <w:rsid w:val="009B26FF"/>
    <w:rsid w:val="009B273B"/>
    <w:rsid w:val="009B2C31"/>
    <w:rsid w:val="009B2CA5"/>
    <w:rsid w:val="009B2DD8"/>
    <w:rsid w:val="009B2E1B"/>
    <w:rsid w:val="009B31F6"/>
    <w:rsid w:val="009B3534"/>
    <w:rsid w:val="009B360D"/>
    <w:rsid w:val="009B3684"/>
    <w:rsid w:val="009B3B81"/>
    <w:rsid w:val="009B3BBD"/>
    <w:rsid w:val="009B3F68"/>
    <w:rsid w:val="009B415C"/>
    <w:rsid w:val="009B4197"/>
    <w:rsid w:val="009B5122"/>
    <w:rsid w:val="009B51C8"/>
    <w:rsid w:val="009B539E"/>
    <w:rsid w:val="009B542E"/>
    <w:rsid w:val="009B57B8"/>
    <w:rsid w:val="009B59C3"/>
    <w:rsid w:val="009B5AFB"/>
    <w:rsid w:val="009B6608"/>
    <w:rsid w:val="009B665F"/>
    <w:rsid w:val="009B6726"/>
    <w:rsid w:val="009B676A"/>
    <w:rsid w:val="009B6F96"/>
    <w:rsid w:val="009B7255"/>
    <w:rsid w:val="009B730A"/>
    <w:rsid w:val="009B7A6A"/>
    <w:rsid w:val="009B7C7D"/>
    <w:rsid w:val="009C001D"/>
    <w:rsid w:val="009C0374"/>
    <w:rsid w:val="009C0460"/>
    <w:rsid w:val="009C04FA"/>
    <w:rsid w:val="009C0566"/>
    <w:rsid w:val="009C0658"/>
    <w:rsid w:val="009C0707"/>
    <w:rsid w:val="009C072F"/>
    <w:rsid w:val="009C081E"/>
    <w:rsid w:val="009C0934"/>
    <w:rsid w:val="009C0AC0"/>
    <w:rsid w:val="009C144A"/>
    <w:rsid w:val="009C174B"/>
    <w:rsid w:val="009C1CD2"/>
    <w:rsid w:val="009C1E6A"/>
    <w:rsid w:val="009C1F51"/>
    <w:rsid w:val="009C1FA6"/>
    <w:rsid w:val="009C1FB7"/>
    <w:rsid w:val="009C22A6"/>
    <w:rsid w:val="009C2346"/>
    <w:rsid w:val="009C239B"/>
    <w:rsid w:val="009C2505"/>
    <w:rsid w:val="009C28ED"/>
    <w:rsid w:val="009C2A1B"/>
    <w:rsid w:val="009C2BFE"/>
    <w:rsid w:val="009C2C6B"/>
    <w:rsid w:val="009C2DAD"/>
    <w:rsid w:val="009C2EAE"/>
    <w:rsid w:val="009C36A9"/>
    <w:rsid w:val="009C36FB"/>
    <w:rsid w:val="009C415E"/>
    <w:rsid w:val="009C415F"/>
    <w:rsid w:val="009C435E"/>
    <w:rsid w:val="009C46D7"/>
    <w:rsid w:val="009C476A"/>
    <w:rsid w:val="009C4DC8"/>
    <w:rsid w:val="009C5096"/>
    <w:rsid w:val="009C5508"/>
    <w:rsid w:val="009C55BB"/>
    <w:rsid w:val="009C5705"/>
    <w:rsid w:val="009C5915"/>
    <w:rsid w:val="009C5EFF"/>
    <w:rsid w:val="009C62A3"/>
    <w:rsid w:val="009C6322"/>
    <w:rsid w:val="009C63F9"/>
    <w:rsid w:val="009C65B7"/>
    <w:rsid w:val="009C65EB"/>
    <w:rsid w:val="009C66D8"/>
    <w:rsid w:val="009C68A1"/>
    <w:rsid w:val="009C6D35"/>
    <w:rsid w:val="009C6E3D"/>
    <w:rsid w:val="009C6E5F"/>
    <w:rsid w:val="009C737F"/>
    <w:rsid w:val="009C746A"/>
    <w:rsid w:val="009C7A1E"/>
    <w:rsid w:val="009C7C9A"/>
    <w:rsid w:val="009C7CCC"/>
    <w:rsid w:val="009D0195"/>
    <w:rsid w:val="009D03EB"/>
    <w:rsid w:val="009D0480"/>
    <w:rsid w:val="009D04AA"/>
    <w:rsid w:val="009D06F3"/>
    <w:rsid w:val="009D07FB"/>
    <w:rsid w:val="009D0AB5"/>
    <w:rsid w:val="009D0B2E"/>
    <w:rsid w:val="009D10AC"/>
    <w:rsid w:val="009D133E"/>
    <w:rsid w:val="009D149F"/>
    <w:rsid w:val="009D15C8"/>
    <w:rsid w:val="009D167C"/>
    <w:rsid w:val="009D1851"/>
    <w:rsid w:val="009D188E"/>
    <w:rsid w:val="009D1906"/>
    <w:rsid w:val="009D1C1C"/>
    <w:rsid w:val="009D1C66"/>
    <w:rsid w:val="009D1D4A"/>
    <w:rsid w:val="009D1F63"/>
    <w:rsid w:val="009D213E"/>
    <w:rsid w:val="009D21D1"/>
    <w:rsid w:val="009D230C"/>
    <w:rsid w:val="009D2324"/>
    <w:rsid w:val="009D2B39"/>
    <w:rsid w:val="009D2BE5"/>
    <w:rsid w:val="009D2CED"/>
    <w:rsid w:val="009D2FD9"/>
    <w:rsid w:val="009D3061"/>
    <w:rsid w:val="009D30E7"/>
    <w:rsid w:val="009D31AF"/>
    <w:rsid w:val="009D3225"/>
    <w:rsid w:val="009D32FF"/>
    <w:rsid w:val="009D33F7"/>
    <w:rsid w:val="009D34C5"/>
    <w:rsid w:val="009D3518"/>
    <w:rsid w:val="009D3697"/>
    <w:rsid w:val="009D39C7"/>
    <w:rsid w:val="009D3F44"/>
    <w:rsid w:val="009D40FF"/>
    <w:rsid w:val="009D421A"/>
    <w:rsid w:val="009D468B"/>
    <w:rsid w:val="009D4833"/>
    <w:rsid w:val="009D49F6"/>
    <w:rsid w:val="009D4A07"/>
    <w:rsid w:val="009D4AA3"/>
    <w:rsid w:val="009D4B5F"/>
    <w:rsid w:val="009D4CA2"/>
    <w:rsid w:val="009D5113"/>
    <w:rsid w:val="009D584B"/>
    <w:rsid w:val="009D59A8"/>
    <w:rsid w:val="009D5C43"/>
    <w:rsid w:val="009D5D6A"/>
    <w:rsid w:val="009D5DE8"/>
    <w:rsid w:val="009D5E20"/>
    <w:rsid w:val="009D5F63"/>
    <w:rsid w:val="009D5FD5"/>
    <w:rsid w:val="009D60B4"/>
    <w:rsid w:val="009D60FC"/>
    <w:rsid w:val="009D61BB"/>
    <w:rsid w:val="009D6330"/>
    <w:rsid w:val="009D6530"/>
    <w:rsid w:val="009D6A7F"/>
    <w:rsid w:val="009D6FF9"/>
    <w:rsid w:val="009D707E"/>
    <w:rsid w:val="009D7226"/>
    <w:rsid w:val="009D72BD"/>
    <w:rsid w:val="009D735E"/>
    <w:rsid w:val="009D73FA"/>
    <w:rsid w:val="009D7489"/>
    <w:rsid w:val="009D7537"/>
    <w:rsid w:val="009D759E"/>
    <w:rsid w:val="009D75AD"/>
    <w:rsid w:val="009D7687"/>
    <w:rsid w:val="009D76C8"/>
    <w:rsid w:val="009D7857"/>
    <w:rsid w:val="009D7952"/>
    <w:rsid w:val="009D7AD1"/>
    <w:rsid w:val="009D7D17"/>
    <w:rsid w:val="009D7DEC"/>
    <w:rsid w:val="009D7FDF"/>
    <w:rsid w:val="009E02C9"/>
    <w:rsid w:val="009E06FA"/>
    <w:rsid w:val="009E0711"/>
    <w:rsid w:val="009E07CC"/>
    <w:rsid w:val="009E0B8D"/>
    <w:rsid w:val="009E0C35"/>
    <w:rsid w:val="009E0D59"/>
    <w:rsid w:val="009E0D6E"/>
    <w:rsid w:val="009E0F9A"/>
    <w:rsid w:val="009E10DA"/>
    <w:rsid w:val="009E1110"/>
    <w:rsid w:val="009E1590"/>
    <w:rsid w:val="009E1661"/>
    <w:rsid w:val="009E19C3"/>
    <w:rsid w:val="009E1B54"/>
    <w:rsid w:val="009E1E33"/>
    <w:rsid w:val="009E1E3D"/>
    <w:rsid w:val="009E2357"/>
    <w:rsid w:val="009E2393"/>
    <w:rsid w:val="009E246D"/>
    <w:rsid w:val="009E27A3"/>
    <w:rsid w:val="009E2BF9"/>
    <w:rsid w:val="009E2D0D"/>
    <w:rsid w:val="009E2E14"/>
    <w:rsid w:val="009E2EC8"/>
    <w:rsid w:val="009E2FB0"/>
    <w:rsid w:val="009E3556"/>
    <w:rsid w:val="009E3643"/>
    <w:rsid w:val="009E3876"/>
    <w:rsid w:val="009E3883"/>
    <w:rsid w:val="009E3AF5"/>
    <w:rsid w:val="009E3BD7"/>
    <w:rsid w:val="009E411E"/>
    <w:rsid w:val="009E4151"/>
    <w:rsid w:val="009E459B"/>
    <w:rsid w:val="009E45AB"/>
    <w:rsid w:val="009E4A0A"/>
    <w:rsid w:val="009E4ACB"/>
    <w:rsid w:val="009E4CD4"/>
    <w:rsid w:val="009E4D20"/>
    <w:rsid w:val="009E5234"/>
    <w:rsid w:val="009E5378"/>
    <w:rsid w:val="009E53BC"/>
    <w:rsid w:val="009E54EE"/>
    <w:rsid w:val="009E5781"/>
    <w:rsid w:val="009E5B37"/>
    <w:rsid w:val="009E5E85"/>
    <w:rsid w:val="009E6206"/>
    <w:rsid w:val="009E629D"/>
    <w:rsid w:val="009E6738"/>
    <w:rsid w:val="009E67AC"/>
    <w:rsid w:val="009E68A5"/>
    <w:rsid w:val="009E6B0D"/>
    <w:rsid w:val="009E6F89"/>
    <w:rsid w:val="009E7286"/>
    <w:rsid w:val="009E746F"/>
    <w:rsid w:val="009E7BF1"/>
    <w:rsid w:val="009E7DBC"/>
    <w:rsid w:val="009E7E0A"/>
    <w:rsid w:val="009E7FC0"/>
    <w:rsid w:val="009F0186"/>
    <w:rsid w:val="009F022F"/>
    <w:rsid w:val="009F03FD"/>
    <w:rsid w:val="009F06A5"/>
    <w:rsid w:val="009F096D"/>
    <w:rsid w:val="009F0EC4"/>
    <w:rsid w:val="009F14FC"/>
    <w:rsid w:val="009F156E"/>
    <w:rsid w:val="009F1594"/>
    <w:rsid w:val="009F1B9D"/>
    <w:rsid w:val="009F2093"/>
    <w:rsid w:val="009F20CB"/>
    <w:rsid w:val="009F20D6"/>
    <w:rsid w:val="009F2182"/>
    <w:rsid w:val="009F22CD"/>
    <w:rsid w:val="009F2358"/>
    <w:rsid w:val="009F2760"/>
    <w:rsid w:val="009F2886"/>
    <w:rsid w:val="009F32D7"/>
    <w:rsid w:val="009F33B8"/>
    <w:rsid w:val="009F34CD"/>
    <w:rsid w:val="009F389E"/>
    <w:rsid w:val="009F3C8C"/>
    <w:rsid w:val="009F3D06"/>
    <w:rsid w:val="009F3D12"/>
    <w:rsid w:val="009F3ED9"/>
    <w:rsid w:val="009F4191"/>
    <w:rsid w:val="009F4385"/>
    <w:rsid w:val="009F45E4"/>
    <w:rsid w:val="009F47C4"/>
    <w:rsid w:val="009F4839"/>
    <w:rsid w:val="009F48A9"/>
    <w:rsid w:val="009F4C5C"/>
    <w:rsid w:val="009F4C9C"/>
    <w:rsid w:val="009F5028"/>
    <w:rsid w:val="009F5159"/>
    <w:rsid w:val="009F52AF"/>
    <w:rsid w:val="009F52D7"/>
    <w:rsid w:val="009F5412"/>
    <w:rsid w:val="009F5629"/>
    <w:rsid w:val="009F567E"/>
    <w:rsid w:val="009F583E"/>
    <w:rsid w:val="009F5897"/>
    <w:rsid w:val="009F5AF8"/>
    <w:rsid w:val="009F5B8B"/>
    <w:rsid w:val="009F5BDA"/>
    <w:rsid w:val="009F5C76"/>
    <w:rsid w:val="009F5CBD"/>
    <w:rsid w:val="009F5E0E"/>
    <w:rsid w:val="009F5FF5"/>
    <w:rsid w:val="009F6003"/>
    <w:rsid w:val="009F609C"/>
    <w:rsid w:val="009F6730"/>
    <w:rsid w:val="009F6A56"/>
    <w:rsid w:val="009F6ADE"/>
    <w:rsid w:val="009F6BEF"/>
    <w:rsid w:val="009F6C47"/>
    <w:rsid w:val="009F6EE7"/>
    <w:rsid w:val="009F76B4"/>
    <w:rsid w:val="009F76EA"/>
    <w:rsid w:val="009F7886"/>
    <w:rsid w:val="009F7C19"/>
    <w:rsid w:val="009F7E38"/>
    <w:rsid w:val="009F7F60"/>
    <w:rsid w:val="00A0058F"/>
    <w:rsid w:val="00A007C4"/>
    <w:rsid w:val="00A00B3F"/>
    <w:rsid w:val="00A00C46"/>
    <w:rsid w:val="00A00C4B"/>
    <w:rsid w:val="00A01081"/>
    <w:rsid w:val="00A01189"/>
    <w:rsid w:val="00A01413"/>
    <w:rsid w:val="00A01579"/>
    <w:rsid w:val="00A017EF"/>
    <w:rsid w:val="00A01849"/>
    <w:rsid w:val="00A0189D"/>
    <w:rsid w:val="00A01937"/>
    <w:rsid w:val="00A0193C"/>
    <w:rsid w:val="00A01965"/>
    <w:rsid w:val="00A019CE"/>
    <w:rsid w:val="00A01E5D"/>
    <w:rsid w:val="00A021E6"/>
    <w:rsid w:val="00A02203"/>
    <w:rsid w:val="00A0222E"/>
    <w:rsid w:val="00A023A7"/>
    <w:rsid w:val="00A0258A"/>
    <w:rsid w:val="00A025F5"/>
    <w:rsid w:val="00A028A6"/>
    <w:rsid w:val="00A028C2"/>
    <w:rsid w:val="00A028D5"/>
    <w:rsid w:val="00A02925"/>
    <w:rsid w:val="00A029C1"/>
    <w:rsid w:val="00A02D2B"/>
    <w:rsid w:val="00A02D9C"/>
    <w:rsid w:val="00A02EAC"/>
    <w:rsid w:val="00A0309D"/>
    <w:rsid w:val="00A031B1"/>
    <w:rsid w:val="00A032AB"/>
    <w:rsid w:val="00A032AE"/>
    <w:rsid w:val="00A032FC"/>
    <w:rsid w:val="00A03785"/>
    <w:rsid w:val="00A039C2"/>
    <w:rsid w:val="00A03C08"/>
    <w:rsid w:val="00A03C0A"/>
    <w:rsid w:val="00A03CF5"/>
    <w:rsid w:val="00A03DA8"/>
    <w:rsid w:val="00A04006"/>
    <w:rsid w:val="00A04012"/>
    <w:rsid w:val="00A041CE"/>
    <w:rsid w:val="00A0457D"/>
    <w:rsid w:val="00A045A9"/>
    <w:rsid w:val="00A04872"/>
    <w:rsid w:val="00A0490C"/>
    <w:rsid w:val="00A049C6"/>
    <w:rsid w:val="00A04CDF"/>
    <w:rsid w:val="00A04E8F"/>
    <w:rsid w:val="00A052ED"/>
    <w:rsid w:val="00A052F5"/>
    <w:rsid w:val="00A053B5"/>
    <w:rsid w:val="00A05623"/>
    <w:rsid w:val="00A06010"/>
    <w:rsid w:val="00A06058"/>
    <w:rsid w:val="00A061DC"/>
    <w:rsid w:val="00A0635E"/>
    <w:rsid w:val="00A0651D"/>
    <w:rsid w:val="00A066A7"/>
    <w:rsid w:val="00A067A3"/>
    <w:rsid w:val="00A06988"/>
    <w:rsid w:val="00A069D0"/>
    <w:rsid w:val="00A0704F"/>
    <w:rsid w:val="00A0705A"/>
    <w:rsid w:val="00A0724D"/>
    <w:rsid w:val="00A0732D"/>
    <w:rsid w:val="00A077FA"/>
    <w:rsid w:val="00A07BBD"/>
    <w:rsid w:val="00A07DBE"/>
    <w:rsid w:val="00A1018F"/>
    <w:rsid w:val="00A104B0"/>
    <w:rsid w:val="00A10511"/>
    <w:rsid w:val="00A105D2"/>
    <w:rsid w:val="00A10D33"/>
    <w:rsid w:val="00A10D51"/>
    <w:rsid w:val="00A10D70"/>
    <w:rsid w:val="00A10E0C"/>
    <w:rsid w:val="00A10E86"/>
    <w:rsid w:val="00A1100A"/>
    <w:rsid w:val="00A11230"/>
    <w:rsid w:val="00A1127E"/>
    <w:rsid w:val="00A114D5"/>
    <w:rsid w:val="00A11687"/>
    <w:rsid w:val="00A116F1"/>
    <w:rsid w:val="00A1191B"/>
    <w:rsid w:val="00A11998"/>
    <w:rsid w:val="00A11C6D"/>
    <w:rsid w:val="00A11D48"/>
    <w:rsid w:val="00A11D6B"/>
    <w:rsid w:val="00A11F63"/>
    <w:rsid w:val="00A1231B"/>
    <w:rsid w:val="00A1256F"/>
    <w:rsid w:val="00A1287C"/>
    <w:rsid w:val="00A129AA"/>
    <w:rsid w:val="00A12AB2"/>
    <w:rsid w:val="00A12DC5"/>
    <w:rsid w:val="00A12E08"/>
    <w:rsid w:val="00A12EEF"/>
    <w:rsid w:val="00A12FC5"/>
    <w:rsid w:val="00A1317E"/>
    <w:rsid w:val="00A135EE"/>
    <w:rsid w:val="00A13604"/>
    <w:rsid w:val="00A13639"/>
    <w:rsid w:val="00A1373F"/>
    <w:rsid w:val="00A13C65"/>
    <w:rsid w:val="00A1402E"/>
    <w:rsid w:val="00A14062"/>
    <w:rsid w:val="00A144FC"/>
    <w:rsid w:val="00A14607"/>
    <w:rsid w:val="00A1472C"/>
    <w:rsid w:val="00A147BE"/>
    <w:rsid w:val="00A14A31"/>
    <w:rsid w:val="00A14AEA"/>
    <w:rsid w:val="00A14BAE"/>
    <w:rsid w:val="00A1500B"/>
    <w:rsid w:val="00A15049"/>
    <w:rsid w:val="00A15130"/>
    <w:rsid w:val="00A1519F"/>
    <w:rsid w:val="00A1528D"/>
    <w:rsid w:val="00A15323"/>
    <w:rsid w:val="00A15448"/>
    <w:rsid w:val="00A154AF"/>
    <w:rsid w:val="00A155E4"/>
    <w:rsid w:val="00A15732"/>
    <w:rsid w:val="00A159CB"/>
    <w:rsid w:val="00A15C8F"/>
    <w:rsid w:val="00A15CA1"/>
    <w:rsid w:val="00A15D16"/>
    <w:rsid w:val="00A15E63"/>
    <w:rsid w:val="00A15F54"/>
    <w:rsid w:val="00A16062"/>
    <w:rsid w:val="00A163CE"/>
    <w:rsid w:val="00A16446"/>
    <w:rsid w:val="00A16753"/>
    <w:rsid w:val="00A168E6"/>
    <w:rsid w:val="00A16914"/>
    <w:rsid w:val="00A16AC1"/>
    <w:rsid w:val="00A16C5A"/>
    <w:rsid w:val="00A16D31"/>
    <w:rsid w:val="00A16E7D"/>
    <w:rsid w:val="00A176C4"/>
    <w:rsid w:val="00A1785B"/>
    <w:rsid w:val="00A179BA"/>
    <w:rsid w:val="00A17ABC"/>
    <w:rsid w:val="00A20008"/>
    <w:rsid w:val="00A2019C"/>
    <w:rsid w:val="00A20250"/>
    <w:rsid w:val="00A20413"/>
    <w:rsid w:val="00A20564"/>
    <w:rsid w:val="00A2064D"/>
    <w:rsid w:val="00A207C1"/>
    <w:rsid w:val="00A20816"/>
    <w:rsid w:val="00A2091B"/>
    <w:rsid w:val="00A20997"/>
    <w:rsid w:val="00A20A6D"/>
    <w:rsid w:val="00A21046"/>
    <w:rsid w:val="00A213A8"/>
    <w:rsid w:val="00A213C1"/>
    <w:rsid w:val="00A213DB"/>
    <w:rsid w:val="00A21C5C"/>
    <w:rsid w:val="00A21F26"/>
    <w:rsid w:val="00A21F84"/>
    <w:rsid w:val="00A2249C"/>
    <w:rsid w:val="00A224C2"/>
    <w:rsid w:val="00A22548"/>
    <w:rsid w:val="00A22619"/>
    <w:rsid w:val="00A226C1"/>
    <w:rsid w:val="00A2275A"/>
    <w:rsid w:val="00A235DF"/>
    <w:rsid w:val="00A2366D"/>
    <w:rsid w:val="00A236FC"/>
    <w:rsid w:val="00A23794"/>
    <w:rsid w:val="00A239C4"/>
    <w:rsid w:val="00A23A04"/>
    <w:rsid w:val="00A23C2E"/>
    <w:rsid w:val="00A23C95"/>
    <w:rsid w:val="00A23D98"/>
    <w:rsid w:val="00A2414E"/>
    <w:rsid w:val="00A24615"/>
    <w:rsid w:val="00A2465A"/>
    <w:rsid w:val="00A246B1"/>
    <w:rsid w:val="00A2479D"/>
    <w:rsid w:val="00A2486D"/>
    <w:rsid w:val="00A248B8"/>
    <w:rsid w:val="00A2495C"/>
    <w:rsid w:val="00A24C39"/>
    <w:rsid w:val="00A24C5F"/>
    <w:rsid w:val="00A24CB1"/>
    <w:rsid w:val="00A24CEA"/>
    <w:rsid w:val="00A24E63"/>
    <w:rsid w:val="00A24EF3"/>
    <w:rsid w:val="00A25299"/>
    <w:rsid w:val="00A253D3"/>
    <w:rsid w:val="00A25825"/>
    <w:rsid w:val="00A259BF"/>
    <w:rsid w:val="00A25C88"/>
    <w:rsid w:val="00A25D8D"/>
    <w:rsid w:val="00A2611A"/>
    <w:rsid w:val="00A26217"/>
    <w:rsid w:val="00A265EF"/>
    <w:rsid w:val="00A26B23"/>
    <w:rsid w:val="00A26CB9"/>
    <w:rsid w:val="00A26CF1"/>
    <w:rsid w:val="00A270F0"/>
    <w:rsid w:val="00A27786"/>
    <w:rsid w:val="00A277AB"/>
    <w:rsid w:val="00A27958"/>
    <w:rsid w:val="00A279DD"/>
    <w:rsid w:val="00A27ADB"/>
    <w:rsid w:val="00A27B44"/>
    <w:rsid w:val="00A27E5E"/>
    <w:rsid w:val="00A27E6B"/>
    <w:rsid w:val="00A27E85"/>
    <w:rsid w:val="00A30289"/>
    <w:rsid w:val="00A30461"/>
    <w:rsid w:val="00A30693"/>
    <w:rsid w:val="00A3096A"/>
    <w:rsid w:val="00A30DA4"/>
    <w:rsid w:val="00A30F7F"/>
    <w:rsid w:val="00A3108A"/>
    <w:rsid w:val="00A3110D"/>
    <w:rsid w:val="00A3123A"/>
    <w:rsid w:val="00A3145F"/>
    <w:rsid w:val="00A315FC"/>
    <w:rsid w:val="00A31866"/>
    <w:rsid w:val="00A318F6"/>
    <w:rsid w:val="00A31940"/>
    <w:rsid w:val="00A31A38"/>
    <w:rsid w:val="00A31AEE"/>
    <w:rsid w:val="00A31C15"/>
    <w:rsid w:val="00A31C85"/>
    <w:rsid w:val="00A31E23"/>
    <w:rsid w:val="00A31EE1"/>
    <w:rsid w:val="00A3207C"/>
    <w:rsid w:val="00A3228A"/>
    <w:rsid w:val="00A329ED"/>
    <w:rsid w:val="00A32A19"/>
    <w:rsid w:val="00A32AF9"/>
    <w:rsid w:val="00A32BB9"/>
    <w:rsid w:val="00A32C71"/>
    <w:rsid w:val="00A32CBD"/>
    <w:rsid w:val="00A32CEB"/>
    <w:rsid w:val="00A33104"/>
    <w:rsid w:val="00A33468"/>
    <w:rsid w:val="00A3356C"/>
    <w:rsid w:val="00A3393B"/>
    <w:rsid w:val="00A3394F"/>
    <w:rsid w:val="00A33965"/>
    <w:rsid w:val="00A339A3"/>
    <w:rsid w:val="00A339E8"/>
    <w:rsid w:val="00A33B41"/>
    <w:rsid w:val="00A33D26"/>
    <w:rsid w:val="00A33E4E"/>
    <w:rsid w:val="00A33F8A"/>
    <w:rsid w:val="00A340B4"/>
    <w:rsid w:val="00A3474F"/>
    <w:rsid w:val="00A34804"/>
    <w:rsid w:val="00A349D4"/>
    <w:rsid w:val="00A34AB3"/>
    <w:rsid w:val="00A34BC8"/>
    <w:rsid w:val="00A34CF8"/>
    <w:rsid w:val="00A34F4A"/>
    <w:rsid w:val="00A34FBF"/>
    <w:rsid w:val="00A35243"/>
    <w:rsid w:val="00A356C9"/>
    <w:rsid w:val="00A35710"/>
    <w:rsid w:val="00A35826"/>
    <w:rsid w:val="00A35863"/>
    <w:rsid w:val="00A359E3"/>
    <w:rsid w:val="00A35ABD"/>
    <w:rsid w:val="00A35B9D"/>
    <w:rsid w:val="00A35BB0"/>
    <w:rsid w:val="00A35CF8"/>
    <w:rsid w:val="00A35D40"/>
    <w:rsid w:val="00A35DF4"/>
    <w:rsid w:val="00A35E1A"/>
    <w:rsid w:val="00A35F5D"/>
    <w:rsid w:val="00A36032"/>
    <w:rsid w:val="00A3608D"/>
    <w:rsid w:val="00A3613C"/>
    <w:rsid w:val="00A36151"/>
    <w:rsid w:val="00A36164"/>
    <w:rsid w:val="00A361FF"/>
    <w:rsid w:val="00A364F3"/>
    <w:rsid w:val="00A3690B"/>
    <w:rsid w:val="00A36B41"/>
    <w:rsid w:val="00A36E93"/>
    <w:rsid w:val="00A3728C"/>
    <w:rsid w:val="00A37387"/>
    <w:rsid w:val="00A37416"/>
    <w:rsid w:val="00A376F2"/>
    <w:rsid w:val="00A3771B"/>
    <w:rsid w:val="00A37A83"/>
    <w:rsid w:val="00A37FC8"/>
    <w:rsid w:val="00A4032C"/>
    <w:rsid w:val="00A4037F"/>
    <w:rsid w:val="00A40579"/>
    <w:rsid w:val="00A405DD"/>
    <w:rsid w:val="00A40982"/>
    <w:rsid w:val="00A409C6"/>
    <w:rsid w:val="00A409CD"/>
    <w:rsid w:val="00A40A20"/>
    <w:rsid w:val="00A40ABB"/>
    <w:rsid w:val="00A40B11"/>
    <w:rsid w:val="00A40E07"/>
    <w:rsid w:val="00A40ED1"/>
    <w:rsid w:val="00A40ED6"/>
    <w:rsid w:val="00A41362"/>
    <w:rsid w:val="00A416D4"/>
    <w:rsid w:val="00A41FDE"/>
    <w:rsid w:val="00A423FE"/>
    <w:rsid w:val="00A425DB"/>
    <w:rsid w:val="00A42788"/>
    <w:rsid w:val="00A42A51"/>
    <w:rsid w:val="00A42AE8"/>
    <w:rsid w:val="00A42C0E"/>
    <w:rsid w:val="00A42ED1"/>
    <w:rsid w:val="00A42FAA"/>
    <w:rsid w:val="00A42FFB"/>
    <w:rsid w:val="00A43191"/>
    <w:rsid w:val="00A434AA"/>
    <w:rsid w:val="00A43571"/>
    <w:rsid w:val="00A437A3"/>
    <w:rsid w:val="00A4388D"/>
    <w:rsid w:val="00A43900"/>
    <w:rsid w:val="00A43B11"/>
    <w:rsid w:val="00A43EAA"/>
    <w:rsid w:val="00A43FE8"/>
    <w:rsid w:val="00A44132"/>
    <w:rsid w:val="00A44349"/>
    <w:rsid w:val="00A448C8"/>
    <w:rsid w:val="00A44A14"/>
    <w:rsid w:val="00A44D8C"/>
    <w:rsid w:val="00A45097"/>
    <w:rsid w:val="00A450DF"/>
    <w:rsid w:val="00A4527B"/>
    <w:rsid w:val="00A45342"/>
    <w:rsid w:val="00A4537C"/>
    <w:rsid w:val="00A45594"/>
    <w:rsid w:val="00A4559E"/>
    <w:rsid w:val="00A455AD"/>
    <w:rsid w:val="00A455F1"/>
    <w:rsid w:val="00A456D5"/>
    <w:rsid w:val="00A457AE"/>
    <w:rsid w:val="00A45A63"/>
    <w:rsid w:val="00A45B56"/>
    <w:rsid w:val="00A46077"/>
    <w:rsid w:val="00A461A5"/>
    <w:rsid w:val="00A46221"/>
    <w:rsid w:val="00A46381"/>
    <w:rsid w:val="00A46471"/>
    <w:rsid w:val="00A464B8"/>
    <w:rsid w:val="00A46A70"/>
    <w:rsid w:val="00A46B96"/>
    <w:rsid w:val="00A46C3B"/>
    <w:rsid w:val="00A46E7F"/>
    <w:rsid w:val="00A46ED4"/>
    <w:rsid w:val="00A46FAF"/>
    <w:rsid w:val="00A47035"/>
    <w:rsid w:val="00A474F8"/>
    <w:rsid w:val="00A476D5"/>
    <w:rsid w:val="00A479FF"/>
    <w:rsid w:val="00A47BD9"/>
    <w:rsid w:val="00A47D0B"/>
    <w:rsid w:val="00A50004"/>
    <w:rsid w:val="00A50058"/>
    <w:rsid w:val="00A50196"/>
    <w:rsid w:val="00A503D1"/>
    <w:rsid w:val="00A504A6"/>
    <w:rsid w:val="00A50BA3"/>
    <w:rsid w:val="00A50DE4"/>
    <w:rsid w:val="00A50E13"/>
    <w:rsid w:val="00A50F63"/>
    <w:rsid w:val="00A5107E"/>
    <w:rsid w:val="00A51214"/>
    <w:rsid w:val="00A51334"/>
    <w:rsid w:val="00A518A8"/>
    <w:rsid w:val="00A518BC"/>
    <w:rsid w:val="00A518C3"/>
    <w:rsid w:val="00A518E3"/>
    <w:rsid w:val="00A51C1F"/>
    <w:rsid w:val="00A522BE"/>
    <w:rsid w:val="00A5276F"/>
    <w:rsid w:val="00A52806"/>
    <w:rsid w:val="00A528AA"/>
    <w:rsid w:val="00A52B35"/>
    <w:rsid w:val="00A52F62"/>
    <w:rsid w:val="00A52F64"/>
    <w:rsid w:val="00A5303F"/>
    <w:rsid w:val="00A53115"/>
    <w:rsid w:val="00A531A5"/>
    <w:rsid w:val="00A53434"/>
    <w:rsid w:val="00A5349F"/>
    <w:rsid w:val="00A53940"/>
    <w:rsid w:val="00A53BC0"/>
    <w:rsid w:val="00A53D6A"/>
    <w:rsid w:val="00A53D9E"/>
    <w:rsid w:val="00A53DB2"/>
    <w:rsid w:val="00A53E5B"/>
    <w:rsid w:val="00A53ECB"/>
    <w:rsid w:val="00A541CA"/>
    <w:rsid w:val="00A54793"/>
    <w:rsid w:val="00A548CA"/>
    <w:rsid w:val="00A5497E"/>
    <w:rsid w:val="00A54D1C"/>
    <w:rsid w:val="00A54F11"/>
    <w:rsid w:val="00A54F36"/>
    <w:rsid w:val="00A54FAA"/>
    <w:rsid w:val="00A551C2"/>
    <w:rsid w:val="00A558F0"/>
    <w:rsid w:val="00A559CE"/>
    <w:rsid w:val="00A55EE3"/>
    <w:rsid w:val="00A560E8"/>
    <w:rsid w:val="00A56110"/>
    <w:rsid w:val="00A565E6"/>
    <w:rsid w:val="00A56817"/>
    <w:rsid w:val="00A56864"/>
    <w:rsid w:val="00A56A3D"/>
    <w:rsid w:val="00A56AF6"/>
    <w:rsid w:val="00A56C71"/>
    <w:rsid w:val="00A56DAD"/>
    <w:rsid w:val="00A56E28"/>
    <w:rsid w:val="00A56E44"/>
    <w:rsid w:val="00A56E82"/>
    <w:rsid w:val="00A57051"/>
    <w:rsid w:val="00A57451"/>
    <w:rsid w:val="00A5787E"/>
    <w:rsid w:val="00A57A1B"/>
    <w:rsid w:val="00A57C40"/>
    <w:rsid w:val="00A57C6A"/>
    <w:rsid w:val="00A57DD7"/>
    <w:rsid w:val="00A57DDC"/>
    <w:rsid w:val="00A57E29"/>
    <w:rsid w:val="00A57EE8"/>
    <w:rsid w:val="00A6002A"/>
    <w:rsid w:val="00A6009C"/>
    <w:rsid w:val="00A600D3"/>
    <w:rsid w:val="00A601B6"/>
    <w:rsid w:val="00A6022B"/>
    <w:rsid w:val="00A60507"/>
    <w:rsid w:val="00A605A3"/>
    <w:rsid w:val="00A6072E"/>
    <w:rsid w:val="00A6075D"/>
    <w:rsid w:val="00A6076E"/>
    <w:rsid w:val="00A6098F"/>
    <w:rsid w:val="00A60B03"/>
    <w:rsid w:val="00A60B0C"/>
    <w:rsid w:val="00A60C64"/>
    <w:rsid w:val="00A60CEB"/>
    <w:rsid w:val="00A61039"/>
    <w:rsid w:val="00A61160"/>
    <w:rsid w:val="00A6119F"/>
    <w:rsid w:val="00A61270"/>
    <w:rsid w:val="00A615E6"/>
    <w:rsid w:val="00A616DD"/>
    <w:rsid w:val="00A61847"/>
    <w:rsid w:val="00A618D3"/>
    <w:rsid w:val="00A61919"/>
    <w:rsid w:val="00A61A68"/>
    <w:rsid w:val="00A61D3C"/>
    <w:rsid w:val="00A61D74"/>
    <w:rsid w:val="00A61D93"/>
    <w:rsid w:val="00A61E0A"/>
    <w:rsid w:val="00A6239F"/>
    <w:rsid w:val="00A62977"/>
    <w:rsid w:val="00A62A05"/>
    <w:rsid w:val="00A62AC8"/>
    <w:rsid w:val="00A62BE9"/>
    <w:rsid w:val="00A62C41"/>
    <w:rsid w:val="00A63117"/>
    <w:rsid w:val="00A63182"/>
    <w:rsid w:val="00A6367B"/>
    <w:rsid w:val="00A63A45"/>
    <w:rsid w:val="00A63ADF"/>
    <w:rsid w:val="00A63E61"/>
    <w:rsid w:val="00A63FAA"/>
    <w:rsid w:val="00A64042"/>
    <w:rsid w:val="00A642D3"/>
    <w:rsid w:val="00A643C4"/>
    <w:rsid w:val="00A6475A"/>
    <w:rsid w:val="00A6497F"/>
    <w:rsid w:val="00A649D9"/>
    <w:rsid w:val="00A64A19"/>
    <w:rsid w:val="00A64D08"/>
    <w:rsid w:val="00A64DAE"/>
    <w:rsid w:val="00A64E40"/>
    <w:rsid w:val="00A64E90"/>
    <w:rsid w:val="00A651F9"/>
    <w:rsid w:val="00A6522F"/>
    <w:rsid w:val="00A65878"/>
    <w:rsid w:val="00A658FE"/>
    <w:rsid w:val="00A659B7"/>
    <w:rsid w:val="00A659FA"/>
    <w:rsid w:val="00A66135"/>
    <w:rsid w:val="00A6641D"/>
    <w:rsid w:val="00A664F6"/>
    <w:rsid w:val="00A6652E"/>
    <w:rsid w:val="00A665EE"/>
    <w:rsid w:val="00A665F1"/>
    <w:rsid w:val="00A668EE"/>
    <w:rsid w:val="00A66AE0"/>
    <w:rsid w:val="00A66B1C"/>
    <w:rsid w:val="00A66BBD"/>
    <w:rsid w:val="00A66BEA"/>
    <w:rsid w:val="00A66F5E"/>
    <w:rsid w:val="00A67103"/>
    <w:rsid w:val="00A672D6"/>
    <w:rsid w:val="00A672F7"/>
    <w:rsid w:val="00A6746B"/>
    <w:rsid w:val="00A674DA"/>
    <w:rsid w:val="00A674F2"/>
    <w:rsid w:val="00A679F6"/>
    <w:rsid w:val="00A679FB"/>
    <w:rsid w:val="00A67E56"/>
    <w:rsid w:val="00A67ED2"/>
    <w:rsid w:val="00A7002A"/>
    <w:rsid w:val="00A70062"/>
    <w:rsid w:val="00A701CD"/>
    <w:rsid w:val="00A7031B"/>
    <w:rsid w:val="00A70404"/>
    <w:rsid w:val="00A70434"/>
    <w:rsid w:val="00A704CB"/>
    <w:rsid w:val="00A70C71"/>
    <w:rsid w:val="00A71447"/>
    <w:rsid w:val="00A715A3"/>
    <w:rsid w:val="00A719B5"/>
    <w:rsid w:val="00A71ABE"/>
    <w:rsid w:val="00A71ED6"/>
    <w:rsid w:val="00A72312"/>
    <w:rsid w:val="00A723EC"/>
    <w:rsid w:val="00A725C9"/>
    <w:rsid w:val="00A72B23"/>
    <w:rsid w:val="00A72D80"/>
    <w:rsid w:val="00A72DF4"/>
    <w:rsid w:val="00A732B2"/>
    <w:rsid w:val="00A734A3"/>
    <w:rsid w:val="00A7356A"/>
    <w:rsid w:val="00A736B6"/>
    <w:rsid w:val="00A738A3"/>
    <w:rsid w:val="00A73B2A"/>
    <w:rsid w:val="00A74001"/>
    <w:rsid w:val="00A7411B"/>
    <w:rsid w:val="00A748EB"/>
    <w:rsid w:val="00A74987"/>
    <w:rsid w:val="00A74BDF"/>
    <w:rsid w:val="00A74E9A"/>
    <w:rsid w:val="00A7501B"/>
    <w:rsid w:val="00A75082"/>
    <w:rsid w:val="00A7536C"/>
    <w:rsid w:val="00A7545C"/>
    <w:rsid w:val="00A754D8"/>
    <w:rsid w:val="00A75608"/>
    <w:rsid w:val="00A758E1"/>
    <w:rsid w:val="00A75B6E"/>
    <w:rsid w:val="00A76019"/>
    <w:rsid w:val="00A7605C"/>
    <w:rsid w:val="00A763CC"/>
    <w:rsid w:val="00A76438"/>
    <w:rsid w:val="00A7648A"/>
    <w:rsid w:val="00A76789"/>
    <w:rsid w:val="00A767E2"/>
    <w:rsid w:val="00A76AFF"/>
    <w:rsid w:val="00A76DAE"/>
    <w:rsid w:val="00A76DBB"/>
    <w:rsid w:val="00A76EEA"/>
    <w:rsid w:val="00A7743D"/>
    <w:rsid w:val="00A774B7"/>
    <w:rsid w:val="00A774EB"/>
    <w:rsid w:val="00A77934"/>
    <w:rsid w:val="00A77952"/>
    <w:rsid w:val="00A77A71"/>
    <w:rsid w:val="00A77C1B"/>
    <w:rsid w:val="00A77D0D"/>
    <w:rsid w:val="00A77D45"/>
    <w:rsid w:val="00A77DF7"/>
    <w:rsid w:val="00A80144"/>
    <w:rsid w:val="00A8025B"/>
    <w:rsid w:val="00A802F6"/>
    <w:rsid w:val="00A803B0"/>
    <w:rsid w:val="00A80432"/>
    <w:rsid w:val="00A807F3"/>
    <w:rsid w:val="00A8092F"/>
    <w:rsid w:val="00A8096C"/>
    <w:rsid w:val="00A80CA7"/>
    <w:rsid w:val="00A813A2"/>
    <w:rsid w:val="00A81482"/>
    <w:rsid w:val="00A814A5"/>
    <w:rsid w:val="00A81696"/>
    <w:rsid w:val="00A81A75"/>
    <w:rsid w:val="00A81B34"/>
    <w:rsid w:val="00A82078"/>
    <w:rsid w:val="00A824C1"/>
    <w:rsid w:val="00A82764"/>
    <w:rsid w:val="00A82B34"/>
    <w:rsid w:val="00A82C9B"/>
    <w:rsid w:val="00A82FFB"/>
    <w:rsid w:val="00A831C6"/>
    <w:rsid w:val="00A831F2"/>
    <w:rsid w:val="00A832A9"/>
    <w:rsid w:val="00A83A29"/>
    <w:rsid w:val="00A83D75"/>
    <w:rsid w:val="00A83F01"/>
    <w:rsid w:val="00A840B0"/>
    <w:rsid w:val="00A8438C"/>
    <w:rsid w:val="00A844ED"/>
    <w:rsid w:val="00A845FA"/>
    <w:rsid w:val="00A8492F"/>
    <w:rsid w:val="00A84C00"/>
    <w:rsid w:val="00A84F33"/>
    <w:rsid w:val="00A85060"/>
    <w:rsid w:val="00A8541B"/>
    <w:rsid w:val="00A8541E"/>
    <w:rsid w:val="00A8572A"/>
    <w:rsid w:val="00A859B6"/>
    <w:rsid w:val="00A85CA4"/>
    <w:rsid w:val="00A85D69"/>
    <w:rsid w:val="00A85FA0"/>
    <w:rsid w:val="00A85FA1"/>
    <w:rsid w:val="00A85FD9"/>
    <w:rsid w:val="00A86104"/>
    <w:rsid w:val="00A862B4"/>
    <w:rsid w:val="00A86752"/>
    <w:rsid w:val="00A868F5"/>
    <w:rsid w:val="00A86B9B"/>
    <w:rsid w:val="00A86BC4"/>
    <w:rsid w:val="00A86C66"/>
    <w:rsid w:val="00A86CDF"/>
    <w:rsid w:val="00A86D3C"/>
    <w:rsid w:val="00A86D52"/>
    <w:rsid w:val="00A8704E"/>
    <w:rsid w:val="00A87474"/>
    <w:rsid w:val="00A874A0"/>
    <w:rsid w:val="00A875B4"/>
    <w:rsid w:val="00A8775A"/>
    <w:rsid w:val="00A877C3"/>
    <w:rsid w:val="00A87874"/>
    <w:rsid w:val="00A878EA"/>
    <w:rsid w:val="00A87D15"/>
    <w:rsid w:val="00A87DCF"/>
    <w:rsid w:val="00A87ECF"/>
    <w:rsid w:val="00A9051D"/>
    <w:rsid w:val="00A906E0"/>
    <w:rsid w:val="00A90874"/>
    <w:rsid w:val="00A90CEA"/>
    <w:rsid w:val="00A90DDA"/>
    <w:rsid w:val="00A9129E"/>
    <w:rsid w:val="00A912E9"/>
    <w:rsid w:val="00A916CC"/>
    <w:rsid w:val="00A917F0"/>
    <w:rsid w:val="00A91893"/>
    <w:rsid w:val="00A918B2"/>
    <w:rsid w:val="00A91A51"/>
    <w:rsid w:val="00A91B8F"/>
    <w:rsid w:val="00A91D0A"/>
    <w:rsid w:val="00A91F51"/>
    <w:rsid w:val="00A91F8C"/>
    <w:rsid w:val="00A92018"/>
    <w:rsid w:val="00A92121"/>
    <w:rsid w:val="00A921BD"/>
    <w:rsid w:val="00A9231E"/>
    <w:rsid w:val="00A923B8"/>
    <w:rsid w:val="00A927BF"/>
    <w:rsid w:val="00A92922"/>
    <w:rsid w:val="00A92C83"/>
    <w:rsid w:val="00A92CF5"/>
    <w:rsid w:val="00A92FCA"/>
    <w:rsid w:val="00A93316"/>
    <w:rsid w:val="00A936B5"/>
    <w:rsid w:val="00A936F1"/>
    <w:rsid w:val="00A93C36"/>
    <w:rsid w:val="00A93F18"/>
    <w:rsid w:val="00A940B1"/>
    <w:rsid w:val="00A941DA"/>
    <w:rsid w:val="00A94322"/>
    <w:rsid w:val="00A94828"/>
    <w:rsid w:val="00A94EA2"/>
    <w:rsid w:val="00A94F66"/>
    <w:rsid w:val="00A95150"/>
    <w:rsid w:val="00A95238"/>
    <w:rsid w:val="00A956CA"/>
    <w:rsid w:val="00A9585C"/>
    <w:rsid w:val="00A95908"/>
    <w:rsid w:val="00A95DB9"/>
    <w:rsid w:val="00A95EA2"/>
    <w:rsid w:val="00A95F08"/>
    <w:rsid w:val="00A96095"/>
    <w:rsid w:val="00A96096"/>
    <w:rsid w:val="00A96198"/>
    <w:rsid w:val="00A961BE"/>
    <w:rsid w:val="00A96236"/>
    <w:rsid w:val="00A96430"/>
    <w:rsid w:val="00A96DA6"/>
    <w:rsid w:val="00A96EAB"/>
    <w:rsid w:val="00A96F16"/>
    <w:rsid w:val="00A977B6"/>
    <w:rsid w:val="00A9787B"/>
    <w:rsid w:val="00A97CAC"/>
    <w:rsid w:val="00A97E63"/>
    <w:rsid w:val="00AA0213"/>
    <w:rsid w:val="00AA0296"/>
    <w:rsid w:val="00AA02B1"/>
    <w:rsid w:val="00AA07D1"/>
    <w:rsid w:val="00AA10ED"/>
    <w:rsid w:val="00AA12C5"/>
    <w:rsid w:val="00AA15CF"/>
    <w:rsid w:val="00AA168E"/>
    <w:rsid w:val="00AA1985"/>
    <w:rsid w:val="00AA19B7"/>
    <w:rsid w:val="00AA1AFB"/>
    <w:rsid w:val="00AA1D6E"/>
    <w:rsid w:val="00AA1E14"/>
    <w:rsid w:val="00AA1FE3"/>
    <w:rsid w:val="00AA23DD"/>
    <w:rsid w:val="00AA28F0"/>
    <w:rsid w:val="00AA2CC3"/>
    <w:rsid w:val="00AA2DC0"/>
    <w:rsid w:val="00AA2EEB"/>
    <w:rsid w:val="00AA2F22"/>
    <w:rsid w:val="00AA305B"/>
    <w:rsid w:val="00AA30C6"/>
    <w:rsid w:val="00AA338A"/>
    <w:rsid w:val="00AA3484"/>
    <w:rsid w:val="00AA355E"/>
    <w:rsid w:val="00AA40D2"/>
    <w:rsid w:val="00AA40DA"/>
    <w:rsid w:val="00AA4200"/>
    <w:rsid w:val="00AA428C"/>
    <w:rsid w:val="00AA4462"/>
    <w:rsid w:val="00AA4498"/>
    <w:rsid w:val="00AA45D8"/>
    <w:rsid w:val="00AA46DA"/>
    <w:rsid w:val="00AA47A5"/>
    <w:rsid w:val="00AA484D"/>
    <w:rsid w:val="00AA4871"/>
    <w:rsid w:val="00AA4B1D"/>
    <w:rsid w:val="00AA4D30"/>
    <w:rsid w:val="00AA4D58"/>
    <w:rsid w:val="00AA4E8C"/>
    <w:rsid w:val="00AA4F0E"/>
    <w:rsid w:val="00AA53D3"/>
    <w:rsid w:val="00AA55AC"/>
    <w:rsid w:val="00AA58CF"/>
    <w:rsid w:val="00AA5ACB"/>
    <w:rsid w:val="00AA5CCC"/>
    <w:rsid w:val="00AA5F68"/>
    <w:rsid w:val="00AA5FE7"/>
    <w:rsid w:val="00AA6168"/>
    <w:rsid w:val="00AA64EE"/>
    <w:rsid w:val="00AA6525"/>
    <w:rsid w:val="00AA6910"/>
    <w:rsid w:val="00AA6A70"/>
    <w:rsid w:val="00AA6E35"/>
    <w:rsid w:val="00AA7033"/>
    <w:rsid w:val="00AA7569"/>
    <w:rsid w:val="00AA792C"/>
    <w:rsid w:val="00AA7A05"/>
    <w:rsid w:val="00AA7AC3"/>
    <w:rsid w:val="00AA7D80"/>
    <w:rsid w:val="00AB0339"/>
    <w:rsid w:val="00AB0A15"/>
    <w:rsid w:val="00AB0BB2"/>
    <w:rsid w:val="00AB0E19"/>
    <w:rsid w:val="00AB0E2F"/>
    <w:rsid w:val="00AB0E45"/>
    <w:rsid w:val="00AB15DE"/>
    <w:rsid w:val="00AB189A"/>
    <w:rsid w:val="00AB1A21"/>
    <w:rsid w:val="00AB1A29"/>
    <w:rsid w:val="00AB1BDC"/>
    <w:rsid w:val="00AB1C17"/>
    <w:rsid w:val="00AB1C2E"/>
    <w:rsid w:val="00AB1C4E"/>
    <w:rsid w:val="00AB1FC4"/>
    <w:rsid w:val="00AB2094"/>
    <w:rsid w:val="00AB2150"/>
    <w:rsid w:val="00AB2204"/>
    <w:rsid w:val="00AB2A25"/>
    <w:rsid w:val="00AB2FE0"/>
    <w:rsid w:val="00AB318C"/>
    <w:rsid w:val="00AB31EA"/>
    <w:rsid w:val="00AB3274"/>
    <w:rsid w:val="00AB34E7"/>
    <w:rsid w:val="00AB34E9"/>
    <w:rsid w:val="00AB363B"/>
    <w:rsid w:val="00AB36C8"/>
    <w:rsid w:val="00AB36E2"/>
    <w:rsid w:val="00AB36EC"/>
    <w:rsid w:val="00AB3814"/>
    <w:rsid w:val="00AB3A5F"/>
    <w:rsid w:val="00AB3C17"/>
    <w:rsid w:val="00AB3CB9"/>
    <w:rsid w:val="00AB3F49"/>
    <w:rsid w:val="00AB3F59"/>
    <w:rsid w:val="00AB4261"/>
    <w:rsid w:val="00AB458E"/>
    <w:rsid w:val="00AB495B"/>
    <w:rsid w:val="00AB4A69"/>
    <w:rsid w:val="00AB4D03"/>
    <w:rsid w:val="00AB4EF3"/>
    <w:rsid w:val="00AB510C"/>
    <w:rsid w:val="00AB5182"/>
    <w:rsid w:val="00AB54E3"/>
    <w:rsid w:val="00AB568B"/>
    <w:rsid w:val="00AB589D"/>
    <w:rsid w:val="00AB5938"/>
    <w:rsid w:val="00AB5B37"/>
    <w:rsid w:val="00AB5B68"/>
    <w:rsid w:val="00AB5D89"/>
    <w:rsid w:val="00AB5E5E"/>
    <w:rsid w:val="00AB5ED0"/>
    <w:rsid w:val="00AB6343"/>
    <w:rsid w:val="00AB6364"/>
    <w:rsid w:val="00AB6433"/>
    <w:rsid w:val="00AB65E9"/>
    <w:rsid w:val="00AB6948"/>
    <w:rsid w:val="00AB6B90"/>
    <w:rsid w:val="00AB6C3C"/>
    <w:rsid w:val="00AB6D50"/>
    <w:rsid w:val="00AB70FE"/>
    <w:rsid w:val="00AB722A"/>
    <w:rsid w:val="00AB742C"/>
    <w:rsid w:val="00AB752F"/>
    <w:rsid w:val="00AB76F3"/>
    <w:rsid w:val="00AB7A08"/>
    <w:rsid w:val="00AB7D52"/>
    <w:rsid w:val="00AC02C0"/>
    <w:rsid w:val="00AC02DC"/>
    <w:rsid w:val="00AC02EB"/>
    <w:rsid w:val="00AC056F"/>
    <w:rsid w:val="00AC0680"/>
    <w:rsid w:val="00AC0B66"/>
    <w:rsid w:val="00AC0BDD"/>
    <w:rsid w:val="00AC0C00"/>
    <w:rsid w:val="00AC0C4B"/>
    <w:rsid w:val="00AC0D88"/>
    <w:rsid w:val="00AC0E00"/>
    <w:rsid w:val="00AC0E07"/>
    <w:rsid w:val="00AC1018"/>
    <w:rsid w:val="00AC15B2"/>
    <w:rsid w:val="00AC160D"/>
    <w:rsid w:val="00AC17BE"/>
    <w:rsid w:val="00AC1A22"/>
    <w:rsid w:val="00AC1A43"/>
    <w:rsid w:val="00AC1C59"/>
    <w:rsid w:val="00AC1E8C"/>
    <w:rsid w:val="00AC1F21"/>
    <w:rsid w:val="00AC2105"/>
    <w:rsid w:val="00AC21AF"/>
    <w:rsid w:val="00AC2482"/>
    <w:rsid w:val="00AC24BA"/>
    <w:rsid w:val="00AC2651"/>
    <w:rsid w:val="00AC2745"/>
    <w:rsid w:val="00AC2933"/>
    <w:rsid w:val="00AC2E35"/>
    <w:rsid w:val="00AC2E3C"/>
    <w:rsid w:val="00AC304E"/>
    <w:rsid w:val="00AC3133"/>
    <w:rsid w:val="00AC3193"/>
    <w:rsid w:val="00AC37D5"/>
    <w:rsid w:val="00AC380A"/>
    <w:rsid w:val="00AC3B45"/>
    <w:rsid w:val="00AC3BD2"/>
    <w:rsid w:val="00AC3C2E"/>
    <w:rsid w:val="00AC3CA1"/>
    <w:rsid w:val="00AC3F52"/>
    <w:rsid w:val="00AC3F7B"/>
    <w:rsid w:val="00AC4073"/>
    <w:rsid w:val="00AC43E5"/>
    <w:rsid w:val="00AC4589"/>
    <w:rsid w:val="00AC461D"/>
    <w:rsid w:val="00AC4732"/>
    <w:rsid w:val="00AC49D7"/>
    <w:rsid w:val="00AC4A9A"/>
    <w:rsid w:val="00AC4BAC"/>
    <w:rsid w:val="00AC4C5F"/>
    <w:rsid w:val="00AC4C7D"/>
    <w:rsid w:val="00AC4E9F"/>
    <w:rsid w:val="00AC53E0"/>
    <w:rsid w:val="00AC542C"/>
    <w:rsid w:val="00AC5455"/>
    <w:rsid w:val="00AC5472"/>
    <w:rsid w:val="00AC557A"/>
    <w:rsid w:val="00AC56B8"/>
    <w:rsid w:val="00AC5738"/>
    <w:rsid w:val="00AC58FA"/>
    <w:rsid w:val="00AC5A49"/>
    <w:rsid w:val="00AC5A76"/>
    <w:rsid w:val="00AC5AE3"/>
    <w:rsid w:val="00AC5B19"/>
    <w:rsid w:val="00AC5C3D"/>
    <w:rsid w:val="00AC5D83"/>
    <w:rsid w:val="00AC6138"/>
    <w:rsid w:val="00AC6749"/>
    <w:rsid w:val="00AC6EB6"/>
    <w:rsid w:val="00AC6EF7"/>
    <w:rsid w:val="00AC6F2F"/>
    <w:rsid w:val="00AC70E2"/>
    <w:rsid w:val="00AC71C0"/>
    <w:rsid w:val="00AC7282"/>
    <w:rsid w:val="00AC7442"/>
    <w:rsid w:val="00AC7471"/>
    <w:rsid w:val="00AC75A6"/>
    <w:rsid w:val="00AC7730"/>
    <w:rsid w:val="00AC7A7C"/>
    <w:rsid w:val="00AC7C08"/>
    <w:rsid w:val="00AD015E"/>
    <w:rsid w:val="00AD02F0"/>
    <w:rsid w:val="00AD0359"/>
    <w:rsid w:val="00AD044E"/>
    <w:rsid w:val="00AD047C"/>
    <w:rsid w:val="00AD0633"/>
    <w:rsid w:val="00AD0851"/>
    <w:rsid w:val="00AD08C5"/>
    <w:rsid w:val="00AD0950"/>
    <w:rsid w:val="00AD09CA"/>
    <w:rsid w:val="00AD0DE7"/>
    <w:rsid w:val="00AD0F20"/>
    <w:rsid w:val="00AD1804"/>
    <w:rsid w:val="00AD1A38"/>
    <w:rsid w:val="00AD1AE4"/>
    <w:rsid w:val="00AD1B36"/>
    <w:rsid w:val="00AD1DC6"/>
    <w:rsid w:val="00AD1FB6"/>
    <w:rsid w:val="00AD20D3"/>
    <w:rsid w:val="00AD21BC"/>
    <w:rsid w:val="00AD2224"/>
    <w:rsid w:val="00AD23FA"/>
    <w:rsid w:val="00AD241B"/>
    <w:rsid w:val="00AD27D4"/>
    <w:rsid w:val="00AD28F1"/>
    <w:rsid w:val="00AD2914"/>
    <w:rsid w:val="00AD29C2"/>
    <w:rsid w:val="00AD2AE3"/>
    <w:rsid w:val="00AD2B81"/>
    <w:rsid w:val="00AD2BA2"/>
    <w:rsid w:val="00AD2C60"/>
    <w:rsid w:val="00AD2EB2"/>
    <w:rsid w:val="00AD2ED4"/>
    <w:rsid w:val="00AD330E"/>
    <w:rsid w:val="00AD358F"/>
    <w:rsid w:val="00AD37C6"/>
    <w:rsid w:val="00AD37DB"/>
    <w:rsid w:val="00AD392D"/>
    <w:rsid w:val="00AD3B29"/>
    <w:rsid w:val="00AD3D7E"/>
    <w:rsid w:val="00AD3EC0"/>
    <w:rsid w:val="00AD41D3"/>
    <w:rsid w:val="00AD42AB"/>
    <w:rsid w:val="00AD4485"/>
    <w:rsid w:val="00AD460C"/>
    <w:rsid w:val="00AD4621"/>
    <w:rsid w:val="00AD4628"/>
    <w:rsid w:val="00AD483A"/>
    <w:rsid w:val="00AD4AF5"/>
    <w:rsid w:val="00AD4DCF"/>
    <w:rsid w:val="00AD4F29"/>
    <w:rsid w:val="00AD4F3E"/>
    <w:rsid w:val="00AD4FB5"/>
    <w:rsid w:val="00AD50FB"/>
    <w:rsid w:val="00AD527B"/>
    <w:rsid w:val="00AD54E0"/>
    <w:rsid w:val="00AD55F7"/>
    <w:rsid w:val="00AD5792"/>
    <w:rsid w:val="00AD591A"/>
    <w:rsid w:val="00AD59FF"/>
    <w:rsid w:val="00AD5DBB"/>
    <w:rsid w:val="00AD5E1A"/>
    <w:rsid w:val="00AD6250"/>
    <w:rsid w:val="00AD6942"/>
    <w:rsid w:val="00AD69D4"/>
    <w:rsid w:val="00AD6B06"/>
    <w:rsid w:val="00AD6C7D"/>
    <w:rsid w:val="00AD6CBC"/>
    <w:rsid w:val="00AD6CD6"/>
    <w:rsid w:val="00AD6DB6"/>
    <w:rsid w:val="00AD6E13"/>
    <w:rsid w:val="00AD6FBF"/>
    <w:rsid w:val="00AD7257"/>
    <w:rsid w:val="00AD72A4"/>
    <w:rsid w:val="00AD72F4"/>
    <w:rsid w:val="00AD74E8"/>
    <w:rsid w:val="00AD75A2"/>
    <w:rsid w:val="00AD79C5"/>
    <w:rsid w:val="00AD7D1C"/>
    <w:rsid w:val="00AE019F"/>
    <w:rsid w:val="00AE02BB"/>
    <w:rsid w:val="00AE0339"/>
    <w:rsid w:val="00AE043A"/>
    <w:rsid w:val="00AE0AA5"/>
    <w:rsid w:val="00AE0CF2"/>
    <w:rsid w:val="00AE1288"/>
    <w:rsid w:val="00AE13AD"/>
    <w:rsid w:val="00AE159B"/>
    <w:rsid w:val="00AE16FC"/>
    <w:rsid w:val="00AE1A95"/>
    <w:rsid w:val="00AE2350"/>
    <w:rsid w:val="00AE252B"/>
    <w:rsid w:val="00AE25B4"/>
    <w:rsid w:val="00AE278F"/>
    <w:rsid w:val="00AE2885"/>
    <w:rsid w:val="00AE2E00"/>
    <w:rsid w:val="00AE300F"/>
    <w:rsid w:val="00AE32C2"/>
    <w:rsid w:val="00AE3368"/>
    <w:rsid w:val="00AE33D3"/>
    <w:rsid w:val="00AE3421"/>
    <w:rsid w:val="00AE356C"/>
    <w:rsid w:val="00AE373E"/>
    <w:rsid w:val="00AE384E"/>
    <w:rsid w:val="00AE3887"/>
    <w:rsid w:val="00AE3935"/>
    <w:rsid w:val="00AE3ADC"/>
    <w:rsid w:val="00AE3B38"/>
    <w:rsid w:val="00AE3C03"/>
    <w:rsid w:val="00AE3C18"/>
    <w:rsid w:val="00AE3C49"/>
    <w:rsid w:val="00AE3C8D"/>
    <w:rsid w:val="00AE3CAF"/>
    <w:rsid w:val="00AE44CB"/>
    <w:rsid w:val="00AE496D"/>
    <w:rsid w:val="00AE4ACE"/>
    <w:rsid w:val="00AE523E"/>
    <w:rsid w:val="00AE5321"/>
    <w:rsid w:val="00AE5487"/>
    <w:rsid w:val="00AE57BF"/>
    <w:rsid w:val="00AE5888"/>
    <w:rsid w:val="00AE5941"/>
    <w:rsid w:val="00AE5968"/>
    <w:rsid w:val="00AE5D74"/>
    <w:rsid w:val="00AE5E58"/>
    <w:rsid w:val="00AE63E7"/>
    <w:rsid w:val="00AE64AD"/>
    <w:rsid w:val="00AE6987"/>
    <w:rsid w:val="00AE6A27"/>
    <w:rsid w:val="00AE6A49"/>
    <w:rsid w:val="00AE6B41"/>
    <w:rsid w:val="00AE6D14"/>
    <w:rsid w:val="00AE6D68"/>
    <w:rsid w:val="00AE6E3C"/>
    <w:rsid w:val="00AE7061"/>
    <w:rsid w:val="00AE7118"/>
    <w:rsid w:val="00AE7430"/>
    <w:rsid w:val="00AE75EA"/>
    <w:rsid w:val="00AE77C3"/>
    <w:rsid w:val="00AE7A98"/>
    <w:rsid w:val="00AE7BBD"/>
    <w:rsid w:val="00AE7DD1"/>
    <w:rsid w:val="00AE7E20"/>
    <w:rsid w:val="00AE7F4C"/>
    <w:rsid w:val="00AF016F"/>
    <w:rsid w:val="00AF03C4"/>
    <w:rsid w:val="00AF05B4"/>
    <w:rsid w:val="00AF05E3"/>
    <w:rsid w:val="00AF0C04"/>
    <w:rsid w:val="00AF100C"/>
    <w:rsid w:val="00AF1277"/>
    <w:rsid w:val="00AF12A3"/>
    <w:rsid w:val="00AF139A"/>
    <w:rsid w:val="00AF151F"/>
    <w:rsid w:val="00AF1578"/>
    <w:rsid w:val="00AF15CD"/>
    <w:rsid w:val="00AF1763"/>
    <w:rsid w:val="00AF181C"/>
    <w:rsid w:val="00AF18EA"/>
    <w:rsid w:val="00AF18FD"/>
    <w:rsid w:val="00AF1A3C"/>
    <w:rsid w:val="00AF1C95"/>
    <w:rsid w:val="00AF1E76"/>
    <w:rsid w:val="00AF1EF9"/>
    <w:rsid w:val="00AF1F8D"/>
    <w:rsid w:val="00AF2186"/>
    <w:rsid w:val="00AF2263"/>
    <w:rsid w:val="00AF2398"/>
    <w:rsid w:val="00AF249E"/>
    <w:rsid w:val="00AF257B"/>
    <w:rsid w:val="00AF2642"/>
    <w:rsid w:val="00AF28B2"/>
    <w:rsid w:val="00AF2962"/>
    <w:rsid w:val="00AF2B40"/>
    <w:rsid w:val="00AF2C3C"/>
    <w:rsid w:val="00AF3377"/>
    <w:rsid w:val="00AF338A"/>
    <w:rsid w:val="00AF3391"/>
    <w:rsid w:val="00AF3541"/>
    <w:rsid w:val="00AF360F"/>
    <w:rsid w:val="00AF3AA9"/>
    <w:rsid w:val="00AF3B07"/>
    <w:rsid w:val="00AF3B43"/>
    <w:rsid w:val="00AF3EDB"/>
    <w:rsid w:val="00AF3F03"/>
    <w:rsid w:val="00AF3FF8"/>
    <w:rsid w:val="00AF4361"/>
    <w:rsid w:val="00AF44DF"/>
    <w:rsid w:val="00AF4970"/>
    <w:rsid w:val="00AF49E2"/>
    <w:rsid w:val="00AF4E3F"/>
    <w:rsid w:val="00AF519C"/>
    <w:rsid w:val="00AF53CF"/>
    <w:rsid w:val="00AF57B5"/>
    <w:rsid w:val="00AF58D4"/>
    <w:rsid w:val="00AF59B1"/>
    <w:rsid w:val="00AF5BD8"/>
    <w:rsid w:val="00AF5DE6"/>
    <w:rsid w:val="00AF5E3F"/>
    <w:rsid w:val="00AF5FCF"/>
    <w:rsid w:val="00AF6116"/>
    <w:rsid w:val="00AF61B0"/>
    <w:rsid w:val="00AF64DB"/>
    <w:rsid w:val="00AF67C6"/>
    <w:rsid w:val="00AF68A5"/>
    <w:rsid w:val="00AF6B6E"/>
    <w:rsid w:val="00AF6B93"/>
    <w:rsid w:val="00AF6CE0"/>
    <w:rsid w:val="00AF7855"/>
    <w:rsid w:val="00AF79DF"/>
    <w:rsid w:val="00AF7CED"/>
    <w:rsid w:val="00AF7E1C"/>
    <w:rsid w:val="00B00400"/>
    <w:rsid w:val="00B00C1F"/>
    <w:rsid w:val="00B00DB9"/>
    <w:rsid w:val="00B00F3A"/>
    <w:rsid w:val="00B01244"/>
    <w:rsid w:val="00B015E5"/>
    <w:rsid w:val="00B017CE"/>
    <w:rsid w:val="00B01D7E"/>
    <w:rsid w:val="00B01E61"/>
    <w:rsid w:val="00B02146"/>
    <w:rsid w:val="00B024F8"/>
    <w:rsid w:val="00B02948"/>
    <w:rsid w:val="00B02B4A"/>
    <w:rsid w:val="00B02BFD"/>
    <w:rsid w:val="00B02D6B"/>
    <w:rsid w:val="00B02E89"/>
    <w:rsid w:val="00B033BB"/>
    <w:rsid w:val="00B03488"/>
    <w:rsid w:val="00B035A2"/>
    <w:rsid w:val="00B035FB"/>
    <w:rsid w:val="00B03778"/>
    <w:rsid w:val="00B03C28"/>
    <w:rsid w:val="00B03D14"/>
    <w:rsid w:val="00B03DE2"/>
    <w:rsid w:val="00B03E61"/>
    <w:rsid w:val="00B03F2B"/>
    <w:rsid w:val="00B040A6"/>
    <w:rsid w:val="00B0446A"/>
    <w:rsid w:val="00B0454C"/>
    <w:rsid w:val="00B04692"/>
    <w:rsid w:val="00B049F8"/>
    <w:rsid w:val="00B04A45"/>
    <w:rsid w:val="00B04A7A"/>
    <w:rsid w:val="00B04AAE"/>
    <w:rsid w:val="00B04AE4"/>
    <w:rsid w:val="00B04BF9"/>
    <w:rsid w:val="00B04C31"/>
    <w:rsid w:val="00B04E7C"/>
    <w:rsid w:val="00B04EC6"/>
    <w:rsid w:val="00B051ED"/>
    <w:rsid w:val="00B05435"/>
    <w:rsid w:val="00B05718"/>
    <w:rsid w:val="00B05812"/>
    <w:rsid w:val="00B05DF3"/>
    <w:rsid w:val="00B05FC3"/>
    <w:rsid w:val="00B06211"/>
    <w:rsid w:val="00B0654E"/>
    <w:rsid w:val="00B06808"/>
    <w:rsid w:val="00B068D0"/>
    <w:rsid w:val="00B06B15"/>
    <w:rsid w:val="00B06C2D"/>
    <w:rsid w:val="00B06E3D"/>
    <w:rsid w:val="00B06EBF"/>
    <w:rsid w:val="00B07CF0"/>
    <w:rsid w:val="00B07F27"/>
    <w:rsid w:val="00B07F2B"/>
    <w:rsid w:val="00B100CD"/>
    <w:rsid w:val="00B100F5"/>
    <w:rsid w:val="00B101CF"/>
    <w:rsid w:val="00B10254"/>
    <w:rsid w:val="00B1035D"/>
    <w:rsid w:val="00B103A4"/>
    <w:rsid w:val="00B103C0"/>
    <w:rsid w:val="00B1074A"/>
    <w:rsid w:val="00B10A97"/>
    <w:rsid w:val="00B10CA2"/>
    <w:rsid w:val="00B10D40"/>
    <w:rsid w:val="00B10F0D"/>
    <w:rsid w:val="00B10FBB"/>
    <w:rsid w:val="00B11171"/>
    <w:rsid w:val="00B1126C"/>
    <w:rsid w:val="00B11591"/>
    <w:rsid w:val="00B1174E"/>
    <w:rsid w:val="00B1180B"/>
    <w:rsid w:val="00B1191E"/>
    <w:rsid w:val="00B11996"/>
    <w:rsid w:val="00B11C8A"/>
    <w:rsid w:val="00B11D66"/>
    <w:rsid w:val="00B11EC0"/>
    <w:rsid w:val="00B11F8B"/>
    <w:rsid w:val="00B12164"/>
    <w:rsid w:val="00B12316"/>
    <w:rsid w:val="00B12598"/>
    <w:rsid w:val="00B12667"/>
    <w:rsid w:val="00B128BC"/>
    <w:rsid w:val="00B12988"/>
    <w:rsid w:val="00B129A2"/>
    <w:rsid w:val="00B12DD4"/>
    <w:rsid w:val="00B12F54"/>
    <w:rsid w:val="00B137E7"/>
    <w:rsid w:val="00B138FF"/>
    <w:rsid w:val="00B1391D"/>
    <w:rsid w:val="00B13979"/>
    <w:rsid w:val="00B13B32"/>
    <w:rsid w:val="00B144E7"/>
    <w:rsid w:val="00B14625"/>
    <w:rsid w:val="00B1464A"/>
    <w:rsid w:val="00B14727"/>
    <w:rsid w:val="00B149A6"/>
    <w:rsid w:val="00B14EA1"/>
    <w:rsid w:val="00B14EAE"/>
    <w:rsid w:val="00B1515A"/>
    <w:rsid w:val="00B154A0"/>
    <w:rsid w:val="00B15519"/>
    <w:rsid w:val="00B15818"/>
    <w:rsid w:val="00B15A5C"/>
    <w:rsid w:val="00B15DD0"/>
    <w:rsid w:val="00B15E04"/>
    <w:rsid w:val="00B15F69"/>
    <w:rsid w:val="00B15F88"/>
    <w:rsid w:val="00B15FAB"/>
    <w:rsid w:val="00B16104"/>
    <w:rsid w:val="00B1620D"/>
    <w:rsid w:val="00B16269"/>
    <w:rsid w:val="00B163A6"/>
    <w:rsid w:val="00B164C5"/>
    <w:rsid w:val="00B16693"/>
    <w:rsid w:val="00B167C6"/>
    <w:rsid w:val="00B16AAC"/>
    <w:rsid w:val="00B16B95"/>
    <w:rsid w:val="00B16BA4"/>
    <w:rsid w:val="00B16D04"/>
    <w:rsid w:val="00B16D3A"/>
    <w:rsid w:val="00B16E29"/>
    <w:rsid w:val="00B16E2E"/>
    <w:rsid w:val="00B17009"/>
    <w:rsid w:val="00B170C9"/>
    <w:rsid w:val="00B176F6"/>
    <w:rsid w:val="00B177F6"/>
    <w:rsid w:val="00B17812"/>
    <w:rsid w:val="00B17AF0"/>
    <w:rsid w:val="00B17D07"/>
    <w:rsid w:val="00B17DA2"/>
    <w:rsid w:val="00B20056"/>
    <w:rsid w:val="00B200E2"/>
    <w:rsid w:val="00B201B6"/>
    <w:rsid w:val="00B20227"/>
    <w:rsid w:val="00B20230"/>
    <w:rsid w:val="00B206E0"/>
    <w:rsid w:val="00B206FD"/>
    <w:rsid w:val="00B20786"/>
    <w:rsid w:val="00B207B8"/>
    <w:rsid w:val="00B207E3"/>
    <w:rsid w:val="00B20A80"/>
    <w:rsid w:val="00B20CDA"/>
    <w:rsid w:val="00B20E15"/>
    <w:rsid w:val="00B2100B"/>
    <w:rsid w:val="00B2109B"/>
    <w:rsid w:val="00B21505"/>
    <w:rsid w:val="00B21590"/>
    <w:rsid w:val="00B21608"/>
    <w:rsid w:val="00B2173F"/>
    <w:rsid w:val="00B219F8"/>
    <w:rsid w:val="00B21A53"/>
    <w:rsid w:val="00B21DA3"/>
    <w:rsid w:val="00B22276"/>
    <w:rsid w:val="00B22308"/>
    <w:rsid w:val="00B223EE"/>
    <w:rsid w:val="00B2260E"/>
    <w:rsid w:val="00B2268B"/>
    <w:rsid w:val="00B226C9"/>
    <w:rsid w:val="00B2276C"/>
    <w:rsid w:val="00B22AF2"/>
    <w:rsid w:val="00B22DDF"/>
    <w:rsid w:val="00B22E7F"/>
    <w:rsid w:val="00B23100"/>
    <w:rsid w:val="00B2311F"/>
    <w:rsid w:val="00B23340"/>
    <w:rsid w:val="00B23390"/>
    <w:rsid w:val="00B235F5"/>
    <w:rsid w:val="00B238EF"/>
    <w:rsid w:val="00B23A8E"/>
    <w:rsid w:val="00B23C89"/>
    <w:rsid w:val="00B23DF5"/>
    <w:rsid w:val="00B246D3"/>
    <w:rsid w:val="00B24734"/>
    <w:rsid w:val="00B2538C"/>
    <w:rsid w:val="00B257D7"/>
    <w:rsid w:val="00B2585A"/>
    <w:rsid w:val="00B2597D"/>
    <w:rsid w:val="00B25CB3"/>
    <w:rsid w:val="00B25CD8"/>
    <w:rsid w:val="00B25F23"/>
    <w:rsid w:val="00B25F83"/>
    <w:rsid w:val="00B2613E"/>
    <w:rsid w:val="00B262C3"/>
    <w:rsid w:val="00B26ADC"/>
    <w:rsid w:val="00B26B8E"/>
    <w:rsid w:val="00B27213"/>
    <w:rsid w:val="00B27260"/>
    <w:rsid w:val="00B272DC"/>
    <w:rsid w:val="00B2737B"/>
    <w:rsid w:val="00B274DE"/>
    <w:rsid w:val="00B27604"/>
    <w:rsid w:val="00B27766"/>
    <w:rsid w:val="00B27A2C"/>
    <w:rsid w:val="00B27AA8"/>
    <w:rsid w:val="00B27EB1"/>
    <w:rsid w:val="00B30014"/>
    <w:rsid w:val="00B30348"/>
    <w:rsid w:val="00B30A08"/>
    <w:rsid w:val="00B30CCA"/>
    <w:rsid w:val="00B31027"/>
    <w:rsid w:val="00B311AA"/>
    <w:rsid w:val="00B313F4"/>
    <w:rsid w:val="00B31442"/>
    <w:rsid w:val="00B31507"/>
    <w:rsid w:val="00B31590"/>
    <w:rsid w:val="00B316B2"/>
    <w:rsid w:val="00B31955"/>
    <w:rsid w:val="00B31A93"/>
    <w:rsid w:val="00B31CAD"/>
    <w:rsid w:val="00B31D74"/>
    <w:rsid w:val="00B31DAF"/>
    <w:rsid w:val="00B31F3B"/>
    <w:rsid w:val="00B32160"/>
    <w:rsid w:val="00B324C9"/>
    <w:rsid w:val="00B32953"/>
    <w:rsid w:val="00B32A00"/>
    <w:rsid w:val="00B32BC6"/>
    <w:rsid w:val="00B32C98"/>
    <w:rsid w:val="00B331CB"/>
    <w:rsid w:val="00B33431"/>
    <w:rsid w:val="00B334DF"/>
    <w:rsid w:val="00B336E1"/>
    <w:rsid w:val="00B3378C"/>
    <w:rsid w:val="00B338BB"/>
    <w:rsid w:val="00B33AE9"/>
    <w:rsid w:val="00B33B53"/>
    <w:rsid w:val="00B34056"/>
    <w:rsid w:val="00B342B8"/>
    <w:rsid w:val="00B3432D"/>
    <w:rsid w:val="00B343DE"/>
    <w:rsid w:val="00B343EA"/>
    <w:rsid w:val="00B3485C"/>
    <w:rsid w:val="00B34E14"/>
    <w:rsid w:val="00B351E9"/>
    <w:rsid w:val="00B3522A"/>
    <w:rsid w:val="00B353F1"/>
    <w:rsid w:val="00B3581E"/>
    <w:rsid w:val="00B35C93"/>
    <w:rsid w:val="00B35D4B"/>
    <w:rsid w:val="00B35EA1"/>
    <w:rsid w:val="00B35F5C"/>
    <w:rsid w:val="00B36057"/>
    <w:rsid w:val="00B362AE"/>
    <w:rsid w:val="00B363BA"/>
    <w:rsid w:val="00B36401"/>
    <w:rsid w:val="00B36472"/>
    <w:rsid w:val="00B364E9"/>
    <w:rsid w:val="00B3654E"/>
    <w:rsid w:val="00B365F7"/>
    <w:rsid w:val="00B3665D"/>
    <w:rsid w:val="00B367FF"/>
    <w:rsid w:val="00B36932"/>
    <w:rsid w:val="00B36B09"/>
    <w:rsid w:val="00B36D25"/>
    <w:rsid w:val="00B36DCE"/>
    <w:rsid w:val="00B36E77"/>
    <w:rsid w:val="00B37165"/>
    <w:rsid w:val="00B371E6"/>
    <w:rsid w:val="00B3776A"/>
    <w:rsid w:val="00B37A06"/>
    <w:rsid w:val="00B37D20"/>
    <w:rsid w:val="00B37EA5"/>
    <w:rsid w:val="00B37F3D"/>
    <w:rsid w:val="00B37F7E"/>
    <w:rsid w:val="00B4002C"/>
    <w:rsid w:val="00B4054C"/>
    <w:rsid w:val="00B405FD"/>
    <w:rsid w:val="00B408D9"/>
    <w:rsid w:val="00B40A6D"/>
    <w:rsid w:val="00B40A86"/>
    <w:rsid w:val="00B40ABB"/>
    <w:rsid w:val="00B40CDF"/>
    <w:rsid w:val="00B417DB"/>
    <w:rsid w:val="00B41ACF"/>
    <w:rsid w:val="00B41F81"/>
    <w:rsid w:val="00B4203D"/>
    <w:rsid w:val="00B4207A"/>
    <w:rsid w:val="00B422FB"/>
    <w:rsid w:val="00B423E8"/>
    <w:rsid w:val="00B424A0"/>
    <w:rsid w:val="00B42531"/>
    <w:rsid w:val="00B42544"/>
    <w:rsid w:val="00B4291C"/>
    <w:rsid w:val="00B42C3E"/>
    <w:rsid w:val="00B42EDC"/>
    <w:rsid w:val="00B42FB4"/>
    <w:rsid w:val="00B43083"/>
    <w:rsid w:val="00B432D7"/>
    <w:rsid w:val="00B433AD"/>
    <w:rsid w:val="00B433E8"/>
    <w:rsid w:val="00B43502"/>
    <w:rsid w:val="00B435AA"/>
    <w:rsid w:val="00B435C0"/>
    <w:rsid w:val="00B436A8"/>
    <w:rsid w:val="00B4377C"/>
    <w:rsid w:val="00B437A9"/>
    <w:rsid w:val="00B4408D"/>
    <w:rsid w:val="00B442E0"/>
    <w:rsid w:val="00B44C51"/>
    <w:rsid w:val="00B44C83"/>
    <w:rsid w:val="00B44DF3"/>
    <w:rsid w:val="00B44FFB"/>
    <w:rsid w:val="00B4511A"/>
    <w:rsid w:val="00B45809"/>
    <w:rsid w:val="00B45853"/>
    <w:rsid w:val="00B458A7"/>
    <w:rsid w:val="00B45927"/>
    <w:rsid w:val="00B4593D"/>
    <w:rsid w:val="00B45C96"/>
    <w:rsid w:val="00B45F6D"/>
    <w:rsid w:val="00B46478"/>
    <w:rsid w:val="00B4689D"/>
    <w:rsid w:val="00B46978"/>
    <w:rsid w:val="00B469DB"/>
    <w:rsid w:val="00B46C4B"/>
    <w:rsid w:val="00B46E61"/>
    <w:rsid w:val="00B47025"/>
    <w:rsid w:val="00B47148"/>
    <w:rsid w:val="00B4726B"/>
    <w:rsid w:val="00B4732C"/>
    <w:rsid w:val="00B47747"/>
    <w:rsid w:val="00B47874"/>
    <w:rsid w:val="00B47A51"/>
    <w:rsid w:val="00B47DE3"/>
    <w:rsid w:val="00B47E8C"/>
    <w:rsid w:val="00B47E93"/>
    <w:rsid w:val="00B47F02"/>
    <w:rsid w:val="00B500CE"/>
    <w:rsid w:val="00B501A6"/>
    <w:rsid w:val="00B50350"/>
    <w:rsid w:val="00B50569"/>
    <w:rsid w:val="00B5069F"/>
    <w:rsid w:val="00B50AE9"/>
    <w:rsid w:val="00B50BA3"/>
    <w:rsid w:val="00B50BC3"/>
    <w:rsid w:val="00B50C25"/>
    <w:rsid w:val="00B50D14"/>
    <w:rsid w:val="00B50D51"/>
    <w:rsid w:val="00B50DA6"/>
    <w:rsid w:val="00B50F2B"/>
    <w:rsid w:val="00B51177"/>
    <w:rsid w:val="00B5117D"/>
    <w:rsid w:val="00B51182"/>
    <w:rsid w:val="00B51499"/>
    <w:rsid w:val="00B516FD"/>
    <w:rsid w:val="00B517CD"/>
    <w:rsid w:val="00B5190C"/>
    <w:rsid w:val="00B51E55"/>
    <w:rsid w:val="00B51E7F"/>
    <w:rsid w:val="00B52259"/>
    <w:rsid w:val="00B525A1"/>
    <w:rsid w:val="00B526E6"/>
    <w:rsid w:val="00B5285A"/>
    <w:rsid w:val="00B52B5C"/>
    <w:rsid w:val="00B52E74"/>
    <w:rsid w:val="00B53077"/>
    <w:rsid w:val="00B5319C"/>
    <w:rsid w:val="00B533CE"/>
    <w:rsid w:val="00B53B50"/>
    <w:rsid w:val="00B53E42"/>
    <w:rsid w:val="00B542D7"/>
    <w:rsid w:val="00B542FE"/>
    <w:rsid w:val="00B54309"/>
    <w:rsid w:val="00B54469"/>
    <w:rsid w:val="00B548DE"/>
    <w:rsid w:val="00B54B22"/>
    <w:rsid w:val="00B54E47"/>
    <w:rsid w:val="00B54E68"/>
    <w:rsid w:val="00B54FEF"/>
    <w:rsid w:val="00B5529B"/>
    <w:rsid w:val="00B55404"/>
    <w:rsid w:val="00B55430"/>
    <w:rsid w:val="00B5560C"/>
    <w:rsid w:val="00B55793"/>
    <w:rsid w:val="00B55A1F"/>
    <w:rsid w:val="00B55BC8"/>
    <w:rsid w:val="00B55EDF"/>
    <w:rsid w:val="00B55EE3"/>
    <w:rsid w:val="00B55FFA"/>
    <w:rsid w:val="00B5607A"/>
    <w:rsid w:val="00B56096"/>
    <w:rsid w:val="00B560C5"/>
    <w:rsid w:val="00B5626B"/>
    <w:rsid w:val="00B56274"/>
    <w:rsid w:val="00B5662E"/>
    <w:rsid w:val="00B567F0"/>
    <w:rsid w:val="00B5697D"/>
    <w:rsid w:val="00B569B4"/>
    <w:rsid w:val="00B569CE"/>
    <w:rsid w:val="00B569EA"/>
    <w:rsid w:val="00B5752A"/>
    <w:rsid w:val="00B5758A"/>
    <w:rsid w:val="00B57752"/>
    <w:rsid w:val="00B57BD0"/>
    <w:rsid w:val="00B57C7F"/>
    <w:rsid w:val="00B57EB4"/>
    <w:rsid w:val="00B57F64"/>
    <w:rsid w:val="00B57FDE"/>
    <w:rsid w:val="00B60433"/>
    <w:rsid w:val="00B6056E"/>
    <w:rsid w:val="00B606CE"/>
    <w:rsid w:val="00B60842"/>
    <w:rsid w:val="00B609DB"/>
    <w:rsid w:val="00B60B9C"/>
    <w:rsid w:val="00B60C1C"/>
    <w:rsid w:val="00B61067"/>
    <w:rsid w:val="00B61073"/>
    <w:rsid w:val="00B61133"/>
    <w:rsid w:val="00B61187"/>
    <w:rsid w:val="00B611A0"/>
    <w:rsid w:val="00B614B4"/>
    <w:rsid w:val="00B61501"/>
    <w:rsid w:val="00B616DA"/>
    <w:rsid w:val="00B617B2"/>
    <w:rsid w:val="00B6197D"/>
    <w:rsid w:val="00B61A05"/>
    <w:rsid w:val="00B61AB8"/>
    <w:rsid w:val="00B61BCE"/>
    <w:rsid w:val="00B61DDB"/>
    <w:rsid w:val="00B6217B"/>
    <w:rsid w:val="00B622BD"/>
    <w:rsid w:val="00B6241A"/>
    <w:rsid w:val="00B62594"/>
    <w:rsid w:val="00B625A9"/>
    <w:rsid w:val="00B62A68"/>
    <w:rsid w:val="00B62B68"/>
    <w:rsid w:val="00B62C71"/>
    <w:rsid w:val="00B62CF2"/>
    <w:rsid w:val="00B63113"/>
    <w:rsid w:val="00B63138"/>
    <w:rsid w:val="00B6345C"/>
    <w:rsid w:val="00B635C3"/>
    <w:rsid w:val="00B6363F"/>
    <w:rsid w:val="00B6364F"/>
    <w:rsid w:val="00B63B34"/>
    <w:rsid w:val="00B63B59"/>
    <w:rsid w:val="00B63B66"/>
    <w:rsid w:val="00B63F3A"/>
    <w:rsid w:val="00B64077"/>
    <w:rsid w:val="00B6415E"/>
    <w:rsid w:val="00B643D5"/>
    <w:rsid w:val="00B644F3"/>
    <w:rsid w:val="00B645E9"/>
    <w:rsid w:val="00B64670"/>
    <w:rsid w:val="00B6476D"/>
    <w:rsid w:val="00B64772"/>
    <w:rsid w:val="00B648AF"/>
    <w:rsid w:val="00B64BB9"/>
    <w:rsid w:val="00B64CAC"/>
    <w:rsid w:val="00B64EF3"/>
    <w:rsid w:val="00B652CA"/>
    <w:rsid w:val="00B652E0"/>
    <w:rsid w:val="00B653C2"/>
    <w:rsid w:val="00B6557A"/>
    <w:rsid w:val="00B65743"/>
    <w:rsid w:val="00B6581B"/>
    <w:rsid w:val="00B658EB"/>
    <w:rsid w:val="00B65EC2"/>
    <w:rsid w:val="00B6601C"/>
    <w:rsid w:val="00B6610B"/>
    <w:rsid w:val="00B662CD"/>
    <w:rsid w:val="00B662E2"/>
    <w:rsid w:val="00B66490"/>
    <w:rsid w:val="00B66508"/>
    <w:rsid w:val="00B665B8"/>
    <w:rsid w:val="00B66C12"/>
    <w:rsid w:val="00B66F38"/>
    <w:rsid w:val="00B67308"/>
    <w:rsid w:val="00B6760E"/>
    <w:rsid w:val="00B67AF4"/>
    <w:rsid w:val="00B67B39"/>
    <w:rsid w:val="00B67EAE"/>
    <w:rsid w:val="00B67EE4"/>
    <w:rsid w:val="00B70227"/>
    <w:rsid w:val="00B7040B"/>
    <w:rsid w:val="00B705B5"/>
    <w:rsid w:val="00B70855"/>
    <w:rsid w:val="00B70BAB"/>
    <w:rsid w:val="00B70DBB"/>
    <w:rsid w:val="00B70EC6"/>
    <w:rsid w:val="00B71070"/>
    <w:rsid w:val="00B7135E"/>
    <w:rsid w:val="00B713A7"/>
    <w:rsid w:val="00B713E9"/>
    <w:rsid w:val="00B714CF"/>
    <w:rsid w:val="00B7151A"/>
    <w:rsid w:val="00B71616"/>
    <w:rsid w:val="00B71978"/>
    <w:rsid w:val="00B71CA1"/>
    <w:rsid w:val="00B71D89"/>
    <w:rsid w:val="00B71F20"/>
    <w:rsid w:val="00B72320"/>
    <w:rsid w:val="00B72333"/>
    <w:rsid w:val="00B7277D"/>
    <w:rsid w:val="00B72C79"/>
    <w:rsid w:val="00B72CC8"/>
    <w:rsid w:val="00B72FDC"/>
    <w:rsid w:val="00B73E41"/>
    <w:rsid w:val="00B73FE7"/>
    <w:rsid w:val="00B741A9"/>
    <w:rsid w:val="00B74274"/>
    <w:rsid w:val="00B7450E"/>
    <w:rsid w:val="00B7452D"/>
    <w:rsid w:val="00B74606"/>
    <w:rsid w:val="00B747F4"/>
    <w:rsid w:val="00B7484D"/>
    <w:rsid w:val="00B74C2D"/>
    <w:rsid w:val="00B74D06"/>
    <w:rsid w:val="00B75321"/>
    <w:rsid w:val="00B7533E"/>
    <w:rsid w:val="00B75340"/>
    <w:rsid w:val="00B7549F"/>
    <w:rsid w:val="00B75AA4"/>
    <w:rsid w:val="00B75BF3"/>
    <w:rsid w:val="00B75F0D"/>
    <w:rsid w:val="00B75F7A"/>
    <w:rsid w:val="00B7631D"/>
    <w:rsid w:val="00B76607"/>
    <w:rsid w:val="00B766B8"/>
    <w:rsid w:val="00B766D9"/>
    <w:rsid w:val="00B767B4"/>
    <w:rsid w:val="00B76987"/>
    <w:rsid w:val="00B76A17"/>
    <w:rsid w:val="00B76AD9"/>
    <w:rsid w:val="00B76DDE"/>
    <w:rsid w:val="00B76ED0"/>
    <w:rsid w:val="00B7712F"/>
    <w:rsid w:val="00B774F5"/>
    <w:rsid w:val="00B7769B"/>
    <w:rsid w:val="00B77AEF"/>
    <w:rsid w:val="00B800EA"/>
    <w:rsid w:val="00B801C5"/>
    <w:rsid w:val="00B802E3"/>
    <w:rsid w:val="00B8035E"/>
    <w:rsid w:val="00B804E7"/>
    <w:rsid w:val="00B80511"/>
    <w:rsid w:val="00B805BB"/>
    <w:rsid w:val="00B807B3"/>
    <w:rsid w:val="00B80ACE"/>
    <w:rsid w:val="00B8155A"/>
    <w:rsid w:val="00B8167E"/>
    <w:rsid w:val="00B81B4E"/>
    <w:rsid w:val="00B82055"/>
    <w:rsid w:val="00B82345"/>
    <w:rsid w:val="00B82404"/>
    <w:rsid w:val="00B8244D"/>
    <w:rsid w:val="00B8265B"/>
    <w:rsid w:val="00B82A5C"/>
    <w:rsid w:val="00B82A65"/>
    <w:rsid w:val="00B82A96"/>
    <w:rsid w:val="00B82B63"/>
    <w:rsid w:val="00B82BA0"/>
    <w:rsid w:val="00B82DE6"/>
    <w:rsid w:val="00B82E0D"/>
    <w:rsid w:val="00B82E3A"/>
    <w:rsid w:val="00B832B1"/>
    <w:rsid w:val="00B83301"/>
    <w:rsid w:val="00B833E8"/>
    <w:rsid w:val="00B83447"/>
    <w:rsid w:val="00B834E5"/>
    <w:rsid w:val="00B83522"/>
    <w:rsid w:val="00B838EF"/>
    <w:rsid w:val="00B839D8"/>
    <w:rsid w:val="00B83A1B"/>
    <w:rsid w:val="00B83B80"/>
    <w:rsid w:val="00B83CDB"/>
    <w:rsid w:val="00B83F80"/>
    <w:rsid w:val="00B84331"/>
    <w:rsid w:val="00B8442A"/>
    <w:rsid w:val="00B8459B"/>
    <w:rsid w:val="00B846C7"/>
    <w:rsid w:val="00B8474A"/>
    <w:rsid w:val="00B8489F"/>
    <w:rsid w:val="00B849AC"/>
    <w:rsid w:val="00B84B22"/>
    <w:rsid w:val="00B85068"/>
    <w:rsid w:val="00B852BD"/>
    <w:rsid w:val="00B85341"/>
    <w:rsid w:val="00B8551C"/>
    <w:rsid w:val="00B85B5E"/>
    <w:rsid w:val="00B85D58"/>
    <w:rsid w:val="00B85F71"/>
    <w:rsid w:val="00B85FE1"/>
    <w:rsid w:val="00B861CF"/>
    <w:rsid w:val="00B865F6"/>
    <w:rsid w:val="00B86600"/>
    <w:rsid w:val="00B86689"/>
    <w:rsid w:val="00B86958"/>
    <w:rsid w:val="00B86A2C"/>
    <w:rsid w:val="00B86F10"/>
    <w:rsid w:val="00B871B7"/>
    <w:rsid w:val="00B87371"/>
    <w:rsid w:val="00B873CF"/>
    <w:rsid w:val="00B87C35"/>
    <w:rsid w:val="00B87C6A"/>
    <w:rsid w:val="00B90252"/>
    <w:rsid w:val="00B90815"/>
    <w:rsid w:val="00B90B56"/>
    <w:rsid w:val="00B910C7"/>
    <w:rsid w:val="00B9125D"/>
    <w:rsid w:val="00B912A8"/>
    <w:rsid w:val="00B914FA"/>
    <w:rsid w:val="00B91589"/>
    <w:rsid w:val="00B9160C"/>
    <w:rsid w:val="00B91818"/>
    <w:rsid w:val="00B91839"/>
    <w:rsid w:val="00B91879"/>
    <w:rsid w:val="00B919A0"/>
    <w:rsid w:val="00B91D9D"/>
    <w:rsid w:val="00B91E6C"/>
    <w:rsid w:val="00B92067"/>
    <w:rsid w:val="00B925B5"/>
    <w:rsid w:val="00B926A3"/>
    <w:rsid w:val="00B92797"/>
    <w:rsid w:val="00B928AD"/>
    <w:rsid w:val="00B92956"/>
    <w:rsid w:val="00B92B4A"/>
    <w:rsid w:val="00B92BC5"/>
    <w:rsid w:val="00B92D9E"/>
    <w:rsid w:val="00B92DE2"/>
    <w:rsid w:val="00B92FF5"/>
    <w:rsid w:val="00B93034"/>
    <w:rsid w:val="00B93154"/>
    <w:rsid w:val="00B933A0"/>
    <w:rsid w:val="00B93412"/>
    <w:rsid w:val="00B934F5"/>
    <w:rsid w:val="00B93533"/>
    <w:rsid w:val="00B93675"/>
    <w:rsid w:val="00B9373E"/>
    <w:rsid w:val="00B9378A"/>
    <w:rsid w:val="00B93902"/>
    <w:rsid w:val="00B939F1"/>
    <w:rsid w:val="00B93D00"/>
    <w:rsid w:val="00B943EA"/>
    <w:rsid w:val="00B94595"/>
    <w:rsid w:val="00B948BF"/>
    <w:rsid w:val="00B94AAE"/>
    <w:rsid w:val="00B94B2A"/>
    <w:rsid w:val="00B94C98"/>
    <w:rsid w:val="00B94D44"/>
    <w:rsid w:val="00B94E1A"/>
    <w:rsid w:val="00B94E46"/>
    <w:rsid w:val="00B94F82"/>
    <w:rsid w:val="00B951D2"/>
    <w:rsid w:val="00B9522F"/>
    <w:rsid w:val="00B95332"/>
    <w:rsid w:val="00B955CE"/>
    <w:rsid w:val="00B956EF"/>
    <w:rsid w:val="00B958DE"/>
    <w:rsid w:val="00B95BFC"/>
    <w:rsid w:val="00B95C23"/>
    <w:rsid w:val="00B95DE7"/>
    <w:rsid w:val="00B95FAC"/>
    <w:rsid w:val="00B966E9"/>
    <w:rsid w:val="00B968A0"/>
    <w:rsid w:val="00B969E0"/>
    <w:rsid w:val="00B969F5"/>
    <w:rsid w:val="00B96BE4"/>
    <w:rsid w:val="00B96CB2"/>
    <w:rsid w:val="00B970F6"/>
    <w:rsid w:val="00B97184"/>
    <w:rsid w:val="00B972FE"/>
    <w:rsid w:val="00B973AE"/>
    <w:rsid w:val="00B974DA"/>
    <w:rsid w:val="00B976C7"/>
    <w:rsid w:val="00B977C8"/>
    <w:rsid w:val="00B97C5F"/>
    <w:rsid w:val="00B97D9B"/>
    <w:rsid w:val="00BA0253"/>
    <w:rsid w:val="00BA052F"/>
    <w:rsid w:val="00BA059C"/>
    <w:rsid w:val="00BA0861"/>
    <w:rsid w:val="00BA0AAD"/>
    <w:rsid w:val="00BA0B98"/>
    <w:rsid w:val="00BA152F"/>
    <w:rsid w:val="00BA1543"/>
    <w:rsid w:val="00BA1717"/>
    <w:rsid w:val="00BA17FE"/>
    <w:rsid w:val="00BA1975"/>
    <w:rsid w:val="00BA1A44"/>
    <w:rsid w:val="00BA1F99"/>
    <w:rsid w:val="00BA1FA2"/>
    <w:rsid w:val="00BA212B"/>
    <w:rsid w:val="00BA2664"/>
    <w:rsid w:val="00BA2927"/>
    <w:rsid w:val="00BA29A0"/>
    <w:rsid w:val="00BA2D38"/>
    <w:rsid w:val="00BA2E23"/>
    <w:rsid w:val="00BA2FF2"/>
    <w:rsid w:val="00BA3005"/>
    <w:rsid w:val="00BA30EC"/>
    <w:rsid w:val="00BA311E"/>
    <w:rsid w:val="00BA31A9"/>
    <w:rsid w:val="00BA331E"/>
    <w:rsid w:val="00BA33AB"/>
    <w:rsid w:val="00BA3496"/>
    <w:rsid w:val="00BA3630"/>
    <w:rsid w:val="00BA3649"/>
    <w:rsid w:val="00BA36CB"/>
    <w:rsid w:val="00BA3B03"/>
    <w:rsid w:val="00BA3BD6"/>
    <w:rsid w:val="00BA3C82"/>
    <w:rsid w:val="00BA3E2B"/>
    <w:rsid w:val="00BA3F99"/>
    <w:rsid w:val="00BA43A0"/>
    <w:rsid w:val="00BA489B"/>
    <w:rsid w:val="00BA4A54"/>
    <w:rsid w:val="00BA4B57"/>
    <w:rsid w:val="00BA532D"/>
    <w:rsid w:val="00BA567C"/>
    <w:rsid w:val="00BA57EA"/>
    <w:rsid w:val="00BA5A1D"/>
    <w:rsid w:val="00BA5A9E"/>
    <w:rsid w:val="00BA5E41"/>
    <w:rsid w:val="00BA60EE"/>
    <w:rsid w:val="00BA61BB"/>
    <w:rsid w:val="00BA625D"/>
    <w:rsid w:val="00BA6532"/>
    <w:rsid w:val="00BA67D3"/>
    <w:rsid w:val="00BA6A29"/>
    <w:rsid w:val="00BA6C37"/>
    <w:rsid w:val="00BA6E39"/>
    <w:rsid w:val="00BA6F0E"/>
    <w:rsid w:val="00BA6FF1"/>
    <w:rsid w:val="00BA700E"/>
    <w:rsid w:val="00BA7057"/>
    <w:rsid w:val="00BA71CB"/>
    <w:rsid w:val="00BA742E"/>
    <w:rsid w:val="00BA766D"/>
    <w:rsid w:val="00BA7738"/>
    <w:rsid w:val="00BA77DB"/>
    <w:rsid w:val="00BA7D3B"/>
    <w:rsid w:val="00BA7E3C"/>
    <w:rsid w:val="00BB00EE"/>
    <w:rsid w:val="00BB014A"/>
    <w:rsid w:val="00BB0460"/>
    <w:rsid w:val="00BB051C"/>
    <w:rsid w:val="00BB057F"/>
    <w:rsid w:val="00BB067D"/>
    <w:rsid w:val="00BB0BA8"/>
    <w:rsid w:val="00BB0DD6"/>
    <w:rsid w:val="00BB0E93"/>
    <w:rsid w:val="00BB10CE"/>
    <w:rsid w:val="00BB1293"/>
    <w:rsid w:val="00BB12D9"/>
    <w:rsid w:val="00BB13A0"/>
    <w:rsid w:val="00BB147C"/>
    <w:rsid w:val="00BB1714"/>
    <w:rsid w:val="00BB180A"/>
    <w:rsid w:val="00BB182A"/>
    <w:rsid w:val="00BB1AC0"/>
    <w:rsid w:val="00BB21EB"/>
    <w:rsid w:val="00BB220D"/>
    <w:rsid w:val="00BB2264"/>
    <w:rsid w:val="00BB24C3"/>
    <w:rsid w:val="00BB2699"/>
    <w:rsid w:val="00BB284D"/>
    <w:rsid w:val="00BB28D2"/>
    <w:rsid w:val="00BB2D8A"/>
    <w:rsid w:val="00BB38D1"/>
    <w:rsid w:val="00BB3C98"/>
    <w:rsid w:val="00BB3F1F"/>
    <w:rsid w:val="00BB3FAA"/>
    <w:rsid w:val="00BB40F7"/>
    <w:rsid w:val="00BB4255"/>
    <w:rsid w:val="00BB4312"/>
    <w:rsid w:val="00BB48D4"/>
    <w:rsid w:val="00BB4920"/>
    <w:rsid w:val="00BB4CCE"/>
    <w:rsid w:val="00BB4D30"/>
    <w:rsid w:val="00BB4D43"/>
    <w:rsid w:val="00BB5306"/>
    <w:rsid w:val="00BB563A"/>
    <w:rsid w:val="00BB5795"/>
    <w:rsid w:val="00BB57E1"/>
    <w:rsid w:val="00BB586E"/>
    <w:rsid w:val="00BB58F4"/>
    <w:rsid w:val="00BB5AE5"/>
    <w:rsid w:val="00BB5B76"/>
    <w:rsid w:val="00BB5C81"/>
    <w:rsid w:val="00BB5CAF"/>
    <w:rsid w:val="00BB5DA9"/>
    <w:rsid w:val="00BB5E10"/>
    <w:rsid w:val="00BB5E42"/>
    <w:rsid w:val="00BB621A"/>
    <w:rsid w:val="00BB6577"/>
    <w:rsid w:val="00BB65AE"/>
    <w:rsid w:val="00BB69B1"/>
    <w:rsid w:val="00BB6A32"/>
    <w:rsid w:val="00BB6D1B"/>
    <w:rsid w:val="00BB6E09"/>
    <w:rsid w:val="00BB6E5E"/>
    <w:rsid w:val="00BB72D9"/>
    <w:rsid w:val="00BB742E"/>
    <w:rsid w:val="00BB75C1"/>
    <w:rsid w:val="00BB778C"/>
    <w:rsid w:val="00BB7844"/>
    <w:rsid w:val="00BB7868"/>
    <w:rsid w:val="00BB7CAF"/>
    <w:rsid w:val="00BB7D78"/>
    <w:rsid w:val="00BB7E3B"/>
    <w:rsid w:val="00BC0188"/>
    <w:rsid w:val="00BC0518"/>
    <w:rsid w:val="00BC057E"/>
    <w:rsid w:val="00BC094B"/>
    <w:rsid w:val="00BC0DFC"/>
    <w:rsid w:val="00BC0E49"/>
    <w:rsid w:val="00BC0EB3"/>
    <w:rsid w:val="00BC0F6E"/>
    <w:rsid w:val="00BC0F8E"/>
    <w:rsid w:val="00BC1120"/>
    <w:rsid w:val="00BC13AE"/>
    <w:rsid w:val="00BC1457"/>
    <w:rsid w:val="00BC1996"/>
    <w:rsid w:val="00BC19C6"/>
    <w:rsid w:val="00BC1B1E"/>
    <w:rsid w:val="00BC1B9A"/>
    <w:rsid w:val="00BC1C1B"/>
    <w:rsid w:val="00BC1FAB"/>
    <w:rsid w:val="00BC213E"/>
    <w:rsid w:val="00BC218F"/>
    <w:rsid w:val="00BC28A1"/>
    <w:rsid w:val="00BC2E2A"/>
    <w:rsid w:val="00BC317F"/>
    <w:rsid w:val="00BC3259"/>
    <w:rsid w:val="00BC33C0"/>
    <w:rsid w:val="00BC3419"/>
    <w:rsid w:val="00BC38A5"/>
    <w:rsid w:val="00BC3989"/>
    <w:rsid w:val="00BC3B19"/>
    <w:rsid w:val="00BC3C00"/>
    <w:rsid w:val="00BC3C91"/>
    <w:rsid w:val="00BC3EDB"/>
    <w:rsid w:val="00BC45ED"/>
    <w:rsid w:val="00BC4929"/>
    <w:rsid w:val="00BC4ADD"/>
    <w:rsid w:val="00BC4EA2"/>
    <w:rsid w:val="00BC515C"/>
    <w:rsid w:val="00BC51C4"/>
    <w:rsid w:val="00BC5594"/>
    <w:rsid w:val="00BC5702"/>
    <w:rsid w:val="00BC57D9"/>
    <w:rsid w:val="00BC5BEC"/>
    <w:rsid w:val="00BC5D23"/>
    <w:rsid w:val="00BC5F53"/>
    <w:rsid w:val="00BC6133"/>
    <w:rsid w:val="00BC615C"/>
    <w:rsid w:val="00BC6653"/>
    <w:rsid w:val="00BC68F9"/>
    <w:rsid w:val="00BC6A21"/>
    <w:rsid w:val="00BC6BB2"/>
    <w:rsid w:val="00BC6F05"/>
    <w:rsid w:val="00BC727A"/>
    <w:rsid w:val="00BC7486"/>
    <w:rsid w:val="00BC753E"/>
    <w:rsid w:val="00BC75FB"/>
    <w:rsid w:val="00BC76E9"/>
    <w:rsid w:val="00BC79D8"/>
    <w:rsid w:val="00BC7A22"/>
    <w:rsid w:val="00BC7AE1"/>
    <w:rsid w:val="00BC7C63"/>
    <w:rsid w:val="00BC7C9F"/>
    <w:rsid w:val="00BC7D5F"/>
    <w:rsid w:val="00BC7D6B"/>
    <w:rsid w:val="00BD00B6"/>
    <w:rsid w:val="00BD0109"/>
    <w:rsid w:val="00BD0211"/>
    <w:rsid w:val="00BD0620"/>
    <w:rsid w:val="00BD074B"/>
    <w:rsid w:val="00BD0944"/>
    <w:rsid w:val="00BD0B94"/>
    <w:rsid w:val="00BD106E"/>
    <w:rsid w:val="00BD1262"/>
    <w:rsid w:val="00BD142D"/>
    <w:rsid w:val="00BD143B"/>
    <w:rsid w:val="00BD148C"/>
    <w:rsid w:val="00BD1899"/>
    <w:rsid w:val="00BD1988"/>
    <w:rsid w:val="00BD19F9"/>
    <w:rsid w:val="00BD1D19"/>
    <w:rsid w:val="00BD20AE"/>
    <w:rsid w:val="00BD2155"/>
    <w:rsid w:val="00BD230D"/>
    <w:rsid w:val="00BD2494"/>
    <w:rsid w:val="00BD24F5"/>
    <w:rsid w:val="00BD27C8"/>
    <w:rsid w:val="00BD2B69"/>
    <w:rsid w:val="00BD2FD0"/>
    <w:rsid w:val="00BD32CA"/>
    <w:rsid w:val="00BD335C"/>
    <w:rsid w:val="00BD35C2"/>
    <w:rsid w:val="00BD3970"/>
    <w:rsid w:val="00BD3971"/>
    <w:rsid w:val="00BD3B61"/>
    <w:rsid w:val="00BD41E1"/>
    <w:rsid w:val="00BD4502"/>
    <w:rsid w:val="00BD45EE"/>
    <w:rsid w:val="00BD4834"/>
    <w:rsid w:val="00BD49C1"/>
    <w:rsid w:val="00BD4B1D"/>
    <w:rsid w:val="00BD4BAE"/>
    <w:rsid w:val="00BD4BC4"/>
    <w:rsid w:val="00BD4D9E"/>
    <w:rsid w:val="00BD4E5E"/>
    <w:rsid w:val="00BD4FE7"/>
    <w:rsid w:val="00BD50E6"/>
    <w:rsid w:val="00BD522B"/>
    <w:rsid w:val="00BD5342"/>
    <w:rsid w:val="00BD5463"/>
    <w:rsid w:val="00BD5729"/>
    <w:rsid w:val="00BD5740"/>
    <w:rsid w:val="00BD5B8B"/>
    <w:rsid w:val="00BD5C6A"/>
    <w:rsid w:val="00BD5D90"/>
    <w:rsid w:val="00BD600E"/>
    <w:rsid w:val="00BD60B2"/>
    <w:rsid w:val="00BD613C"/>
    <w:rsid w:val="00BD61E2"/>
    <w:rsid w:val="00BD6459"/>
    <w:rsid w:val="00BD6548"/>
    <w:rsid w:val="00BD66A2"/>
    <w:rsid w:val="00BD66F7"/>
    <w:rsid w:val="00BD66FE"/>
    <w:rsid w:val="00BD6894"/>
    <w:rsid w:val="00BD68A9"/>
    <w:rsid w:val="00BD68CE"/>
    <w:rsid w:val="00BD6D11"/>
    <w:rsid w:val="00BD772A"/>
    <w:rsid w:val="00BD77BF"/>
    <w:rsid w:val="00BD7817"/>
    <w:rsid w:val="00BD7A5E"/>
    <w:rsid w:val="00BD7AA7"/>
    <w:rsid w:val="00BD7EBD"/>
    <w:rsid w:val="00BD7EF1"/>
    <w:rsid w:val="00BE00AA"/>
    <w:rsid w:val="00BE00C2"/>
    <w:rsid w:val="00BE0110"/>
    <w:rsid w:val="00BE02A9"/>
    <w:rsid w:val="00BE0781"/>
    <w:rsid w:val="00BE08CA"/>
    <w:rsid w:val="00BE1DC9"/>
    <w:rsid w:val="00BE1F28"/>
    <w:rsid w:val="00BE207A"/>
    <w:rsid w:val="00BE21FD"/>
    <w:rsid w:val="00BE2578"/>
    <w:rsid w:val="00BE2722"/>
    <w:rsid w:val="00BE288F"/>
    <w:rsid w:val="00BE2896"/>
    <w:rsid w:val="00BE28A0"/>
    <w:rsid w:val="00BE2923"/>
    <w:rsid w:val="00BE2D5B"/>
    <w:rsid w:val="00BE3109"/>
    <w:rsid w:val="00BE337D"/>
    <w:rsid w:val="00BE353E"/>
    <w:rsid w:val="00BE387F"/>
    <w:rsid w:val="00BE3982"/>
    <w:rsid w:val="00BE3AA0"/>
    <w:rsid w:val="00BE3D0E"/>
    <w:rsid w:val="00BE3FFF"/>
    <w:rsid w:val="00BE400C"/>
    <w:rsid w:val="00BE4841"/>
    <w:rsid w:val="00BE48A7"/>
    <w:rsid w:val="00BE4970"/>
    <w:rsid w:val="00BE4A9B"/>
    <w:rsid w:val="00BE4C9E"/>
    <w:rsid w:val="00BE4E3C"/>
    <w:rsid w:val="00BE4F97"/>
    <w:rsid w:val="00BE539C"/>
    <w:rsid w:val="00BE551A"/>
    <w:rsid w:val="00BE551D"/>
    <w:rsid w:val="00BE5737"/>
    <w:rsid w:val="00BE576B"/>
    <w:rsid w:val="00BE5893"/>
    <w:rsid w:val="00BE604C"/>
    <w:rsid w:val="00BE607B"/>
    <w:rsid w:val="00BE609E"/>
    <w:rsid w:val="00BE60BD"/>
    <w:rsid w:val="00BE6101"/>
    <w:rsid w:val="00BE63E4"/>
    <w:rsid w:val="00BE685E"/>
    <w:rsid w:val="00BE6A2F"/>
    <w:rsid w:val="00BE6ACF"/>
    <w:rsid w:val="00BE6B96"/>
    <w:rsid w:val="00BE7176"/>
    <w:rsid w:val="00BE729D"/>
    <w:rsid w:val="00BE72CE"/>
    <w:rsid w:val="00BE72DD"/>
    <w:rsid w:val="00BE74BB"/>
    <w:rsid w:val="00BE791A"/>
    <w:rsid w:val="00BE7B94"/>
    <w:rsid w:val="00BE7EDC"/>
    <w:rsid w:val="00BF0077"/>
    <w:rsid w:val="00BF02E1"/>
    <w:rsid w:val="00BF0468"/>
    <w:rsid w:val="00BF0656"/>
    <w:rsid w:val="00BF09AE"/>
    <w:rsid w:val="00BF0A44"/>
    <w:rsid w:val="00BF0BB7"/>
    <w:rsid w:val="00BF0CB0"/>
    <w:rsid w:val="00BF0D10"/>
    <w:rsid w:val="00BF0F1C"/>
    <w:rsid w:val="00BF10B9"/>
    <w:rsid w:val="00BF1158"/>
    <w:rsid w:val="00BF120B"/>
    <w:rsid w:val="00BF1343"/>
    <w:rsid w:val="00BF1468"/>
    <w:rsid w:val="00BF1506"/>
    <w:rsid w:val="00BF1507"/>
    <w:rsid w:val="00BF1AF9"/>
    <w:rsid w:val="00BF1CD4"/>
    <w:rsid w:val="00BF1D0E"/>
    <w:rsid w:val="00BF1EC1"/>
    <w:rsid w:val="00BF2189"/>
    <w:rsid w:val="00BF22ED"/>
    <w:rsid w:val="00BF2371"/>
    <w:rsid w:val="00BF25D6"/>
    <w:rsid w:val="00BF27BD"/>
    <w:rsid w:val="00BF289A"/>
    <w:rsid w:val="00BF2918"/>
    <w:rsid w:val="00BF2B5E"/>
    <w:rsid w:val="00BF312F"/>
    <w:rsid w:val="00BF3340"/>
    <w:rsid w:val="00BF376A"/>
    <w:rsid w:val="00BF37B2"/>
    <w:rsid w:val="00BF39C6"/>
    <w:rsid w:val="00BF3D11"/>
    <w:rsid w:val="00BF400E"/>
    <w:rsid w:val="00BF4285"/>
    <w:rsid w:val="00BF43F7"/>
    <w:rsid w:val="00BF441F"/>
    <w:rsid w:val="00BF4476"/>
    <w:rsid w:val="00BF49CF"/>
    <w:rsid w:val="00BF4B2F"/>
    <w:rsid w:val="00BF4CDC"/>
    <w:rsid w:val="00BF4D81"/>
    <w:rsid w:val="00BF4E0F"/>
    <w:rsid w:val="00BF508A"/>
    <w:rsid w:val="00BF54EA"/>
    <w:rsid w:val="00BF55E4"/>
    <w:rsid w:val="00BF5644"/>
    <w:rsid w:val="00BF592D"/>
    <w:rsid w:val="00BF59A6"/>
    <w:rsid w:val="00BF5BE8"/>
    <w:rsid w:val="00BF5C68"/>
    <w:rsid w:val="00BF5CE4"/>
    <w:rsid w:val="00BF5F43"/>
    <w:rsid w:val="00BF6445"/>
    <w:rsid w:val="00BF64B6"/>
    <w:rsid w:val="00BF656E"/>
    <w:rsid w:val="00BF6711"/>
    <w:rsid w:val="00BF694D"/>
    <w:rsid w:val="00BF69A1"/>
    <w:rsid w:val="00BF6E00"/>
    <w:rsid w:val="00BF6EBE"/>
    <w:rsid w:val="00BF6FE4"/>
    <w:rsid w:val="00BF7204"/>
    <w:rsid w:val="00BF730C"/>
    <w:rsid w:val="00BF734A"/>
    <w:rsid w:val="00BF74A9"/>
    <w:rsid w:val="00BF74F7"/>
    <w:rsid w:val="00BF7812"/>
    <w:rsid w:val="00BF78A1"/>
    <w:rsid w:val="00BF792A"/>
    <w:rsid w:val="00BF79DC"/>
    <w:rsid w:val="00BF7ABC"/>
    <w:rsid w:val="00BF7E29"/>
    <w:rsid w:val="00C00008"/>
    <w:rsid w:val="00C0017E"/>
    <w:rsid w:val="00C007FA"/>
    <w:rsid w:val="00C00B8E"/>
    <w:rsid w:val="00C00BE4"/>
    <w:rsid w:val="00C00F0F"/>
    <w:rsid w:val="00C01056"/>
    <w:rsid w:val="00C012EA"/>
    <w:rsid w:val="00C013A0"/>
    <w:rsid w:val="00C016BF"/>
    <w:rsid w:val="00C016DA"/>
    <w:rsid w:val="00C01818"/>
    <w:rsid w:val="00C01AFC"/>
    <w:rsid w:val="00C01CCD"/>
    <w:rsid w:val="00C01D89"/>
    <w:rsid w:val="00C0205E"/>
    <w:rsid w:val="00C020E5"/>
    <w:rsid w:val="00C02225"/>
    <w:rsid w:val="00C025E6"/>
    <w:rsid w:val="00C028CC"/>
    <w:rsid w:val="00C02B4D"/>
    <w:rsid w:val="00C02B5A"/>
    <w:rsid w:val="00C02BA1"/>
    <w:rsid w:val="00C02BEF"/>
    <w:rsid w:val="00C02BF7"/>
    <w:rsid w:val="00C02C3B"/>
    <w:rsid w:val="00C02C40"/>
    <w:rsid w:val="00C02D2B"/>
    <w:rsid w:val="00C02EA6"/>
    <w:rsid w:val="00C02EAE"/>
    <w:rsid w:val="00C02F90"/>
    <w:rsid w:val="00C030CF"/>
    <w:rsid w:val="00C03275"/>
    <w:rsid w:val="00C033B0"/>
    <w:rsid w:val="00C035A5"/>
    <w:rsid w:val="00C036C1"/>
    <w:rsid w:val="00C038F6"/>
    <w:rsid w:val="00C03A27"/>
    <w:rsid w:val="00C041B0"/>
    <w:rsid w:val="00C044F5"/>
    <w:rsid w:val="00C0452C"/>
    <w:rsid w:val="00C0485B"/>
    <w:rsid w:val="00C04994"/>
    <w:rsid w:val="00C04C50"/>
    <w:rsid w:val="00C04CAE"/>
    <w:rsid w:val="00C0558C"/>
    <w:rsid w:val="00C05621"/>
    <w:rsid w:val="00C05630"/>
    <w:rsid w:val="00C056AF"/>
    <w:rsid w:val="00C05816"/>
    <w:rsid w:val="00C05897"/>
    <w:rsid w:val="00C0594B"/>
    <w:rsid w:val="00C0599E"/>
    <w:rsid w:val="00C05A27"/>
    <w:rsid w:val="00C05BC5"/>
    <w:rsid w:val="00C05DFA"/>
    <w:rsid w:val="00C05FCF"/>
    <w:rsid w:val="00C06224"/>
    <w:rsid w:val="00C063AE"/>
    <w:rsid w:val="00C063DA"/>
    <w:rsid w:val="00C06453"/>
    <w:rsid w:val="00C06763"/>
    <w:rsid w:val="00C06982"/>
    <w:rsid w:val="00C06A7C"/>
    <w:rsid w:val="00C06B27"/>
    <w:rsid w:val="00C06B61"/>
    <w:rsid w:val="00C06CDE"/>
    <w:rsid w:val="00C06D71"/>
    <w:rsid w:val="00C06FE1"/>
    <w:rsid w:val="00C070A7"/>
    <w:rsid w:val="00C07109"/>
    <w:rsid w:val="00C07125"/>
    <w:rsid w:val="00C074C9"/>
    <w:rsid w:val="00C07673"/>
    <w:rsid w:val="00C07709"/>
    <w:rsid w:val="00C10019"/>
    <w:rsid w:val="00C101A2"/>
    <w:rsid w:val="00C10458"/>
    <w:rsid w:val="00C10BF9"/>
    <w:rsid w:val="00C10F32"/>
    <w:rsid w:val="00C11068"/>
    <w:rsid w:val="00C1116B"/>
    <w:rsid w:val="00C1120B"/>
    <w:rsid w:val="00C11307"/>
    <w:rsid w:val="00C115CE"/>
    <w:rsid w:val="00C115E7"/>
    <w:rsid w:val="00C1195C"/>
    <w:rsid w:val="00C11B05"/>
    <w:rsid w:val="00C11EB6"/>
    <w:rsid w:val="00C1251F"/>
    <w:rsid w:val="00C12556"/>
    <w:rsid w:val="00C125D7"/>
    <w:rsid w:val="00C12BA5"/>
    <w:rsid w:val="00C12BDF"/>
    <w:rsid w:val="00C12DAE"/>
    <w:rsid w:val="00C12ED6"/>
    <w:rsid w:val="00C12EFC"/>
    <w:rsid w:val="00C1314C"/>
    <w:rsid w:val="00C13307"/>
    <w:rsid w:val="00C13771"/>
    <w:rsid w:val="00C13914"/>
    <w:rsid w:val="00C13A99"/>
    <w:rsid w:val="00C13CDC"/>
    <w:rsid w:val="00C13EA6"/>
    <w:rsid w:val="00C13F6A"/>
    <w:rsid w:val="00C14142"/>
    <w:rsid w:val="00C14160"/>
    <w:rsid w:val="00C1417D"/>
    <w:rsid w:val="00C142B8"/>
    <w:rsid w:val="00C14434"/>
    <w:rsid w:val="00C14888"/>
    <w:rsid w:val="00C148F6"/>
    <w:rsid w:val="00C14AE3"/>
    <w:rsid w:val="00C14DBE"/>
    <w:rsid w:val="00C14ED1"/>
    <w:rsid w:val="00C15125"/>
    <w:rsid w:val="00C152D7"/>
    <w:rsid w:val="00C15348"/>
    <w:rsid w:val="00C15543"/>
    <w:rsid w:val="00C1570D"/>
    <w:rsid w:val="00C15918"/>
    <w:rsid w:val="00C1622E"/>
    <w:rsid w:val="00C16258"/>
    <w:rsid w:val="00C1628F"/>
    <w:rsid w:val="00C16320"/>
    <w:rsid w:val="00C16492"/>
    <w:rsid w:val="00C16526"/>
    <w:rsid w:val="00C1666C"/>
    <w:rsid w:val="00C16701"/>
    <w:rsid w:val="00C168DD"/>
    <w:rsid w:val="00C169CB"/>
    <w:rsid w:val="00C16AEB"/>
    <w:rsid w:val="00C173F9"/>
    <w:rsid w:val="00C174EA"/>
    <w:rsid w:val="00C17753"/>
    <w:rsid w:val="00C1786A"/>
    <w:rsid w:val="00C17C50"/>
    <w:rsid w:val="00C17EE9"/>
    <w:rsid w:val="00C17F3A"/>
    <w:rsid w:val="00C203D7"/>
    <w:rsid w:val="00C2052E"/>
    <w:rsid w:val="00C205CF"/>
    <w:rsid w:val="00C20830"/>
    <w:rsid w:val="00C20957"/>
    <w:rsid w:val="00C20967"/>
    <w:rsid w:val="00C209BA"/>
    <w:rsid w:val="00C20A62"/>
    <w:rsid w:val="00C20AC1"/>
    <w:rsid w:val="00C2131F"/>
    <w:rsid w:val="00C2141F"/>
    <w:rsid w:val="00C217B8"/>
    <w:rsid w:val="00C21996"/>
    <w:rsid w:val="00C21A2C"/>
    <w:rsid w:val="00C22400"/>
    <w:rsid w:val="00C22819"/>
    <w:rsid w:val="00C2298C"/>
    <w:rsid w:val="00C22F14"/>
    <w:rsid w:val="00C2310E"/>
    <w:rsid w:val="00C236E0"/>
    <w:rsid w:val="00C23859"/>
    <w:rsid w:val="00C2396E"/>
    <w:rsid w:val="00C23AE5"/>
    <w:rsid w:val="00C23AE6"/>
    <w:rsid w:val="00C23C06"/>
    <w:rsid w:val="00C23CA0"/>
    <w:rsid w:val="00C23E6A"/>
    <w:rsid w:val="00C23F3C"/>
    <w:rsid w:val="00C23FDB"/>
    <w:rsid w:val="00C24125"/>
    <w:rsid w:val="00C2416D"/>
    <w:rsid w:val="00C241E3"/>
    <w:rsid w:val="00C244E8"/>
    <w:rsid w:val="00C245F4"/>
    <w:rsid w:val="00C2474F"/>
    <w:rsid w:val="00C24777"/>
    <w:rsid w:val="00C24966"/>
    <w:rsid w:val="00C249F1"/>
    <w:rsid w:val="00C24AD6"/>
    <w:rsid w:val="00C24B7F"/>
    <w:rsid w:val="00C24D2F"/>
    <w:rsid w:val="00C24FB5"/>
    <w:rsid w:val="00C252A8"/>
    <w:rsid w:val="00C25499"/>
    <w:rsid w:val="00C256CC"/>
    <w:rsid w:val="00C257B0"/>
    <w:rsid w:val="00C257E4"/>
    <w:rsid w:val="00C25AD3"/>
    <w:rsid w:val="00C25B8D"/>
    <w:rsid w:val="00C25C2F"/>
    <w:rsid w:val="00C261C6"/>
    <w:rsid w:val="00C2624B"/>
    <w:rsid w:val="00C26830"/>
    <w:rsid w:val="00C2692A"/>
    <w:rsid w:val="00C2697B"/>
    <w:rsid w:val="00C26C5B"/>
    <w:rsid w:val="00C26D26"/>
    <w:rsid w:val="00C26EF0"/>
    <w:rsid w:val="00C26F0D"/>
    <w:rsid w:val="00C276D3"/>
    <w:rsid w:val="00C27768"/>
    <w:rsid w:val="00C27772"/>
    <w:rsid w:val="00C27AFE"/>
    <w:rsid w:val="00C27DFC"/>
    <w:rsid w:val="00C27FC7"/>
    <w:rsid w:val="00C3013C"/>
    <w:rsid w:val="00C305AE"/>
    <w:rsid w:val="00C30605"/>
    <w:rsid w:val="00C30622"/>
    <w:rsid w:val="00C30AA2"/>
    <w:rsid w:val="00C30C6F"/>
    <w:rsid w:val="00C313B7"/>
    <w:rsid w:val="00C3171D"/>
    <w:rsid w:val="00C31845"/>
    <w:rsid w:val="00C31846"/>
    <w:rsid w:val="00C318E8"/>
    <w:rsid w:val="00C31913"/>
    <w:rsid w:val="00C3196A"/>
    <w:rsid w:val="00C31BBE"/>
    <w:rsid w:val="00C31CC9"/>
    <w:rsid w:val="00C31DA3"/>
    <w:rsid w:val="00C32178"/>
    <w:rsid w:val="00C32643"/>
    <w:rsid w:val="00C32686"/>
    <w:rsid w:val="00C3268B"/>
    <w:rsid w:val="00C3280E"/>
    <w:rsid w:val="00C32AEF"/>
    <w:rsid w:val="00C32B4B"/>
    <w:rsid w:val="00C32DB3"/>
    <w:rsid w:val="00C32E75"/>
    <w:rsid w:val="00C32F4B"/>
    <w:rsid w:val="00C3302E"/>
    <w:rsid w:val="00C33390"/>
    <w:rsid w:val="00C3346B"/>
    <w:rsid w:val="00C33558"/>
    <w:rsid w:val="00C336DB"/>
    <w:rsid w:val="00C3370B"/>
    <w:rsid w:val="00C33724"/>
    <w:rsid w:val="00C33737"/>
    <w:rsid w:val="00C3373C"/>
    <w:rsid w:val="00C337A8"/>
    <w:rsid w:val="00C33AE1"/>
    <w:rsid w:val="00C33F1C"/>
    <w:rsid w:val="00C33F8E"/>
    <w:rsid w:val="00C34218"/>
    <w:rsid w:val="00C34238"/>
    <w:rsid w:val="00C344D5"/>
    <w:rsid w:val="00C34644"/>
    <w:rsid w:val="00C348FE"/>
    <w:rsid w:val="00C349ED"/>
    <w:rsid w:val="00C34A04"/>
    <w:rsid w:val="00C34A15"/>
    <w:rsid w:val="00C34B52"/>
    <w:rsid w:val="00C34F4F"/>
    <w:rsid w:val="00C352EA"/>
    <w:rsid w:val="00C35328"/>
    <w:rsid w:val="00C3536D"/>
    <w:rsid w:val="00C35708"/>
    <w:rsid w:val="00C35787"/>
    <w:rsid w:val="00C357A7"/>
    <w:rsid w:val="00C35A15"/>
    <w:rsid w:val="00C35B5F"/>
    <w:rsid w:val="00C35CB0"/>
    <w:rsid w:val="00C35EFE"/>
    <w:rsid w:val="00C35FB2"/>
    <w:rsid w:val="00C3609A"/>
    <w:rsid w:val="00C362BB"/>
    <w:rsid w:val="00C3646E"/>
    <w:rsid w:val="00C36619"/>
    <w:rsid w:val="00C367C7"/>
    <w:rsid w:val="00C368DF"/>
    <w:rsid w:val="00C36B05"/>
    <w:rsid w:val="00C36B30"/>
    <w:rsid w:val="00C36C7F"/>
    <w:rsid w:val="00C36E29"/>
    <w:rsid w:val="00C3703D"/>
    <w:rsid w:val="00C3774C"/>
    <w:rsid w:val="00C377E4"/>
    <w:rsid w:val="00C37816"/>
    <w:rsid w:val="00C3789B"/>
    <w:rsid w:val="00C379E8"/>
    <w:rsid w:val="00C37C53"/>
    <w:rsid w:val="00C37EA9"/>
    <w:rsid w:val="00C37FD2"/>
    <w:rsid w:val="00C40027"/>
    <w:rsid w:val="00C40194"/>
    <w:rsid w:val="00C401C2"/>
    <w:rsid w:val="00C401DC"/>
    <w:rsid w:val="00C40344"/>
    <w:rsid w:val="00C40479"/>
    <w:rsid w:val="00C404B6"/>
    <w:rsid w:val="00C4051C"/>
    <w:rsid w:val="00C406CF"/>
    <w:rsid w:val="00C407D2"/>
    <w:rsid w:val="00C40A86"/>
    <w:rsid w:val="00C40A96"/>
    <w:rsid w:val="00C40D7D"/>
    <w:rsid w:val="00C40FCE"/>
    <w:rsid w:val="00C4121A"/>
    <w:rsid w:val="00C4135D"/>
    <w:rsid w:val="00C4172A"/>
    <w:rsid w:val="00C417C8"/>
    <w:rsid w:val="00C417D6"/>
    <w:rsid w:val="00C4181A"/>
    <w:rsid w:val="00C4187B"/>
    <w:rsid w:val="00C418E7"/>
    <w:rsid w:val="00C419F1"/>
    <w:rsid w:val="00C422FE"/>
    <w:rsid w:val="00C42497"/>
    <w:rsid w:val="00C42539"/>
    <w:rsid w:val="00C42575"/>
    <w:rsid w:val="00C42662"/>
    <w:rsid w:val="00C42854"/>
    <w:rsid w:val="00C42892"/>
    <w:rsid w:val="00C42CEF"/>
    <w:rsid w:val="00C42F6B"/>
    <w:rsid w:val="00C42FC4"/>
    <w:rsid w:val="00C4319B"/>
    <w:rsid w:val="00C4329A"/>
    <w:rsid w:val="00C43785"/>
    <w:rsid w:val="00C4382E"/>
    <w:rsid w:val="00C43999"/>
    <w:rsid w:val="00C439E3"/>
    <w:rsid w:val="00C43A6D"/>
    <w:rsid w:val="00C43A75"/>
    <w:rsid w:val="00C44073"/>
    <w:rsid w:val="00C44706"/>
    <w:rsid w:val="00C44784"/>
    <w:rsid w:val="00C447AC"/>
    <w:rsid w:val="00C447B3"/>
    <w:rsid w:val="00C4484E"/>
    <w:rsid w:val="00C44A0C"/>
    <w:rsid w:val="00C44B2A"/>
    <w:rsid w:val="00C44B9D"/>
    <w:rsid w:val="00C44C98"/>
    <w:rsid w:val="00C45057"/>
    <w:rsid w:val="00C454C5"/>
    <w:rsid w:val="00C45905"/>
    <w:rsid w:val="00C459B3"/>
    <w:rsid w:val="00C459E6"/>
    <w:rsid w:val="00C45B52"/>
    <w:rsid w:val="00C45E0A"/>
    <w:rsid w:val="00C45E62"/>
    <w:rsid w:val="00C45F43"/>
    <w:rsid w:val="00C45FB3"/>
    <w:rsid w:val="00C46293"/>
    <w:rsid w:val="00C46358"/>
    <w:rsid w:val="00C464FE"/>
    <w:rsid w:val="00C46678"/>
    <w:rsid w:val="00C472BC"/>
    <w:rsid w:val="00C47465"/>
    <w:rsid w:val="00C4747C"/>
    <w:rsid w:val="00C478D1"/>
    <w:rsid w:val="00C47B13"/>
    <w:rsid w:val="00C47BF3"/>
    <w:rsid w:val="00C47D2D"/>
    <w:rsid w:val="00C503A5"/>
    <w:rsid w:val="00C50468"/>
    <w:rsid w:val="00C504BA"/>
    <w:rsid w:val="00C5051E"/>
    <w:rsid w:val="00C50BD4"/>
    <w:rsid w:val="00C50BDB"/>
    <w:rsid w:val="00C50D05"/>
    <w:rsid w:val="00C51110"/>
    <w:rsid w:val="00C51323"/>
    <w:rsid w:val="00C51462"/>
    <w:rsid w:val="00C51475"/>
    <w:rsid w:val="00C5150C"/>
    <w:rsid w:val="00C5161E"/>
    <w:rsid w:val="00C51652"/>
    <w:rsid w:val="00C5186C"/>
    <w:rsid w:val="00C51BE1"/>
    <w:rsid w:val="00C51BF3"/>
    <w:rsid w:val="00C51E1F"/>
    <w:rsid w:val="00C52104"/>
    <w:rsid w:val="00C52201"/>
    <w:rsid w:val="00C522EF"/>
    <w:rsid w:val="00C523BB"/>
    <w:rsid w:val="00C523C3"/>
    <w:rsid w:val="00C524C3"/>
    <w:rsid w:val="00C525A2"/>
    <w:rsid w:val="00C52808"/>
    <w:rsid w:val="00C52868"/>
    <w:rsid w:val="00C529A0"/>
    <w:rsid w:val="00C52B42"/>
    <w:rsid w:val="00C53391"/>
    <w:rsid w:val="00C534E1"/>
    <w:rsid w:val="00C5395F"/>
    <w:rsid w:val="00C53CC6"/>
    <w:rsid w:val="00C53D54"/>
    <w:rsid w:val="00C53D7A"/>
    <w:rsid w:val="00C53EDA"/>
    <w:rsid w:val="00C53FAD"/>
    <w:rsid w:val="00C54162"/>
    <w:rsid w:val="00C541D8"/>
    <w:rsid w:val="00C54840"/>
    <w:rsid w:val="00C54875"/>
    <w:rsid w:val="00C549B8"/>
    <w:rsid w:val="00C54B6A"/>
    <w:rsid w:val="00C54B81"/>
    <w:rsid w:val="00C54DFD"/>
    <w:rsid w:val="00C54E0F"/>
    <w:rsid w:val="00C54E83"/>
    <w:rsid w:val="00C54F60"/>
    <w:rsid w:val="00C54F98"/>
    <w:rsid w:val="00C55072"/>
    <w:rsid w:val="00C55095"/>
    <w:rsid w:val="00C552E3"/>
    <w:rsid w:val="00C55324"/>
    <w:rsid w:val="00C555B8"/>
    <w:rsid w:val="00C55617"/>
    <w:rsid w:val="00C5565E"/>
    <w:rsid w:val="00C5582F"/>
    <w:rsid w:val="00C5588C"/>
    <w:rsid w:val="00C55CD9"/>
    <w:rsid w:val="00C55D03"/>
    <w:rsid w:val="00C56184"/>
    <w:rsid w:val="00C56476"/>
    <w:rsid w:val="00C56485"/>
    <w:rsid w:val="00C5681F"/>
    <w:rsid w:val="00C568D1"/>
    <w:rsid w:val="00C56975"/>
    <w:rsid w:val="00C56A49"/>
    <w:rsid w:val="00C56D10"/>
    <w:rsid w:val="00C56D38"/>
    <w:rsid w:val="00C56D80"/>
    <w:rsid w:val="00C56F3A"/>
    <w:rsid w:val="00C57089"/>
    <w:rsid w:val="00C57234"/>
    <w:rsid w:val="00C574F4"/>
    <w:rsid w:val="00C5777F"/>
    <w:rsid w:val="00C57B9B"/>
    <w:rsid w:val="00C57D51"/>
    <w:rsid w:val="00C57F56"/>
    <w:rsid w:val="00C601AB"/>
    <w:rsid w:val="00C60475"/>
    <w:rsid w:val="00C60641"/>
    <w:rsid w:val="00C60714"/>
    <w:rsid w:val="00C608DF"/>
    <w:rsid w:val="00C60995"/>
    <w:rsid w:val="00C60A65"/>
    <w:rsid w:val="00C60A9E"/>
    <w:rsid w:val="00C60BB4"/>
    <w:rsid w:val="00C60C8C"/>
    <w:rsid w:val="00C60E03"/>
    <w:rsid w:val="00C60F97"/>
    <w:rsid w:val="00C61024"/>
    <w:rsid w:val="00C61266"/>
    <w:rsid w:val="00C61315"/>
    <w:rsid w:val="00C615CA"/>
    <w:rsid w:val="00C616F0"/>
    <w:rsid w:val="00C617D6"/>
    <w:rsid w:val="00C618B7"/>
    <w:rsid w:val="00C61912"/>
    <w:rsid w:val="00C61981"/>
    <w:rsid w:val="00C61A6C"/>
    <w:rsid w:val="00C61B0C"/>
    <w:rsid w:val="00C61C81"/>
    <w:rsid w:val="00C61D1B"/>
    <w:rsid w:val="00C61DB5"/>
    <w:rsid w:val="00C61DBD"/>
    <w:rsid w:val="00C61DDD"/>
    <w:rsid w:val="00C61E40"/>
    <w:rsid w:val="00C62003"/>
    <w:rsid w:val="00C624DA"/>
    <w:rsid w:val="00C62A88"/>
    <w:rsid w:val="00C62C67"/>
    <w:rsid w:val="00C62D73"/>
    <w:rsid w:val="00C63331"/>
    <w:rsid w:val="00C63399"/>
    <w:rsid w:val="00C63520"/>
    <w:rsid w:val="00C63A46"/>
    <w:rsid w:val="00C63AA0"/>
    <w:rsid w:val="00C63B34"/>
    <w:rsid w:val="00C63BDE"/>
    <w:rsid w:val="00C63C27"/>
    <w:rsid w:val="00C63EA8"/>
    <w:rsid w:val="00C63F2D"/>
    <w:rsid w:val="00C64115"/>
    <w:rsid w:val="00C64A64"/>
    <w:rsid w:val="00C64BD9"/>
    <w:rsid w:val="00C64C6C"/>
    <w:rsid w:val="00C64F36"/>
    <w:rsid w:val="00C65260"/>
    <w:rsid w:val="00C65527"/>
    <w:rsid w:val="00C656C1"/>
    <w:rsid w:val="00C6573E"/>
    <w:rsid w:val="00C65785"/>
    <w:rsid w:val="00C65A33"/>
    <w:rsid w:val="00C65CE9"/>
    <w:rsid w:val="00C65E15"/>
    <w:rsid w:val="00C65EC2"/>
    <w:rsid w:val="00C65FBD"/>
    <w:rsid w:val="00C660A8"/>
    <w:rsid w:val="00C662D1"/>
    <w:rsid w:val="00C66699"/>
    <w:rsid w:val="00C666C9"/>
    <w:rsid w:val="00C6699C"/>
    <w:rsid w:val="00C66B10"/>
    <w:rsid w:val="00C66C22"/>
    <w:rsid w:val="00C66C27"/>
    <w:rsid w:val="00C66C58"/>
    <w:rsid w:val="00C66D47"/>
    <w:rsid w:val="00C66F4C"/>
    <w:rsid w:val="00C6740C"/>
    <w:rsid w:val="00C674BC"/>
    <w:rsid w:val="00C6754B"/>
    <w:rsid w:val="00C6761B"/>
    <w:rsid w:val="00C677A7"/>
    <w:rsid w:val="00C67F79"/>
    <w:rsid w:val="00C67FD1"/>
    <w:rsid w:val="00C702AF"/>
    <w:rsid w:val="00C70622"/>
    <w:rsid w:val="00C707CC"/>
    <w:rsid w:val="00C70D9A"/>
    <w:rsid w:val="00C70F35"/>
    <w:rsid w:val="00C710B9"/>
    <w:rsid w:val="00C71147"/>
    <w:rsid w:val="00C713C0"/>
    <w:rsid w:val="00C71E21"/>
    <w:rsid w:val="00C71E54"/>
    <w:rsid w:val="00C71FE2"/>
    <w:rsid w:val="00C7226E"/>
    <w:rsid w:val="00C72306"/>
    <w:rsid w:val="00C723C6"/>
    <w:rsid w:val="00C72462"/>
    <w:rsid w:val="00C725A1"/>
    <w:rsid w:val="00C7270B"/>
    <w:rsid w:val="00C72A0E"/>
    <w:rsid w:val="00C72B21"/>
    <w:rsid w:val="00C72B7B"/>
    <w:rsid w:val="00C72BA2"/>
    <w:rsid w:val="00C72C1E"/>
    <w:rsid w:val="00C72F1F"/>
    <w:rsid w:val="00C73291"/>
    <w:rsid w:val="00C738A6"/>
    <w:rsid w:val="00C73935"/>
    <w:rsid w:val="00C73A7B"/>
    <w:rsid w:val="00C73B2E"/>
    <w:rsid w:val="00C73BB1"/>
    <w:rsid w:val="00C74012"/>
    <w:rsid w:val="00C740C7"/>
    <w:rsid w:val="00C74131"/>
    <w:rsid w:val="00C7448C"/>
    <w:rsid w:val="00C7492C"/>
    <w:rsid w:val="00C74958"/>
    <w:rsid w:val="00C749EE"/>
    <w:rsid w:val="00C74CD7"/>
    <w:rsid w:val="00C74CEF"/>
    <w:rsid w:val="00C74D98"/>
    <w:rsid w:val="00C74F2C"/>
    <w:rsid w:val="00C74FE4"/>
    <w:rsid w:val="00C754C5"/>
    <w:rsid w:val="00C75539"/>
    <w:rsid w:val="00C75964"/>
    <w:rsid w:val="00C75CA7"/>
    <w:rsid w:val="00C7606B"/>
    <w:rsid w:val="00C7606C"/>
    <w:rsid w:val="00C76128"/>
    <w:rsid w:val="00C76190"/>
    <w:rsid w:val="00C761C3"/>
    <w:rsid w:val="00C76299"/>
    <w:rsid w:val="00C7635A"/>
    <w:rsid w:val="00C764F7"/>
    <w:rsid w:val="00C76544"/>
    <w:rsid w:val="00C76608"/>
    <w:rsid w:val="00C7669B"/>
    <w:rsid w:val="00C766F3"/>
    <w:rsid w:val="00C76789"/>
    <w:rsid w:val="00C76A0E"/>
    <w:rsid w:val="00C76E8C"/>
    <w:rsid w:val="00C76FE7"/>
    <w:rsid w:val="00C7709B"/>
    <w:rsid w:val="00C7723F"/>
    <w:rsid w:val="00C775FE"/>
    <w:rsid w:val="00C7766A"/>
    <w:rsid w:val="00C776C1"/>
    <w:rsid w:val="00C77B69"/>
    <w:rsid w:val="00C77CCF"/>
    <w:rsid w:val="00C77E32"/>
    <w:rsid w:val="00C77E3A"/>
    <w:rsid w:val="00C77F3C"/>
    <w:rsid w:val="00C77FAE"/>
    <w:rsid w:val="00C8076F"/>
    <w:rsid w:val="00C8078C"/>
    <w:rsid w:val="00C808BD"/>
    <w:rsid w:val="00C80C0A"/>
    <w:rsid w:val="00C80C63"/>
    <w:rsid w:val="00C81132"/>
    <w:rsid w:val="00C81245"/>
    <w:rsid w:val="00C819D9"/>
    <w:rsid w:val="00C81AB7"/>
    <w:rsid w:val="00C81CE0"/>
    <w:rsid w:val="00C81D8A"/>
    <w:rsid w:val="00C821C5"/>
    <w:rsid w:val="00C82348"/>
    <w:rsid w:val="00C82672"/>
    <w:rsid w:val="00C828E0"/>
    <w:rsid w:val="00C82C4F"/>
    <w:rsid w:val="00C8347B"/>
    <w:rsid w:val="00C8377F"/>
    <w:rsid w:val="00C83CEE"/>
    <w:rsid w:val="00C83EA4"/>
    <w:rsid w:val="00C83EBD"/>
    <w:rsid w:val="00C846F3"/>
    <w:rsid w:val="00C84AFE"/>
    <w:rsid w:val="00C84FF1"/>
    <w:rsid w:val="00C85210"/>
    <w:rsid w:val="00C8529D"/>
    <w:rsid w:val="00C8538A"/>
    <w:rsid w:val="00C856CA"/>
    <w:rsid w:val="00C859B0"/>
    <w:rsid w:val="00C85A31"/>
    <w:rsid w:val="00C85BD6"/>
    <w:rsid w:val="00C85BDD"/>
    <w:rsid w:val="00C85CA6"/>
    <w:rsid w:val="00C8608E"/>
    <w:rsid w:val="00C86227"/>
    <w:rsid w:val="00C8654E"/>
    <w:rsid w:val="00C86632"/>
    <w:rsid w:val="00C86A69"/>
    <w:rsid w:val="00C86C46"/>
    <w:rsid w:val="00C871FC"/>
    <w:rsid w:val="00C872BE"/>
    <w:rsid w:val="00C873B4"/>
    <w:rsid w:val="00C874E5"/>
    <w:rsid w:val="00C876F3"/>
    <w:rsid w:val="00C87C1E"/>
    <w:rsid w:val="00C87F7C"/>
    <w:rsid w:val="00C87FC0"/>
    <w:rsid w:val="00C87FE9"/>
    <w:rsid w:val="00C90005"/>
    <w:rsid w:val="00C90016"/>
    <w:rsid w:val="00C90295"/>
    <w:rsid w:val="00C902E2"/>
    <w:rsid w:val="00C9064D"/>
    <w:rsid w:val="00C9087E"/>
    <w:rsid w:val="00C908DA"/>
    <w:rsid w:val="00C90B80"/>
    <w:rsid w:val="00C90C2A"/>
    <w:rsid w:val="00C90D14"/>
    <w:rsid w:val="00C91180"/>
    <w:rsid w:val="00C913E7"/>
    <w:rsid w:val="00C91424"/>
    <w:rsid w:val="00C9166C"/>
    <w:rsid w:val="00C9175B"/>
    <w:rsid w:val="00C917E9"/>
    <w:rsid w:val="00C91CF4"/>
    <w:rsid w:val="00C91E69"/>
    <w:rsid w:val="00C91F99"/>
    <w:rsid w:val="00C922CA"/>
    <w:rsid w:val="00C9236B"/>
    <w:rsid w:val="00C92383"/>
    <w:rsid w:val="00C92528"/>
    <w:rsid w:val="00C927E2"/>
    <w:rsid w:val="00C93021"/>
    <w:rsid w:val="00C931D0"/>
    <w:rsid w:val="00C934D9"/>
    <w:rsid w:val="00C938BD"/>
    <w:rsid w:val="00C93C0A"/>
    <w:rsid w:val="00C93DAC"/>
    <w:rsid w:val="00C943B3"/>
    <w:rsid w:val="00C944EA"/>
    <w:rsid w:val="00C945CB"/>
    <w:rsid w:val="00C94642"/>
    <w:rsid w:val="00C94695"/>
    <w:rsid w:val="00C94707"/>
    <w:rsid w:val="00C94779"/>
    <w:rsid w:val="00C94782"/>
    <w:rsid w:val="00C94910"/>
    <w:rsid w:val="00C9492C"/>
    <w:rsid w:val="00C94A98"/>
    <w:rsid w:val="00C94EBA"/>
    <w:rsid w:val="00C9517B"/>
    <w:rsid w:val="00C9527E"/>
    <w:rsid w:val="00C95332"/>
    <w:rsid w:val="00C95720"/>
    <w:rsid w:val="00C9583F"/>
    <w:rsid w:val="00C9586F"/>
    <w:rsid w:val="00C95B6C"/>
    <w:rsid w:val="00C95C39"/>
    <w:rsid w:val="00C95D3F"/>
    <w:rsid w:val="00C95D78"/>
    <w:rsid w:val="00C95FE9"/>
    <w:rsid w:val="00C960CD"/>
    <w:rsid w:val="00C9621F"/>
    <w:rsid w:val="00C96354"/>
    <w:rsid w:val="00C965FA"/>
    <w:rsid w:val="00C96710"/>
    <w:rsid w:val="00C96FF4"/>
    <w:rsid w:val="00C97C5E"/>
    <w:rsid w:val="00CA0119"/>
    <w:rsid w:val="00CA019B"/>
    <w:rsid w:val="00CA0509"/>
    <w:rsid w:val="00CA0597"/>
    <w:rsid w:val="00CA0683"/>
    <w:rsid w:val="00CA0910"/>
    <w:rsid w:val="00CA0941"/>
    <w:rsid w:val="00CA0973"/>
    <w:rsid w:val="00CA0CD6"/>
    <w:rsid w:val="00CA0E09"/>
    <w:rsid w:val="00CA1050"/>
    <w:rsid w:val="00CA12E9"/>
    <w:rsid w:val="00CA1359"/>
    <w:rsid w:val="00CA1638"/>
    <w:rsid w:val="00CA1707"/>
    <w:rsid w:val="00CA174D"/>
    <w:rsid w:val="00CA1A8B"/>
    <w:rsid w:val="00CA1D61"/>
    <w:rsid w:val="00CA1D8F"/>
    <w:rsid w:val="00CA1E1D"/>
    <w:rsid w:val="00CA1FB3"/>
    <w:rsid w:val="00CA2047"/>
    <w:rsid w:val="00CA22B5"/>
    <w:rsid w:val="00CA262C"/>
    <w:rsid w:val="00CA281E"/>
    <w:rsid w:val="00CA2E87"/>
    <w:rsid w:val="00CA3087"/>
    <w:rsid w:val="00CA3252"/>
    <w:rsid w:val="00CA3373"/>
    <w:rsid w:val="00CA362E"/>
    <w:rsid w:val="00CA375F"/>
    <w:rsid w:val="00CA3774"/>
    <w:rsid w:val="00CA3915"/>
    <w:rsid w:val="00CA3A7C"/>
    <w:rsid w:val="00CA3E6B"/>
    <w:rsid w:val="00CA3EB9"/>
    <w:rsid w:val="00CA4001"/>
    <w:rsid w:val="00CA4038"/>
    <w:rsid w:val="00CA41A5"/>
    <w:rsid w:val="00CA452B"/>
    <w:rsid w:val="00CA45D7"/>
    <w:rsid w:val="00CA464C"/>
    <w:rsid w:val="00CA492A"/>
    <w:rsid w:val="00CA49C9"/>
    <w:rsid w:val="00CA4A80"/>
    <w:rsid w:val="00CA4A83"/>
    <w:rsid w:val="00CA4AAB"/>
    <w:rsid w:val="00CA4AEB"/>
    <w:rsid w:val="00CA4BDA"/>
    <w:rsid w:val="00CA4C94"/>
    <w:rsid w:val="00CA4D84"/>
    <w:rsid w:val="00CA532D"/>
    <w:rsid w:val="00CA536C"/>
    <w:rsid w:val="00CA56B7"/>
    <w:rsid w:val="00CA5795"/>
    <w:rsid w:val="00CA59EB"/>
    <w:rsid w:val="00CA5B56"/>
    <w:rsid w:val="00CA5BE7"/>
    <w:rsid w:val="00CA5C05"/>
    <w:rsid w:val="00CA5C49"/>
    <w:rsid w:val="00CA5C56"/>
    <w:rsid w:val="00CA5F60"/>
    <w:rsid w:val="00CA628E"/>
    <w:rsid w:val="00CA62D1"/>
    <w:rsid w:val="00CA68E6"/>
    <w:rsid w:val="00CA69D4"/>
    <w:rsid w:val="00CA69FA"/>
    <w:rsid w:val="00CA6A16"/>
    <w:rsid w:val="00CA6C93"/>
    <w:rsid w:val="00CA6D0F"/>
    <w:rsid w:val="00CA6E76"/>
    <w:rsid w:val="00CA6F9A"/>
    <w:rsid w:val="00CA70B6"/>
    <w:rsid w:val="00CA70D5"/>
    <w:rsid w:val="00CA715C"/>
    <w:rsid w:val="00CA7166"/>
    <w:rsid w:val="00CA7310"/>
    <w:rsid w:val="00CA7421"/>
    <w:rsid w:val="00CA7DF6"/>
    <w:rsid w:val="00CB00DA"/>
    <w:rsid w:val="00CB0221"/>
    <w:rsid w:val="00CB04D1"/>
    <w:rsid w:val="00CB0530"/>
    <w:rsid w:val="00CB0620"/>
    <w:rsid w:val="00CB075F"/>
    <w:rsid w:val="00CB0824"/>
    <w:rsid w:val="00CB08D1"/>
    <w:rsid w:val="00CB0C91"/>
    <w:rsid w:val="00CB0F46"/>
    <w:rsid w:val="00CB0F64"/>
    <w:rsid w:val="00CB0FCE"/>
    <w:rsid w:val="00CB18FE"/>
    <w:rsid w:val="00CB1963"/>
    <w:rsid w:val="00CB1C11"/>
    <w:rsid w:val="00CB212A"/>
    <w:rsid w:val="00CB25BA"/>
    <w:rsid w:val="00CB289D"/>
    <w:rsid w:val="00CB290C"/>
    <w:rsid w:val="00CB29A6"/>
    <w:rsid w:val="00CB2A12"/>
    <w:rsid w:val="00CB2D7A"/>
    <w:rsid w:val="00CB2DB4"/>
    <w:rsid w:val="00CB301F"/>
    <w:rsid w:val="00CB311D"/>
    <w:rsid w:val="00CB34C1"/>
    <w:rsid w:val="00CB3594"/>
    <w:rsid w:val="00CB3A16"/>
    <w:rsid w:val="00CB3B0C"/>
    <w:rsid w:val="00CB3B91"/>
    <w:rsid w:val="00CB3D2B"/>
    <w:rsid w:val="00CB3E20"/>
    <w:rsid w:val="00CB4453"/>
    <w:rsid w:val="00CB44E2"/>
    <w:rsid w:val="00CB4693"/>
    <w:rsid w:val="00CB46EE"/>
    <w:rsid w:val="00CB4895"/>
    <w:rsid w:val="00CB4A35"/>
    <w:rsid w:val="00CB4A50"/>
    <w:rsid w:val="00CB4C69"/>
    <w:rsid w:val="00CB51E0"/>
    <w:rsid w:val="00CB535C"/>
    <w:rsid w:val="00CB53C5"/>
    <w:rsid w:val="00CB5593"/>
    <w:rsid w:val="00CB55E3"/>
    <w:rsid w:val="00CB5BB2"/>
    <w:rsid w:val="00CB5EFD"/>
    <w:rsid w:val="00CB5FF9"/>
    <w:rsid w:val="00CB60E4"/>
    <w:rsid w:val="00CB6144"/>
    <w:rsid w:val="00CB6240"/>
    <w:rsid w:val="00CB66D9"/>
    <w:rsid w:val="00CB677F"/>
    <w:rsid w:val="00CB6830"/>
    <w:rsid w:val="00CB694F"/>
    <w:rsid w:val="00CB6ABC"/>
    <w:rsid w:val="00CB6AC6"/>
    <w:rsid w:val="00CB715A"/>
    <w:rsid w:val="00CB72A0"/>
    <w:rsid w:val="00CB73B0"/>
    <w:rsid w:val="00CB7505"/>
    <w:rsid w:val="00CB7A33"/>
    <w:rsid w:val="00CB7ADB"/>
    <w:rsid w:val="00CB7B11"/>
    <w:rsid w:val="00CB7C80"/>
    <w:rsid w:val="00CB7CA4"/>
    <w:rsid w:val="00CB7D20"/>
    <w:rsid w:val="00CB7D53"/>
    <w:rsid w:val="00CB7E86"/>
    <w:rsid w:val="00CB7ECF"/>
    <w:rsid w:val="00CC0062"/>
    <w:rsid w:val="00CC0180"/>
    <w:rsid w:val="00CC01CC"/>
    <w:rsid w:val="00CC025B"/>
    <w:rsid w:val="00CC051B"/>
    <w:rsid w:val="00CC05E5"/>
    <w:rsid w:val="00CC0848"/>
    <w:rsid w:val="00CC0A29"/>
    <w:rsid w:val="00CC0CAF"/>
    <w:rsid w:val="00CC0FC2"/>
    <w:rsid w:val="00CC1312"/>
    <w:rsid w:val="00CC160D"/>
    <w:rsid w:val="00CC1793"/>
    <w:rsid w:val="00CC1853"/>
    <w:rsid w:val="00CC1D07"/>
    <w:rsid w:val="00CC1E54"/>
    <w:rsid w:val="00CC1E76"/>
    <w:rsid w:val="00CC1FB1"/>
    <w:rsid w:val="00CC223E"/>
    <w:rsid w:val="00CC2264"/>
    <w:rsid w:val="00CC2271"/>
    <w:rsid w:val="00CC24B4"/>
    <w:rsid w:val="00CC272C"/>
    <w:rsid w:val="00CC2943"/>
    <w:rsid w:val="00CC2944"/>
    <w:rsid w:val="00CC2AD3"/>
    <w:rsid w:val="00CC2BB0"/>
    <w:rsid w:val="00CC2BDA"/>
    <w:rsid w:val="00CC2CA6"/>
    <w:rsid w:val="00CC2ECA"/>
    <w:rsid w:val="00CC2EEB"/>
    <w:rsid w:val="00CC3085"/>
    <w:rsid w:val="00CC3138"/>
    <w:rsid w:val="00CC3208"/>
    <w:rsid w:val="00CC3866"/>
    <w:rsid w:val="00CC3B30"/>
    <w:rsid w:val="00CC3F74"/>
    <w:rsid w:val="00CC474A"/>
    <w:rsid w:val="00CC48EF"/>
    <w:rsid w:val="00CC497D"/>
    <w:rsid w:val="00CC4B2F"/>
    <w:rsid w:val="00CC4D4B"/>
    <w:rsid w:val="00CC50D1"/>
    <w:rsid w:val="00CC531C"/>
    <w:rsid w:val="00CC55FF"/>
    <w:rsid w:val="00CC577A"/>
    <w:rsid w:val="00CC57C6"/>
    <w:rsid w:val="00CC587B"/>
    <w:rsid w:val="00CC588A"/>
    <w:rsid w:val="00CC58E4"/>
    <w:rsid w:val="00CC5A17"/>
    <w:rsid w:val="00CC5B0C"/>
    <w:rsid w:val="00CC5C04"/>
    <w:rsid w:val="00CC5DAB"/>
    <w:rsid w:val="00CC5FF8"/>
    <w:rsid w:val="00CC6020"/>
    <w:rsid w:val="00CC6074"/>
    <w:rsid w:val="00CC612E"/>
    <w:rsid w:val="00CC622B"/>
    <w:rsid w:val="00CC6392"/>
    <w:rsid w:val="00CC63C8"/>
    <w:rsid w:val="00CC66DD"/>
    <w:rsid w:val="00CC68EB"/>
    <w:rsid w:val="00CC6A53"/>
    <w:rsid w:val="00CC70B4"/>
    <w:rsid w:val="00CC72C0"/>
    <w:rsid w:val="00CC758B"/>
    <w:rsid w:val="00CC7854"/>
    <w:rsid w:val="00CC7A27"/>
    <w:rsid w:val="00CC7A6F"/>
    <w:rsid w:val="00CC7A82"/>
    <w:rsid w:val="00CC7B26"/>
    <w:rsid w:val="00CC7B3D"/>
    <w:rsid w:val="00CC7CE6"/>
    <w:rsid w:val="00CC7DB0"/>
    <w:rsid w:val="00CD0082"/>
    <w:rsid w:val="00CD01A9"/>
    <w:rsid w:val="00CD025E"/>
    <w:rsid w:val="00CD0BAA"/>
    <w:rsid w:val="00CD0D73"/>
    <w:rsid w:val="00CD0EEA"/>
    <w:rsid w:val="00CD11F7"/>
    <w:rsid w:val="00CD127F"/>
    <w:rsid w:val="00CD201B"/>
    <w:rsid w:val="00CD20FD"/>
    <w:rsid w:val="00CD217C"/>
    <w:rsid w:val="00CD23CA"/>
    <w:rsid w:val="00CD242D"/>
    <w:rsid w:val="00CD2466"/>
    <w:rsid w:val="00CD24D3"/>
    <w:rsid w:val="00CD25E2"/>
    <w:rsid w:val="00CD272A"/>
    <w:rsid w:val="00CD2737"/>
    <w:rsid w:val="00CD299C"/>
    <w:rsid w:val="00CD2A2D"/>
    <w:rsid w:val="00CD2DB0"/>
    <w:rsid w:val="00CD2DE6"/>
    <w:rsid w:val="00CD2EBA"/>
    <w:rsid w:val="00CD2F2E"/>
    <w:rsid w:val="00CD346F"/>
    <w:rsid w:val="00CD357A"/>
    <w:rsid w:val="00CD3614"/>
    <w:rsid w:val="00CD3C50"/>
    <w:rsid w:val="00CD3CF8"/>
    <w:rsid w:val="00CD3D97"/>
    <w:rsid w:val="00CD3EEC"/>
    <w:rsid w:val="00CD4035"/>
    <w:rsid w:val="00CD408E"/>
    <w:rsid w:val="00CD4188"/>
    <w:rsid w:val="00CD4248"/>
    <w:rsid w:val="00CD43D8"/>
    <w:rsid w:val="00CD45D3"/>
    <w:rsid w:val="00CD4638"/>
    <w:rsid w:val="00CD4914"/>
    <w:rsid w:val="00CD4CA3"/>
    <w:rsid w:val="00CD4D19"/>
    <w:rsid w:val="00CD5380"/>
    <w:rsid w:val="00CD554D"/>
    <w:rsid w:val="00CD5589"/>
    <w:rsid w:val="00CD55F3"/>
    <w:rsid w:val="00CD5664"/>
    <w:rsid w:val="00CD5915"/>
    <w:rsid w:val="00CD594F"/>
    <w:rsid w:val="00CD5ABC"/>
    <w:rsid w:val="00CD5B2B"/>
    <w:rsid w:val="00CD5B55"/>
    <w:rsid w:val="00CD5BC7"/>
    <w:rsid w:val="00CD5BE0"/>
    <w:rsid w:val="00CD5C95"/>
    <w:rsid w:val="00CD5E93"/>
    <w:rsid w:val="00CD5EC9"/>
    <w:rsid w:val="00CD5F5F"/>
    <w:rsid w:val="00CD6581"/>
    <w:rsid w:val="00CD66F9"/>
    <w:rsid w:val="00CD671E"/>
    <w:rsid w:val="00CD6AEA"/>
    <w:rsid w:val="00CD6C77"/>
    <w:rsid w:val="00CD6D16"/>
    <w:rsid w:val="00CD6DED"/>
    <w:rsid w:val="00CD6E7F"/>
    <w:rsid w:val="00CD700B"/>
    <w:rsid w:val="00CD700D"/>
    <w:rsid w:val="00CD73FE"/>
    <w:rsid w:val="00CD754F"/>
    <w:rsid w:val="00CD7679"/>
    <w:rsid w:val="00CD77BE"/>
    <w:rsid w:val="00CD7801"/>
    <w:rsid w:val="00CD780C"/>
    <w:rsid w:val="00CD7A35"/>
    <w:rsid w:val="00CD7E20"/>
    <w:rsid w:val="00CD7FD7"/>
    <w:rsid w:val="00CE0601"/>
    <w:rsid w:val="00CE0747"/>
    <w:rsid w:val="00CE09A4"/>
    <w:rsid w:val="00CE0A6E"/>
    <w:rsid w:val="00CE0ACB"/>
    <w:rsid w:val="00CE0B99"/>
    <w:rsid w:val="00CE0C45"/>
    <w:rsid w:val="00CE0DBB"/>
    <w:rsid w:val="00CE0FFA"/>
    <w:rsid w:val="00CE137D"/>
    <w:rsid w:val="00CE14E0"/>
    <w:rsid w:val="00CE1593"/>
    <w:rsid w:val="00CE166C"/>
    <w:rsid w:val="00CE1926"/>
    <w:rsid w:val="00CE1A5A"/>
    <w:rsid w:val="00CE1CDE"/>
    <w:rsid w:val="00CE1E94"/>
    <w:rsid w:val="00CE1EDF"/>
    <w:rsid w:val="00CE2180"/>
    <w:rsid w:val="00CE23C3"/>
    <w:rsid w:val="00CE2523"/>
    <w:rsid w:val="00CE25F7"/>
    <w:rsid w:val="00CE2781"/>
    <w:rsid w:val="00CE2EBA"/>
    <w:rsid w:val="00CE307C"/>
    <w:rsid w:val="00CE3086"/>
    <w:rsid w:val="00CE311D"/>
    <w:rsid w:val="00CE3176"/>
    <w:rsid w:val="00CE31FE"/>
    <w:rsid w:val="00CE3406"/>
    <w:rsid w:val="00CE340F"/>
    <w:rsid w:val="00CE3723"/>
    <w:rsid w:val="00CE3C23"/>
    <w:rsid w:val="00CE3FB3"/>
    <w:rsid w:val="00CE40FB"/>
    <w:rsid w:val="00CE439A"/>
    <w:rsid w:val="00CE473D"/>
    <w:rsid w:val="00CE475D"/>
    <w:rsid w:val="00CE4AC2"/>
    <w:rsid w:val="00CE4D32"/>
    <w:rsid w:val="00CE4D8D"/>
    <w:rsid w:val="00CE4F43"/>
    <w:rsid w:val="00CE5099"/>
    <w:rsid w:val="00CE5246"/>
    <w:rsid w:val="00CE538B"/>
    <w:rsid w:val="00CE53F6"/>
    <w:rsid w:val="00CE55D6"/>
    <w:rsid w:val="00CE55D9"/>
    <w:rsid w:val="00CE58B9"/>
    <w:rsid w:val="00CE594B"/>
    <w:rsid w:val="00CE5DDD"/>
    <w:rsid w:val="00CE63F8"/>
    <w:rsid w:val="00CE648F"/>
    <w:rsid w:val="00CE64CC"/>
    <w:rsid w:val="00CE663B"/>
    <w:rsid w:val="00CE696D"/>
    <w:rsid w:val="00CE6A43"/>
    <w:rsid w:val="00CE6B45"/>
    <w:rsid w:val="00CE6C8C"/>
    <w:rsid w:val="00CE6F3C"/>
    <w:rsid w:val="00CE73E6"/>
    <w:rsid w:val="00CE7561"/>
    <w:rsid w:val="00CE7673"/>
    <w:rsid w:val="00CE772E"/>
    <w:rsid w:val="00CE79DC"/>
    <w:rsid w:val="00CE7B44"/>
    <w:rsid w:val="00CE7C43"/>
    <w:rsid w:val="00CE7DAD"/>
    <w:rsid w:val="00CE7E60"/>
    <w:rsid w:val="00CE7F3B"/>
    <w:rsid w:val="00CF00AD"/>
    <w:rsid w:val="00CF065E"/>
    <w:rsid w:val="00CF06BB"/>
    <w:rsid w:val="00CF0886"/>
    <w:rsid w:val="00CF0A39"/>
    <w:rsid w:val="00CF0A4A"/>
    <w:rsid w:val="00CF0FE1"/>
    <w:rsid w:val="00CF13F7"/>
    <w:rsid w:val="00CF1465"/>
    <w:rsid w:val="00CF1747"/>
    <w:rsid w:val="00CF1A5A"/>
    <w:rsid w:val="00CF1AEB"/>
    <w:rsid w:val="00CF2053"/>
    <w:rsid w:val="00CF20C5"/>
    <w:rsid w:val="00CF22FB"/>
    <w:rsid w:val="00CF2431"/>
    <w:rsid w:val="00CF24E4"/>
    <w:rsid w:val="00CF24E8"/>
    <w:rsid w:val="00CF2744"/>
    <w:rsid w:val="00CF2754"/>
    <w:rsid w:val="00CF278E"/>
    <w:rsid w:val="00CF2917"/>
    <w:rsid w:val="00CF293F"/>
    <w:rsid w:val="00CF2A7A"/>
    <w:rsid w:val="00CF2AB8"/>
    <w:rsid w:val="00CF2BAF"/>
    <w:rsid w:val="00CF30CB"/>
    <w:rsid w:val="00CF30EE"/>
    <w:rsid w:val="00CF3205"/>
    <w:rsid w:val="00CF32B9"/>
    <w:rsid w:val="00CF34AA"/>
    <w:rsid w:val="00CF3687"/>
    <w:rsid w:val="00CF36A9"/>
    <w:rsid w:val="00CF379D"/>
    <w:rsid w:val="00CF383C"/>
    <w:rsid w:val="00CF3A4D"/>
    <w:rsid w:val="00CF3D53"/>
    <w:rsid w:val="00CF3F71"/>
    <w:rsid w:val="00CF41E0"/>
    <w:rsid w:val="00CF4204"/>
    <w:rsid w:val="00CF4342"/>
    <w:rsid w:val="00CF439F"/>
    <w:rsid w:val="00CF44C9"/>
    <w:rsid w:val="00CF45AF"/>
    <w:rsid w:val="00CF462C"/>
    <w:rsid w:val="00CF470F"/>
    <w:rsid w:val="00CF4724"/>
    <w:rsid w:val="00CF49BA"/>
    <w:rsid w:val="00CF49BD"/>
    <w:rsid w:val="00CF4EF5"/>
    <w:rsid w:val="00CF4F81"/>
    <w:rsid w:val="00CF5408"/>
    <w:rsid w:val="00CF54A2"/>
    <w:rsid w:val="00CF55CD"/>
    <w:rsid w:val="00CF5649"/>
    <w:rsid w:val="00CF58C2"/>
    <w:rsid w:val="00CF5DA5"/>
    <w:rsid w:val="00CF5F17"/>
    <w:rsid w:val="00CF6266"/>
    <w:rsid w:val="00CF6637"/>
    <w:rsid w:val="00CF68CC"/>
    <w:rsid w:val="00CF68E5"/>
    <w:rsid w:val="00CF6C4F"/>
    <w:rsid w:val="00CF6ED2"/>
    <w:rsid w:val="00CF6F45"/>
    <w:rsid w:val="00CF73BA"/>
    <w:rsid w:val="00CF7D46"/>
    <w:rsid w:val="00D0004D"/>
    <w:rsid w:val="00D00263"/>
    <w:rsid w:val="00D0045D"/>
    <w:rsid w:val="00D004D9"/>
    <w:rsid w:val="00D006AD"/>
    <w:rsid w:val="00D00936"/>
    <w:rsid w:val="00D00B31"/>
    <w:rsid w:val="00D00B78"/>
    <w:rsid w:val="00D00BCF"/>
    <w:rsid w:val="00D00D88"/>
    <w:rsid w:val="00D01245"/>
    <w:rsid w:val="00D0132A"/>
    <w:rsid w:val="00D013B7"/>
    <w:rsid w:val="00D0147A"/>
    <w:rsid w:val="00D014FD"/>
    <w:rsid w:val="00D015F3"/>
    <w:rsid w:val="00D01837"/>
    <w:rsid w:val="00D01897"/>
    <w:rsid w:val="00D018BC"/>
    <w:rsid w:val="00D01A7A"/>
    <w:rsid w:val="00D01B42"/>
    <w:rsid w:val="00D01BF4"/>
    <w:rsid w:val="00D01C94"/>
    <w:rsid w:val="00D01CFE"/>
    <w:rsid w:val="00D01D7D"/>
    <w:rsid w:val="00D01DCC"/>
    <w:rsid w:val="00D01F90"/>
    <w:rsid w:val="00D029A6"/>
    <w:rsid w:val="00D029FA"/>
    <w:rsid w:val="00D02BC8"/>
    <w:rsid w:val="00D0305C"/>
    <w:rsid w:val="00D0305D"/>
    <w:rsid w:val="00D030A7"/>
    <w:rsid w:val="00D030ED"/>
    <w:rsid w:val="00D0367C"/>
    <w:rsid w:val="00D037D1"/>
    <w:rsid w:val="00D03840"/>
    <w:rsid w:val="00D03864"/>
    <w:rsid w:val="00D039D8"/>
    <w:rsid w:val="00D03B3A"/>
    <w:rsid w:val="00D03B5D"/>
    <w:rsid w:val="00D041F4"/>
    <w:rsid w:val="00D04240"/>
    <w:rsid w:val="00D042F8"/>
    <w:rsid w:val="00D043E1"/>
    <w:rsid w:val="00D043EC"/>
    <w:rsid w:val="00D044F6"/>
    <w:rsid w:val="00D048D0"/>
    <w:rsid w:val="00D05100"/>
    <w:rsid w:val="00D05573"/>
    <w:rsid w:val="00D0601D"/>
    <w:rsid w:val="00D06080"/>
    <w:rsid w:val="00D062E4"/>
    <w:rsid w:val="00D0678B"/>
    <w:rsid w:val="00D067E2"/>
    <w:rsid w:val="00D06929"/>
    <w:rsid w:val="00D06AA8"/>
    <w:rsid w:val="00D06D8F"/>
    <w:rsid w:val="00D06E2D"/>
    <w:rsid w:val="00D072F0"/>
    <w:rsid w:val="00D078FF"/>
    <w:rsid w:val="00D0793B"/>
    <w:rsid w:val="00D07D7A"/>
    <w:rsid w:val="00D07DBE"/>
    <w:rsid w:val="00D07EB1"/>
    <w:rsid w:val="00D07F01"/>
    <w:rsid w:val="00D10072"/>
    <w:rsid w:val="00D102EF"/>
    <w:rsid w:val="00D10445"/>
    <w:rsid w:val="00D10657"/>
    <w:rsid w:val="00D1072A"/>
    <w:rsid w:val="00D1076A"/>
    <w:rsid w:val="00D10870"/>
    <w:rsid w:val="00D108BC"/>
    <w:rsid w:val="00D1090D"/>
    <w:rsid w:val="00D10C26"/>
    <w:rsid w:val="00D11106"/>
    <w:rsid w:val="00D1117F"/>
    <w:rsid w:val="00D11245"/>
    <w:rsid w:val="00D1134A"/>
    <w:rsid w:val="00D115A9"/>
    <w:rsid w:val="00D115CE"/>
    <w:rsid w:val="00D11871"/>
    <w:rsid w:val="00D11A08"/>
    <w:rsid w:val="00D11A60"/>
    <w:rsid w:val="00D11B7A"/>
    <w:rsid w:val="00D11D35"/>
    <w:rsid w:val="00D11E18"/>
    <w:rsid w:val="00D11E1B"/>
    <w:rsid w:val="00D120B1"/>
    <w:rsid w:val="00D120C9"/>
    <w:rsid w:val="00D120F9"/>
    <w:rsid w:val="00D1253B"/>
    <w:rsid w:val="00D12703"/>
    <w:rsid w:val="00D12794"/>
    <w:rsid w:val="00D127A3"/>
    <w:rsid w:val="00D129BB"/>
    <w:rsid w:val="00D12D61"/>
    <w:rsid w:val="00D12F4C"/>
    <w:rsid w:val="00D13390"/>
    <w:rsid w:val="00D13436"/>
    <w:rsid w:val="00D13596"/>
    <w:rsid w:val="00D1388C"/>
    <w:rsid w:val="00D139A3"/>
    <w:rsid w:val="00D13AA8"/>
    <w:rsid w:val="00D13C51"/>
    <w:rsid w:val="00D13CBA"/>
    <w:rsid w:val="00D13DE3"/>
    <w:rsid w:val="00D13FF2"/>
    <w:rsid w:val="00D1407C"/>
    <w:rsid w:val="00D142A1"/>
    <w:rsid w:val="00D1435C"/>
    <w:rsid w:val="00D14533"/>
    <w:rsid w:val="00D1459F"/>
    <w:rsid w:val="00D14765"/>
    <w:rsid w:val="00D14A1B"/>
    <w:rsid w:val="00D14DD1"/>
    <w:rsid w:val="00D14E8A"/>
    <w:rsid w:val="00D150CD"/>
    <w:rsid w:val="00D1534B"/>
    <w:rsid w:val="00D15787"/>
    <w:rsid w:val="00D15E83"/>
    <w:rsid w:val="00D16102"/>
    <w:rsid w:val="00D163B9"/>
    <w:rsid w:val="00D164E7"/>
    <w:rsid w:val="00D166D4"/>
    <w:rsid w:val="00D1692A"/>
    <w:rsid w:val="00D16CBE"/>
    <w:rsid w:val="00D16E69"/>
    <w:rsid w:val="00D16FC5"/>
    <w:rsid w:val="00D17049"/>
    <w:rsid w:val="00D17420"/>
    <w:rsid w:val="00D17469"/>
    <w:rsid w:val="00D174B8"/>
    <w:rsid w:val="00D17575"/>
    <w:rsid w:val="00D17603"/>
    <w:rsid w:val="00D1769F"/>
    <w:rsid w:val="00D1790F"/>
    <w:rsid w:val="00D17952"/>
    <w:rsid w:val="00D17ABF"/>
    <w:rsid w:val="00D17C8E"/>
    <w:rsid w:val="00D17DDE"/>
    <w:rsid w:val="00D17E74"/>
    <w:rsid w:val="00D17EB1"/>
    <w:rsid w:val="00D17F11"/>
    <w:rsid w:val="00D202CB"/>
    <w:rsid w:val="00D205BB"/>
    <w:rsid w:val="00D205ED"/>
    <w:rsid w:val="00D20877"/>
    <w:rsid w:val="00D20A19"/>
    <w:rsid w:val="00D20DD2"/>
    <w:rsid w:val="00D20EBA"/>
    <w:rsid w:val="00D20F28"/>
    <w:rsid w:val="00D21355"/>
    <w:rsid w:val="00D214D8"/>
    <w:rsid w:val="00D21555"/>
    <w:rsid w:val="00D215B4"/>
    <w:rsid w:val="00D21E3B"/>
    <w:rsid w:val="00D21E8A"/>
    <w:rsid w:val="00D21F03"/>
    <w:rsid w:val="00D21F04"/>
    <w:rsid w:val="00D220D2"/>
    <w:rsid w:val="00D2213F"/>
    <w:rsid w:val="00D221A5"/>
    <w:rsid w:val="00D2230D"/>
    <w:rsid w:val="00D224C7"/>
    <w:rsid w:val="00D22588"/>
    <w:rsid w:val="00D2262D"/>
    <w:rsid w:val="00D22D54"/>
    <w:rsid w:val="00D22D81"/>
    <w:rsid w:val="00D22FD0"/>
    <w:rsid w:val="00D2318C"/>
    <w:rsid w:val="00D2357A"/>
    <w:rsid w:val="00D2358B"/>
    <w:rsid w:val="00D236A2"/>
    <w:rsid w:val="00D236A7"/>
    <w:rsid w:val="00D236AD"/>
    <w:rsid w:val="00D23745"/>
    <w:rsid w:val="00D23869"/>
    <w:rsid w:val="00D23A77"/>
    <w:rsid w:val="00D23E6E"/>
    <w:rsid w:val="00D241CE"/>
    <w:rsid w:val="00D247CA"/>
    <w:rsid w:val="00D24900"/>
    <w:rsid w:val="00D24CDE"/>
    <w:rsid w:val="00D24EC3"/>
    <w:rsid w:val="00D24F1D"/>
    <w:rsid w:val="00D24FE6"/>
    <w:rsid w:val="00D2500D"/>
    <w:rsid w:val="00D25132"/>
    <w:rsid w:val="00D252D8"/>
    <w:rsid w:val="00D25412"/>
    <w:rsid w:val="00D255B0"/>
    <w:rsid w:val="00D2590E"/>
    <w:rsid w:val="00D25C9A"/>
    <w:rsid w:val="00D25D8D"/>
    <w:rsid w:val="00D26127"/>
    <w:rsid w:val="00D263E6"/>
    <w:rsid w:val="00D265EE"/>
    <w:rsid w:val="00D26696"/>
    <w:rsid w:val="00D26818"/>
    <w:rsid w:val="00D268A4"/>
    <w:rsid w:val="00D269AC"/>
    <w:rsid w:val="00D26CB6"/>
    <w:rsid w:val="00D26DB1"/>
    <w:rsid w:val="00D26DF3"/>
    <w:rsid w:val="00D275FD"/>
    <w:rsid w:val="00D2760C"/>
    <w:rsid w:val="00D2771E"/>
    <w:rsid w:val="00D2784A"/>
    <w:rsid w:val="00D278B2"/>
    <w:rsid w:val="00D27CAD"/>
    <w:rsid w:val="00D27DD7"/>
    <w:rsid w:val="00D27DE8"/>
    <w:rsid w:val="00D3022C"/>
    <w:rsid w:val="00D3033C"/>
    <w:rsid w:val="00D303AC"/>
    <w:rsid w:val="00D305DC"/>
    <w:rsid w:val="00D30DD5"/>
    <w:rsid w:val="00D30ECE"/>
    <w:rsid w:val="00D30FA7"/>
    <w:rsid w:val="00D31381"/>
    <w:rsid w:val="00D313A7"/>
    <w:rsid w:val="00D3159C"/>
    <w:rsid w:val="00D31646"/>
    <w:rsid w:val="00D31700"/>
    <w:rsid w:val="00D3182F"/>
    <w:rsid w:val="00D31AB8"/>
    <w:rsid w:val="00D31B33"/>
    <w:rsid w:val="00D31D23"/>
    <w:rsid w:val="00D31EBF"/>
    <w:rsid w:val="00D32777"/>
    <w:rsid w:val="00D32874"/>
    <w:rsid w:val="00D329FE"/>
    <w:rsid w:val="00D32C99"/>
    <w:rsid w:val="00D32E09"/>
    <w:rsid w:val="00D32ED7"/>
    <w:rsid w:val="00D32F61"/>
    <w:rsid w:val="00D33229"/>
    <w:rsid w:val="00D3358D"/>
    <w:rsid w:val="00D335E7"/>
    <w:rsid w:val="00D3366A"/>
    <w:rsid w:val="00D33798"/>
    <w:rsid w:val="00D33ABE"/>
    <w:rsid w:val="00D33E1A"/>
    <w:rsid w:val="00D33E5C"/>
    <w:rsid w:val="00D343DD"/>
    <w:rsid w:val="00D3449D"/>
    <w:rsid w:val="00D34752"/>
    <w:rsid w:val="00D347DB"/>
    <w:rsid w:val="00D34BF6"/>
    <w:rsid w:val="00D35088"/>
    <w:rsid w:val="00D3512C"/>
    <w:rsid w:val="00D351D5"/>
    <w:rsid w:val="00D3522F"/>
    <w:rsid w:val="00D35289"/>
    <w:rsid w:val="00D355C6"/>
    <w:rsid w:val="00D3575E"/>
    <w:rsid w:val="00D35933"/>
    <w:rsid w:val="00D359B3"/>
    <w:rsid w:val="00D35D77"/>
    <w:rsid w:val="00D3612B"/>
    <w:rsid w:val="00D36229"/>
    <w:rsid w:val="00D36476"/>
    <w:rsid w:val="00D365ED"/>
    <w:rsid w:val="00D36703"/>
    <w:rsid w:val="00D36754"/>
    <w:rsid w:val="00D368CC"/>
    <w:rsid w:val="00D369BD"/>
    <w:rsid w:val="00D36AE5"/>
    <w:rsid w:val="00D36B63"/>
    <w:rsid w:val="00D3729A"/>
    <w:rsid w:val="00D372C1"/>
    <w:rsid w:val="00D37501"/>
    <w:rsid w:val="00D379D0"/>
    <w:rsid w:val="00D37DB2"/>
    <w:rsid w:val="00D37DD3"/>
    <w:rsid w:val="00D37E26"/>
    <w:rsid w:val="00D37E80"/>
    <w:rsid w:val="00D400AC"/>
    <w:rsid w:val="00D40265"/>
    <w:rsid w:val="00D40313"/>
    <w:rsid w:val="00D403FD"/>
    <w:rsid w:val="00D405C0"/>
    <w:rsid w:val="00D40618"/>
    <w:rsid w:val="00D4083E"/>
    <w:rsid w:val="00D40A63"/>
    <w:rsid w:val="00D40D60"/>
    <w:rsid w:val="00D40DB9"/>
    <w:rsid w:val="00D40FB5"/>
    <w:rsid w:val="00D412C0"/>
    <w:rsid w:val="00D41457"/>
    <w:rsid w:val="00D41465"/>
    <w:rsid w:val="00D41485"/>
    <w:rsid w:val="00D41598"/>
    <w:rsid w:val="00D419AF"/>
    <w:rsid w:val="00D419F5"/>
    <w:rsid w:val="00D41AF4"/>
    <w:rsid w:val="00D41C17"/>
    <w:rsid w:val="00D41E20"/>
    <w:rsid w:val="00D42230"/>
    <w:rsid w:val="00D422C7"/>
    <w:rsid w:val="00D423EE"/>
    <w:rsid w:val="00D4266B"/>
    <w:rsid w:val="00D426D2"/>
    <w:rsid w:val="00D42A08"/>
    <w:rsid w:val="00D42ADB"/>
    <w:rsid w:val="00D42BA8"/>
    <w:rsid w:val="00D42BEB"/>
    <w:rsid w:val="00D42D31"/>
    <w:rsid w:val="00D42F6F"/>
    <w:rsid w:val="00D4301F"/>
    <w:rsid w:val="00D432F7"/>
    <w:rsid w:val="00D43707"/>
    <w:rsid w:val="00D438C6"/>
    <w:rsid w:val="00D44054"/>
    <w:rsid w:val="00D4433D"/>
    <w:rsid w:val="00D44943"/>
    <w:rsid w:val="00D449F4"/>
    <w:rsid w:val="00D44A93"/>
    <w:rsid w:val="00D44AD0"/>
    <w:rsid w:val="00D44BAD"/>
    <w:rsid w:val="00D44BEE"/>
    <w:rsid w:val="00D44C56"/>
    <w:rsid w:val="00D44F1E"/>
    <w:rsid w:val="00D45244"/>
    <w:rsid w:val="00D455C9"/>
    <w:rsid w:val="00D45818"/>
    <w:rsid w:val="00D4581B"/>
    <w:rsid w:val="00D459F4"/>
    <w:rsid w:val="00D45C4E"/>
    <w:rsid w:val="00D45CBB"/>
    <w:rsid w:val="00D45E0B"/>
    <w:rsid w:val="00D46063"/>
    <w:rsid w:val="00D4621E"/>
    <w:rsid w:val="00D46380"/>
    <w:rsid w:val="00D469D7"/>
    <w:rsid w:val="00D46B31"/>
    <w:rsid w:val="00D46BD3"/>
    <w:rsid w:val="00D46DF1"/>
    <w:rsid w:val="00D46DF6"/>
    <w:rsid w:val="00D46DF7"/>
    <w:rsid w:val="00D47176"/>
    <w:rsid w:val="00D47441"/>
    <w:rsid w:val="00D4752D"/>
    <w:rsid w:val="00D475E1"/>
    <w:rsid w:val="00D476BB"/>
    <w:rsid w:val="00D476C4"/>
    <w:rsid w:val="00D47819"/>
    <w:rsid w:val="00D4798F"/>
    <w:rsid w:val="00D47A2A"/>
    <w:rsid w:val="00D47BBA"/>
    <w:rsid w:val="00D47DA3"/>
    <w:rsid w:val="00D47DA4"/>
    <w:rsid w:val="00D47DEE"/>
    <w:rsid w:val="00D47FC5"/>
    <w:rsid w:val="00D5031C"/>
    <w:rsid w:val="00D50320"/>
    <w:rsid w:val="00D50746"/>
    <w:rsid w:val="00D50A26"/>
    <w:rsid w:val="00D50A51"/>
    <w:rsid w:val="00D50E32"/>
    <w:rsid w:val="00D5127F"/>
    <w:rsid w:val="00D515A0"/>
    <w:rsid w:val="00D5174D"/>
    <w:rsid w:val="00D51BBF"/>
    <w:rsid w:val="00D51D01"/>
    <w:rsid w:val="00D51D92"/>
    <w:rsid w:val="00D51DDA"/>
    <w:rsid w:val="00D51DE7"/>
    <w:rsid w:val="00D51E00"/>
    <w:rsid w:val="00D523BA"/>
    <w:rsid w:val="00D52750"/>
    <w:rsid w:val="00D52AB8"/>
    <w:rsid w:val="00D5301F"/>
    <w:rsid w:val="00D5305B"/>
    <w:rsid w:val="00D530AC"/>
    <w:rsid w:val="00D53435"/>
    <w:rsid w:val="00D53562"/>
    <w:rsid w:val="00D53637"/>
    <w:rsid w:val="00D53783"/>
    <w:rsid w:val="00D53C04"/>
    <w:rsid w:val="00D53D81"/>
    <w:rsid w:val="00D53EE4"/>
    <w:rsid w:val="00D53FB0"/>
    <w:rsid w:val="00D54071"/>
    <w:rsid w:val="00D54574"/>
    <w:rsid w:val="00D54F99"/>
    <w:rsid w:val="00D550F0"/>
    <w:rsid w:val="00D55278"/>
    <w:rsid w:val="00D55757"/>
    <w:rsid w:val="00D55997"/>
    <w:rsid w:val="00D559F5"/>
    <w:rsid w:val="00D55AF0"/>
    <w:rsid w:val="00D55B4B"/>
    <w:rsid w:val="00D55DC4"/>
    <w:rsid w:val="00D5614B"/>
    <w:rsid w:val="00D56433"/>
    <w:rsid w:val="00D56434"/>
    <w:rsid w:val="00D566E7"/>
    <w:rsid w:val="00D566EB"/>
    <w:rsid w:val="00D567D1"/>
    <w:rsid w:val="00D56BE0"/>
    <w:rsid w:val="00D574DA"/>
    <w:rsid w:val="00D57857"/>
    <w:rsid w:val="00D579FC"/>
    <w:rsid w:val="00D57A8C"/>
    <w:rsid w:val="00D57B0B"/>
    <w:rsid w:val="00D57CC0"/>
    <w:rsid w:val="00D57E21"/>
    <w:rsid w:val="00D60211"/>
    <w:rsid w:val="00D6022E"/>
    <w:rsid w:val="00D60294"/>
    <w:rsid w:val="00D60593"/>
    <w:rsid w:val="00D606A0"/>
    <w:rsid w:val="00D60712"/>
    <w:rsid w:val="00D6095D"/>
    <w:rsid w:val="00D609BC"/>
    <w:rsid w:val="00D60A41"/>
    <w:rsid w:val="00D60A83"/>
    <w:rsid w:val="00D60F29"/>
    <w:rsid w:val="00D6126A"/>
    <w:rsid w:val="00D61587"/>
    <w:rsid w:val="00D616DF"/>
    <w:rsid w:val="00D61716"/>
    <w:rsid w:val="00D617C1"/>
    <w:rsid w:val="00D6191A"/>
    <w:rsid w:val="00D61D3C"/>
    <w:rsid w:val="00D61DF3"/>
    <w:rsid w:val="00D61EA0"/>
    <w:rsid w:val="00D61F12"/>
    <w:rsid w:val="00D6207D"/>
    <w:rsid w:val="00D6208B"/>
    <w:rsid w:val="00D6209D"/>
    <w:rsid w:val="00D6209F"/>
    <w:rsid w:val="00D624B2"/>
    <w:rsid w:val="00D62621"/>
    <w:rsid w:val="00D6270F"/>
    <w:rsid w:val="00D6295F"/>
    <w:rsid w:val="00D62F2C"/>
    <w:rsid w:val="00D62FAA"/>
    <w:rsid w:val="00D63050"/>
    <w:rsid w:val="00D6341E"/>
    <w:rsid w:val="00D63680"/>
    <w:rsid w:val="00D637A9"/>
    <w:rsid w:val="00D63D70"/>
    <w:rsid w:val="00D63DB2"/>
    <w:rsid w:val="00D63FC9"/>
    <w:rsid w:val="00D644CC"/>
    <w:rsid w:val="00D64658"/>
    <w:rsid w:val="00D64856"/>
    <w:rsid w:val="00D64B96"/>
    <w:rsid w:val="00D64CA0"/>
    <w:rsid w:val="00D64E6E"/>
    <w:rsid w:val="00D64F9D"/>
    <w:rsid w:val="00D6506E"/>
    <w:rsid w:val="00D653F5"/>
    <w:rsid w:val="00D6586E"/>
    <w:rsid w:val="00D65956"/>
    <w:rsid w:val="00D65C3E"/>
    <w:rsid w:val="00D65D6D"/>
    <w:rsid w:val="00D662BE"/>
    <w:rsid w:val="00D662D3"/>
    <w:rsid w:val="00D66333"/>
    <w:rsid w:val="00D664D6"/>
    <w:rsid w:val="00D664E1"/>
    <w:rsid w:val="00D66520"/>
    <w:rsid w:val="00D666A2"/>
    <w:rsid w:val="00D666E4"/>
    <w:rsid w:val="00D666EC"/>
    <w:rsid w:val="00D6675B"/>
    <w:rsid w:val="00D6689E"/>
    <w:rsid w:val="00D668CA"/>
    <w:rsid w:val="00D668EF"/>
    <w:rsid w:val="00D6696B"/>
    <w:rsid w:val="00D66A25"/>
    <w:rsid w:val="00D66A6B"/>
    <w:rsid w:val="00D66B0C"/>
    <w:rsid w:val="00D66DBA"/>
    <w:rsid w:val="00D6711B"/>
    <w:rsid w:val="00D675CC"/>
    <w:rsid w:val="00D675FA"/>
    <w:rsid w:val="00D676EC"/>
    <w:rsid w:val="00D6771A"/>
    <w:rsid w:val="00D67A38"/>
    <w:rsid w:val="00D67A9A"/>
    <w:rsid w:val="00D67AFF"/>
    <w:rsid w:val="00D67B02"/>
    <w:rsid w:val="00D67B13"/>
    <w:rsid w:val="00D67B68"/>
    <w:rsid w:val="00D67ECC"/>
    <w:rsid w:val="00D67EF6"/>
    <w:rsid w:val="00D67EFD"/>
    <w:rsid w:val="00D67FD8"/>
    <w:rsid w:val="00D703BD"/>
    <w:rsid w:val="00D705AB"/>
    <w:rsid w:val="00D7097A"/>
    <w:rsid w:val="00D709EC"/>
    <w:rsid w:val="00D70E8E"/>
    <w:rsid w:val="00D70F01"/>
    <w:rsid w:val="00D71708"/>
    <w:rsid w:val="00D71B75"/>
    <w:rsid w:val="00D71CF0"/>
    <w:rsid w:val="00D71F23"/>
    <w:rsid w:val="00D720AA"/>
    <w:rsid w:val="00D720F8"/>
    <w:rsid w:val="00D721B2"/>
    <w:rsid w:val="00D7249D"/>
    <w:rsid w:val="00D7250D"/>
    <w:rsid w:val="00D725CA"/>
    <w:rsid w:val="00D72605"/>
    <w:rsid w:val="00D726F9"/>
    <w:rsid w:val="00D7276F"/>
    <w:rsid w:val="00D72912"/>
    <w:rsid w:val="00D72BDE"/>
    <w:rsid w:val="00D73453"/>
    <w:rsid w:val="00D73791"/>
    <w:rsid w:val="00D7384F"/>
    <w:rsid w:val="00D74319"/>
    <w:rsid w:val="00D74578"/>
    <w:rsid w:val="00D747B7"/>
    <w:rsid w:val="00D748BD"/>
    <w:rsid w:val="00D74AE6"/>
    <w:rsid w:val="00D74DD4"/>
    <w:rsid w:val="00D75359"/>
    <w:rsid w:val="00D75501"/>
    <w:rsid w:val="00D7552F"/>
    <w:rsid w:val="00D75742"/>
    <w:rsid w:val="00D75880"/>
    <w:rsid w:val="00D7589B"/>
    <w:rsid w:val="00D75B40"/>
    <w:rsid w:val="00D75BE2"/>
    <w:rsid w:val="00D75D01"/>
    <w:rsid w:val="00D76086"/>
    <w:rsid w:val="00D76153"/>
    <w:rsid w:val="00D7615E"/>
    <w:rsid w:val="00D7626D"/>
    <w:rsid w:val="00D762F5"/>
    <w:rsid w:val="00D76467"/>
    <w:rsid w:val="00D764AE"/>
    <w:rsid w:val="00D765CB"/>
    <w:rsid w:val="00D766C6"/>
    <w:rsid w:val="00D76C04"/>
    <w:rsid w:val="00D76CFC"/>
    <w:rsid w:val="00D76E91"/>
    <w:rsid w:val="00D76F63"/>
    <w:rsid w:val="00D77116"/>
    <w:rsid w:val="00D77123"/>
    <w:rsid w:val="00D771A2"/>
    <w:rsid w:val="00D77214"/>
    <w:rsid w:val="00D773D8"/>
    <w:rsid w:val="00D773F3"/>
    <w:rsid w:val="00D77541"/>
    <w:rsid w:val="00D77716"/>
    <w:rsid w:val="00D77866"/>
    <w:rsid w:val="00D7790C"/>
    <w:rsid w:val="00D77957"/>
    <w:rsid w:val="00D779E5"/>
    <w:rsid w:val="00D77B62"/>
    <w:rsid w:val="00D77BC5"/>
    <w:rsid w:val="00D77CC9"/>
    <w:rsid w:val="00D77D85"/>
    <w:rsid w:val="00D77ED8"/>
    <w:rsid w:val="00D77F1F"/>
    <w:rsid w:val="00D77F27"/>
    <w:rsid w:val="00D77FEE"/>
    <w:rsid w:val="00D805B3"/>
    <w:rsid w:val="00D8073A"/>
    <w:rsid w:val="00D807BD"/>
    <w:rsid w:val="00D8087D"/>
    <w:rsid w:val="00D80BAB"/>
    <w:rsid w:val="00D80BDE"/>
    <w:rsid w:val="00D80C2B"/>
    <w:rsid w:val="00D80E68"/>
    <w:rsid w:val="00D810A9"/>
    <w:rsid w:val="00D811F8"/>
    <w:rsid w:val="00D812A4"/>
    <w:rsid w:val="00D81436"/>
    <w:rsid w:val="00D814B6"/>
    <w:rsid w:val="00D81543"/>
    <w:rsid w:val="00D81A66"/>
    <w:rsid w:val="00D81FC7"/>
    <w:rsid w:val="00D820AE"/>
    <w:rsid w:val="00D820FD"/>
    <w:rsid w:val="00D821A2"/>
    <w:rsid w:val="00D822FC"/>
    <w:rsid w:val="00D829A0"/>
    <w:rsid w:val="00D82A68"/>
    <w:rsid w:val="00D82B4A"/>
    <w:rsid w:val="00D82BED"/>
    <w:rsid w:val="00D82D2F"/>
    <w:rsid w:val="00D82E29"/>
    <w:rsid w:val="00D82F1D"/>
    <w:rsid w:val="00D832B5"/>
    <w:rsid w:val="00D83363"/>
    <w:rsid w:val="00D83472"/>
    <w:rsid w:val="00D834D1"/>
    <w:rsid w:val="00D83A8F"/>
    <w:rsid w:val="00D83AB5"/>
    <w:rsid w:val="00D83B2E"/>
    <w:rsid w:val="00D83CBF"/>
    <w:rsid w:val="00D83EE6"/>
    <w:rsid w:val="00D8436E"/>
    <w:rsid w:val="00D8451A"/>
    <w:rsid w:val="00D847A8"/>
    <w:rsid w:val="00D8482F"/>
    <w:rsid w:val="00D84B0F"/>
    <w:rsid w:val="00D84B9B"/>
    <w:rsid w:val="00D84DAC"/>
    <w:rsid w:val="00D84DD2"/>
    <w:rsid w:val="00D84E8B"/>
    <w:rsid w:val="00D84F52"/>
    <w:rsid w:val="00D851FD"/>
    <w:rsid w:val="00D85527"/>
    <w:rsid w:val="00D856F2"/>
    <w:rsid w:val="00D857D3"/>
    <w:rsid w:val="00D8583B"/>
    <w:rsid w:val="00D85B67"/>
    <w:rsid w:val="00D85B84"/>
    <w:rsid w:val="00D85CA7"/>
    <w:rsid w:val="00D85DFF"/>
    <w:rsid w:val="00D860D7"/>
    <w:rsid w:val="00D861D9"/>
    <w:rsid w:val="00D862A5"/>
    <w:rsid w:val="00D862FB"/>
    <w:rsid w:val="00D8630F"/>
    <w:rsid w:val="00D86350"/>
    <w:rsid w:val="00D86442"/>
    <w:rsid w:val="00D86592"/>
    <w:rsid w:val="00D8660D"/>
    <w:rsid w:val="00D86919"/>
    <w:rsid w:val="00D869BC"/>
    <w:rsid w:val="00D86BE3"/>
    <w:rsid w:val="00D86D76"/>
    <w:rsid w:val="00D86DE9"/>
    <w:rsid w:val="00D871E1"/>
    <w:rsid w:val="00D871E8"/>
    <w:rsid w:val="00D8759B"/>
    <w:rsid w:val="00D875AD"/>
    <w:rsid w:val="00D87642"/>
    <w:rsid w:val="00D87866"/>
    <w:rsid w:val="00D878E0"/>
    <w:rsid w:val="00D87AD7"/>
    <w:rsid w:val="00D87B67"/>
    <w:rsid w:val="00D87D4D"/>
    <w:rsid w:val="00D87EE3"/>
    <w:rsid w:val="00D903C9"/>
    <w:rsid w:val="00D909DE"/>
    <w:rsid w:val="00D90B0C"/>
    <w:rsid w:val="00D90D8D"/>
    <w:rsid w:val="00D90EF1"/>
    <w:rsid w:val="00D90EF8"/>
    <w:rsid w:val="00D90FFB"/>
    <w:rsid w:val="00D9113C"/>
    <w:rsid w:val="00D91259"/>
    <w:rsid w:val="00D913C9"/>
    <w:rsid w:val="00D9155B"/>
    <w:rsid w:val="00D915A3"/>
    <w:rsid w:val="00D917B2"/>
    <w:rsid w:val="00D919FC"/>
    <w:rsid w:val="00D91B07"/>
    <w:rsid w:val="00D91D19"/>
    <w:rsid w:val="00D91D69"/>
    <w:rsid w:val="00D91EE5"/>
    <w:rsid w:val="00D91F9B"/>
    <w:rsid w:val="00D92381"/>
    <w:rsid w:val="00D92638"/>
    <w:rsid w:val="00D92891"/>
    <w:rsid w:val="00D92CCA"/>
    <w:rsid w:val="00D92DBF"/>
    <w:rsid w:val="00D92E24"/>
    <w:rsid w:val="00D92E6A"/>
    <w:rsid w:val="00D9318D"/>
    <w:rsid w:val="00D931B1"/>
    <w:rsid w:val="00D93298"/>
    <w:rsid w:val="00D9372D"/>
    <w:rsid w:val="00D9379F"/>
    <w:rsid w:val="00D93879"/>
    <w:rsid w:val="00D93884"/>
    <w:rsid w:val="00D938D5"/>
    <w:rsid w:val="00D938E5"/>
    <w:rsid w:val="00D939B1"/>
    <w:rsid w:val="00D93AFB"/>
    <w:rsid w:val="00D93D5C"/>
    <w:rsid w:val="00D93E55"/>
    <w:rsid w:val="00D94012"/>
    <w:rsid w:val="00D94134"/>
    <w:rsid w:val="00D94203"/>
    <w:rsid w:val="00D94295"/>
    <w:rsid w:val="00D942B0"/>
    <w:rsid w:val="00D942C0"/>
    <w:rsid w:val="00D942C5"/>
    <w:rsid w:val="00D94354"/>
    <w:rsid w:val="00D94471"/>
    <w:rsid w:val="00D94649"/>
    <w:rsid w:val="00D947B0"/>
    <w:rsid w:val="00D94A99"/>
    <w:rsid w:val="00D94ADF"/>
    <w:rsid w:val="00D94B4C"/>
    <w:rsid w:val="00D94C2D"/>
    <w:rsid w:val="00D94D5E"/>
    <w:rsid w:val="00D94F6C"/>
    <w:rsid w:val="00D94FED"/>
    <w:rsid w:val="00D952FB"/>
    <w:rsid w:val="00D95377"/>
    <w:rsid w:val="00D953AE"/>
    <w:rsid w:val="00D957C5"/>
    <w:rsid w:val="00D95ABC"/>
    <w:rsid w:val="00D95B8D"/>
    <w:rsid w:val="00D95C06"/>
    <w:rsid w:val="00D95C18"/>
    <w:rsid w:val="00D95C50"/>
    <w:rsid w:val="00D95DB5"/>
    <w:rsid w:val="00D95E9A"/>
    <w:rsid w:val="00D95ED7"/>
    <w:rsid w:val="00D96638"/>
    <w:rsid w:val="00D96797"/>
    <w:rsid w:val="00D96A7A"/>
    <w:rsid w:val="00D96BFF"/>
    <w:rsid w:val="00D96DA1"/>
    <w:rsid w:val="00D970A9"/>
    <w:rsid w:val="00D97138"/>
    <w:rsid w:val="00D97183"/>
    <w:rsid w:val="00D9726F"/>
    <w:rsid w:val="00D972AB"/>
    <w:rsid w:val="00D972F9"/>
    <w:rsid w:val="00D973D9"/>
    <w:rsid w:val="00D974C3"/>
    <w:rsid w:val="00D97F5D"/>
    <w:rsid w:val="00D97F62"/>
    <w:rsid w:val="00DA0008"/>
    <w:rsid w:val="00DA00E4"/>
    <w:rsid w:val="00DA03BD"/>
    <w:rsid w:val="00DA063E"/>
    <w:rsid w:val="00DA06EC"/>
    <w:rsid w:val="00DA08BD"/>
    <w:rsid w:val="00DA099B"/>
    <w:rsid w:val="00DA0BBA"/>
    <w:rsid w:val="00DA102C"/>
    <w:rsid w:val="00DA12C0"/>
    <w:rsid w:val="00DA12D0"/>
    <w:rsid w:val="00DA1D50"/>
    <w:rsid w:val="00DA1D74"/>
    <w:rsid w:val="00DA1E65"/>
    <w:rsid w:val="00DA205B"/>
    <w:rsid w:val="00DA21A1"/>
    <w:rsid w:val="00DA26F7"/>
    <w:rsid w:val="00DA287E"/>
    <w:rsid w:val="00DA28FA"/>
    <w:rsid w:val="00DA2924"/>
    <w:rsid w:val="00DA2A8A"/>
    <w:rsid w:val="00DA2ECE"/>
    <w:rsid w:val="00DA31B5"/>
    <w:rsid w:val="00DA3265"/>
    <w:rsid w:val="00DA3278"/>
    <w:rsid w:val="00DA3293"/>
    <w:rsid w:val="00DA3610"/>
    <w:rsid w:val="00DA3898"/>
    <w:rsid w:val="00DA3B21"/>
    <w:rsid w:val="00DA3CC7"/>
    <w:rsid w:val="00DA3D3E"/>
    <w:rsid w:val="00DA40B5"/>
    <w:rsid w:val="00DA40DD"/>
    <w:rsid w:val="00DA42A6"/>
    <w:rsid w:val="00DA42D4"/>
    <w:rsid w:val="00DA4909"/>
    <w:rsid w:val="00DA495F"/>
    <w:rsid w:val="00DA4AF6"/>
    <w:rsid w:val="00DA4BBE"/>
    <w:rsid w:val="00DA4BE0"/>
    <w:rsid w:val="00DA4C61"/>
    <w:rsid w:val="00DA4D7F"/>
    <w:rsid w:val="00DA4FB7"/>
    <w:rsid w:val="00DA5172"/>
    <w:rsid w:val="00DA5328"/>
    <w:rsid w:val="00DA533E"/>
    <w:rsid w:val="00DA551B"/>
    <w:rsid w:val="00DA5ACA"/>
    <w:rsid w:val="00DA5B61"/>
    <w:rsid w:val="00DA5E0E"/>
    <w:rsid w:val="00DA5E20"/>
    <w:rsid w:val="00DA61A6"/>
    <w:rsid w:val="00DA6254"/>
    <w:rsid w:val="00DA6415"/>
    <w:rsid w:val="00DA659A"/>
    <w:rsid w:val="00DA6852"/>
    <w:rsid w:val="00DA688C"/>
    <w:rsid w:val="00DA69B4"/>
    <w:rsid w:val="00DA6AF0"/>
    <w:rsid w:val="00DA6F29"/>
    <w:rsid w:val="00DA7055"/>
    <w:rsid w:val="00DA7169"/>
    <w:rsid w:val="00DA72BF"/>
    <w:rsid w:val="00DA72D6"/>
    <w:rsid w:val="00DA73D3"/>
    <w:rsid w:val="00DA7703"/>
    <w:rsid w:val="00DA796E"/>
    <w:rsid w:val="00DA7B23"/>
    <w:rsid w:val="00DA7B68"/>
    <w:rsid w:val="00DA7C26"/>
    <w:rsid w:val="00DA7D8F"/>
    <w:rsid w:val="00DB003F"/>
    <w:rsid w:val="00DB004A"/>
    <w:rsid w:val="00DB0169"/>
    <w:rsid w:val="00DB067D"/>
    <w:rsid w:val="00DB07B5"/>
    <w:rsid w:val="00DB0AAF"/>
    <w:rsid w:val="00DB0CE1"/>
    <w:rsid w:val="00DB0F18"/>
    <w:rsid w:val="00DB0F91"/>
    <w:rsid w:val="00DB10D9"/>
    <w:rsid w:val="00DB11E2"/>
    <w:rsid w:val="00DB121F"/>
    <w:rsid w:val="00DB1232"/>
    <w:rsid w:val="00DB124A"/>
    <w:rsid w:val="00DB1321"/>
    <w:rsid w:val="00DB1906"/>
    <w:rsid w:val="00DB1B21"/>
    <w:rsid w:val="00DB1BCE"/>
    <w:rsid w:val="00DB1CCA"/>
    <w:rsid w:val="00DB1D38"/>
    <w:rsid w:val="00DB1F24"/>
    <w:rsid w:val="00DB2013"/>
    <w:rsid w:val="00DB2194"/>
    <w:rsid w:val="00DB2330"/>
    <w:rsid w:val="00DB274F"/>
    <w:rsid w:val="00DB28C0"/>
    <w:rsid w:val="00DB2978"/>
    <w:rsid w:val="00DB29A7"/>
    <w:rsid w:val="00DB2ABE"/>
    <w:rsid w:val="00DB2B02"/>
    <w:rsid w:val="00DB2E0F"/>
    <w:rsid w:val="00DB2E6A"/>
    <w:rsid w:val="00DB2F0E"/>
    <w:rsid w:val="00DB3066"/>
    <w:rsid w:val="00DB30B3"/>
    <w:rsid w:val="00DB3361"/>
    <w:rsid w:val="00DB33E4"/>
    <w:rsid w:val="00DB33F0"/>
    <w:rsid w:val="00DB3457"/>
    <w:rsid w:val="00DB3781"/>
    <w:rsid w:val="00DB3AA4"/>
    <w:rsid w:val="00DB3BEA"/>
    <w:rsid w:val="00DB3CE5"/>
    <w:rsid w:val="00DB3EC1"/>
    <w:rsid w:val="00DB3F81"/>
    <w:rsid w:val="00DB4198"/>
    <w:rsid w:val="00DB45DF"/>
    <w:rsid w:val="00DB4625"/>
    <w:rsid w:val="00DB487F"/>
    <w:rsid w:val="00DB48A0"/>
    <w:rsid w:val="00DB4A14"/>
    <w:rsid w:val="00DB4A63"/>
    <w:rsid w:val="00DB4C2B"/>
    <w:rsid w:val="00DB4CA3"/>
    <w:rsid w:val="00DB4D59"/>
    <w:rsid w:val="00DB4F1F"/>
    <w:rsid w:val="00DB521A"/>
    <w:rsid w:val="00DB533C"/>
    <w:rsid w:val="00DB53A8"/>
    <w:rsid w:val="00DB58FA"/>
    <w:rsid w:val="00DB5A53"/>
    <w:rsid w:val="00DB5DFA"/>
    <w:rsid w:val="00DB5FDF"/>
    <w:rsid w:val="00DB6442"/>
    <w:rsid w:val="00DB6763"/>
    <w:rsid w:val="00DB6A10"/>
    <w:rsid w:val="00DB6A69"/>
    <w:rsid w:val="00DB6AE3"/>
    <w:rsid w:val="00DB6B4F"/>
    <w:rsid w:val="00DB7085"/>
    <w:rsid w:val="00DB72A9"/>
    <w:rsid w:val="00DB7523"/>
    <w:rsid w:val="00DB76A8"/>
    <w:rsid w:val="00DB77B9"/>
    <w:rsid w:val="00DB7855"/>
    <w:rsid w:val="00DB7884"/>
    <w:rsid w:val="00DB794E"/>
    <w:rsid w:val="00DB7AFE"/>
    <w:rsid w:val="00DB7C7D"/>
    <w:rsid w:val="00DC080C"/>
    <w:rsid w:val="00DC08BC"/>
    <w:rsid w:val="00DC0B9C"/>
    <w:rsid w:val="00DC0BD4"/>
    <w:rsid w:val="00DC0D05"/>
    <w:rsid w:val="00DC0D47"/>
    <w:rsid w:val="00DC0EEF"/>
    <w:rsid w:val="00DC115F"/>
    <w:rsid w:val="00DC13EA"/>
    <w:rsid w:val="00DC1530"/>
    <w:rsid w:val="00DC1563"/>
    <w:rsid w:val="00DC18E1"/>
    <w:rsid w:val="00DC1CA5"/>
    <w:rsid w:val="00DC1D12"/>
    <w:rsid w:val="00DC1D57"/>
    <w:rsid w:val="00DC1F31"/>
    <w:rsid w:val="00DC2168"/>
    <w:rsid w:val="00DC2300"/>
    <w:rsid w:val="00DC2350"/>
    <w:rsid w:val="00DC2464"/>
    <w:rsid w:val="00DC2496"/>
    <w:rsid w:val="00DC25B5"/>
    <w:rsid w:val="00DC26F7"/>
    <w:rsid w:val="00DC2797"/>
    <w:rsid w:val="00DC2BBB"/>
    <w:rsid w:val="00DC2F57"/>
    <w:rsid w:val="00DC2FF6"/>
    <w:rsid w:val="00DC3048"/>
    <w:rsid w:val="00DC33AE"/>
    <w:rsid w:val="00DC3511"/>
    <w:rsid w:val="00DC3754"/>
    <w:rsid w:val="00DC3BCB"/>
    <w:rsid w:val="00DC3CD4"/>
    <w:rsid w:val="00DC3CF4"/>
    <w:rsid w:val="00DC4085"/>
    <w:rsid w:val="00DC4198"/>
    <w:rsid w:val="00DC4415"/>
    <w:rsid w:val="00DC4662"/>
    <w:rsid w:val="00DC4781"/>
    <w:rsid w:val="00DC4847"/>
    <w:rsid w:val="00DC4A66"/>
    <w:rsid w:val="00DC4ABC"/>
    <w:rsid w:val="00DC4AC0"/>
    <w:rsid w:val="00DC4C8F"/>
    <w:rsid w:val="00DC4F9B"/>
    <w:rsid w:val="00DC4FFE"/>
    <w:rsid w:val="00DC5558"/>
    <w:rsid w:val="00DC5836"/>
    <w:rsid w:val="00DC5A5C"/>
    <w:rsid w:val="00DC5B9C"/>
    <w:rsid w:val="00DC6248"/>
    <w:rsid w:val="00DC6445"/>
    <w:rsid w:val="00DC65E0"/>
    <w:rsid w:val="00DC6A0E"/>
    <w:rsid w:val="00DC6AE0"/>
    <w:rsid w:val="00DC6B36"/>
    <w:rsid w:val="00DC6CBF"/>
    <w:rsid w:val="00DC6FF9"/>
    <w:rsid w:val="00DC70B1"/>
    <w:rsid w:val="00DC70DD"/>
    <w:rsid w:val="00DC71A0"/>
    <w:rsid w:val="00DC7372"/>
    <w:rsid w:val="00DC78EE"/>
    <w:rsid w:val="00DC7A6C"/>
    <w:rsid w:val="00DC7C57"/>
    <w:rsid w:val="00DC7DFA"/>
    <w:rsid w:val="00DC7EDD"/>
    <w:rsid w:val="00DC7FB1"/>
    <w:rsid w:val="00DD004C"/>
    <w:rsid w:val="00DD0386"/>
    <w:rsid w:val="00DD0682"/>
    <w:rsid w:val="00DD06CB"/>
    <w:rsid w:val="00DD0702"/>
    <w:rsid w:val="00DD07B9"/>
    <w:rsid w:val="00DD0949"/>
    <w:rsid w:val="00DD09BF"/>
    <w:rsid w:val="00DD0F3E"/>
    <w:rsid w:val="00DD11AC"/>
    <w:rsid w:val="00DD11D9"/>
    <w:rsid w:val="00DD13C9"/>
    <w:rsid w:val="00DD13D4"/>
    <w:rsid w:val="00DD1716"/>
    <w:rsid w:val="00DD1FDA"/>
    <w:rsid w:val="00DD2330"/>
    <w:rsid w:val="00DD2868"/>
    <w:rsid w:val="00DD2877"/>
    <w:rsid w:val="00DD2B12"/>
    <w:rsid w:val="00DD2DBC"/>
    <w:rsid w:val="00DD2DF5"/>
    <w:rsid w:val="00DD312B"/>
    <w:rsid w:val="00DD312F"/>
    <w:rsid w:val="00DD3157"/>
    <w:rsid w:val="00DD3175"/>
    <w:rsid w:val="00DD39B6"/>
    <w:rsid w:val="00DD39D0"/>
    <w:rsid w:val="00DD3E0B"/>
    <w:rsid w:val="00DD40A5"/>
    <w:rsid w:val="00DD4255"/>
    <w:rsid w:val="00DD4741"/>
    <w:rsid w:val="00DD488C"/>
    <w:rsid w:val="00DD4B8B"/>
    <w:rsid w:val="00DD4BDF"/>
    <w:rsid w:val="00DD4DD8"/>
    <w:rsid w:val="00DD4F98"/>
    <w:rsid w:val="00DD507B"/>
    <w:rsid w:val="00DD5089"/>
    <w:rsid w:val="00DD50EF"/>
    <w:rsid w:val="00DD5279"/>
    <w:rsid w:val="00DD54F3"/>
    <w:rsid w:val="00DD56DD"/>
    <w:rsid w:val="00DD5794"/>
    <w:rsid w:val="00DD5800"/>
    <w:rsid w:val="00DD5950"/>
    <w:rsid w:val="00DD5E39"/>
    <w:rsid w:val="00DD5ED8"/>
    <w:rsid w:val="00DD5FC1"/>
    <w:rsid w:val="00DD6202"/>
    <w:rsid w:val="00DD66AA"/>
    <w:rsid w:val="00DD68CB"/>
    <w:rsid w:val="00DD69AD"/>
    <w:rsid w:val="00DD6A51"/>
    <w:rsid w:val="00DD6BE8"/>
    <w:rsid w:val="00DD6D08"/>
    <w:rsid w:val="00DD6E76"/>
    <w:rsid w:val="00DD6E8D"/>
    <w:rsid w:val="00DD6EF5"/>
    <w:rsid w:val="00DD6F66"/>
    <w:rsid w:val="00DD7257"/>
    <w:rsid w:val="00DD7316"/>
    <w:rsid w:val="00DD732A"/>
    <w:rsid w:val="00DD732B"/>
    <w:rsid w:val="00DD745E"/>
    <w:rsid w:val="00DD746D"/>
    <w:rsid w:val="00DD7475"/>
    <w:rsid w:val="00DD75CB"/>
    <w:rsid w:val="00DD7836"/>
    <w:rsid w:val="00DD78B4"/>
    <w:rsid w:val="00DD7937"/>
    <w:rsid w:val="00DD795A"/>
    <w:rsid w:val="00DD79AB"/>
    <w:rsid w:val="00DD7A51"/>
    <w:rsid w:val="00DD7A6A"/>
    <w:rsid w:val="00DD7C19"/>
    <w:rsid w:val="00DD7FEB"/>
    <w:rsid w:val="00DE0140"/>
    <w:rsid w:val="00DE0377"/>
    <w:rsid w:val="00DE055A"/>
    <w:rsid w:val="00DE0610"/>
    <w:rsid w:val="00DE061C"/>
    <w:rsid w:val="00DE0667"/>
    <w:rsid w:val="00DE094C"/>
    <w:rsid w:val="00DE0DBB"/>
    <w:rsid w:val="00DE0F01"/>
    <w:rsid w:val="00DE0FF1"/>
    <w:rsid w:val="00DE109F"/>
    <w:rsid w:val="00DE1120"/>
    <w:rsid w:val="00DE1657"/>
    <w:rsid w:val="00DE1977"/>
    <w:rsid w:val="00DE1B81"/>
    <w:rsid w:val="00DE1D14"/>
    <w:rsid w:val="00DE1F90"/>
    <w:rsid w:val="00DE1FCB"/>
    <w:rsid w:val="00DE216B"/>
    <w:rsid w:val="00DE217E"/>
    <w:rsid w:val="00DE2496"/>
    <w:rsid w:val="00DE25E1"/>
    <w:rsid w:val="00DE2770"/>
    <w:rsid w:val="00DE2F45"/>
    <w:rsid w:val="00DE34C9"/>
    <w:rsid w:val="00DE3546"/>
    <w:rsid w:val="00DE363B"/>
    <w:rsid w:val="00DE363D"/>
    <w:rsid w:val="00DE3B9B"/>
    <w:rsid w:val="00DE3BA5"/>
    <w:rsid w:val="00DE3D02"/>
    <w:rsid w:val="00DE3E22"/>
    <w:rsid w:val="00DE3EA3"/>
    <w:rsid w:val="00DE4238"/>
    <w:rsid w:val="00DE4D4F"/>
    <w:rsid w:val="00DE5136"/>
    <w:rsid w:val="00DE515C"/>
    <w:rsid w:val="00DE533A"/>
    <w:rsid w:val="00DE5590"/>
    <w:rsid w:val="00DE56F7"/>
    <w:rsid w:val="00DE5829"/>
    <w:rsid w:val="00DE5A52"/>
    <w:rsid w:val="00DE5C53"/>
    <w:rsid w:val="00DE5FC2"/>
    <w:rsid w:val="00DE6415"/>
    <w:rsid w:val="00DE64CC"/>
    <w:rsid w:val="00DE6ACC"/>
    <w:rsid w:val="00DE6CC1"/>
    <w:rsid w:val="00DE6DA3"/>
    <w:rsid w:val="00DE6E95"/>
    <w:rsid w:val="00DE70A6"/>
    <w:rsid w:val="00DE71C2"/>
    <w:rsid w:val="00DE757B"/>
    <w:rsid w:val="00DE76AE"/>
    <w:rsid w:val="00DE771D"/>
    <w:rsid w:val="00DE79F3"/>
    <w:rsid w:val="00DE7FDC"/>
    <w:rsid w:val="00DF003B"/>
    <w:rsid w:val="00DF00AD"/>
    <w:rsid w:val="00DF045F"/>
    <w:rsid w:val="00DF0467"/>
    <w:rsid w:val="00DF0506"/>
    <w:rsid w:val="00DF0931"/>
    <w:rsid w:val="00DF0DFF"/>
    <w:rsid w:val="00DF128D"/>
    <w:rsid w:val="00DF16B0"/>
    <w:rsid w:val="00DF189B"/>
    <w:rsid w:val="00DF18DD"/>
    <w:rsid w:val="00DF1A7E"/>
    <w:rsid w:val="00DF1C19"/>
    <w:rsid w:val="00DF1C4D"/>
    <w:rsid w:val="00DF1E71"/>
    <w:rsid w:val="00DF2038"/>
    <w:rsid w:val="00DF26BA"/>
    <w:rsid w:val="00DF2A82"/>
    <w:rsid w:val="00DF2A98"/>
    <w:rsid w:val="00DF2B04"/>
    <w:rsid w:val="00DF2BAA"/>
    <w:rsid w:val="00DF2C8C"/>
    <w:rsid w:val="00DF2CB5"/>
    <w:rsid w:val="00DF2EFA"/>
    <w:rsid w:val="00DF3150"/>
    <w:rsid w:val="00DF33F4"/>
    <w:rsid w:val="00DF37F3"/>
    <w:rsid w:val="00DF3924"/>
    <w:rsid w:val="00DF3C15"/>
    <w:rsid w:val="00DF3C4F"/>
    <w:rsid w:val="00DF3DDD"/>
    <w:rsid w:val="00DF408F"/>
    <w:rsid w:val="00DF418D"/>
    <w:rsid w:val="00DF47C5"/>
    <w:rsid w:val="00DF4999"/>
    <w:rsid w:val="00DF4B96"/>
    <w:rsid w:val="00DF4BF9"/>
    <w:rsid w:val="00DF536E"/>
    <w:rsid w:val="00DF546A"/>
    <w:rsid w:val="00DF5543"/>
    <w:rsid w:val="00DF59DF"/>
    <w:rsid w:val="00DF5A15"/>
    <w:rsid w:val="00DF5C33"/>
    <w:rsid w:val="00DF5D1B"/>
    <w:rsid w:val="00DF5E57"/>
    <w:rsid w:val="00DF6023"/>
    <w:rsid w:val="00DF603A"/>
    <w:rsid w:val="00DF63FB"/>
    <w:rsid w:val="00DF64AE"/>
    <w:rsid w:val="00DF64EB"/>
    <w:rsid w:val="00DF6A41"/>
    <w:rsid w:val="00DF6B77"/>
    <w:rsid w:val="00DF6D8B"/>
    <w:rsid w:val="00DF70D8"/>
    <w:rsid w:val="00DF738B"/>
    <w:rsid w:val="00DF74D1"/>
    <w:rsid w:val="00DF7521"/>
    <w:rsid w:val="00DF7BA2"/>
    <w:rsid w:val="00DF7D13"/>
    <w:rsid w:val="00DF7D71"/>
    <w:rsid w:val="00DF7D95"/>
    <w:rsid w:val="00DF7F08"/>
    <w:rsid w:val="00DF7F85"/>
    <w:rsid w:val="00DF7FF5"/>
    <w:rsid w:val="00E00019"/>
    <w:rsid w:val="00E0061D"/>
    <w:rsid w:val="00E0068C"/>
    <w:rsid w:val="00E007B1"/>
    <w:rsid w:val="00E007FB"/>
    <w:rsid w:val="00E00948"/>
    <w:rsid w:val="00E009BC"/>
    <w:rsid w:val="00E00D9F"/>
    <w:rsid w:val="00E00E2C"/>
    <w:rsid w:val="00E00E4C"/>
    <w:rsid w:val="00E00F4D"/>
    <w:rsid w:val="00E013E9"/>
    <w:rsid w:val="00E0145F"/>
    <w:rsid w:val="00E014C5"/>
    <w:rsid w:val="00E01734"/>
    <w:rsid w:val="00E017EE"/>
    <w:rsid w:val="00E01B32"/>
    <w:rsid w:val="00E01BBA"/>
    <w:rsid w:val="00E02019"/>
    <w:rsid w:val="00E0225D"/>
    <w:rsid w:val="00E0232B"/>
    <w:rsid w:val="00E0241E"/>
    <w:rsid w:val="00E02525"/>
    <w:rsid w:val="00E02657"/>
    <w:rsid w:val="00E0279D"/>
    <w:rsid w:val="00E02850"/>
    <w:rsid w:val="00E02861"/>
    <w:rsid w:val="00E02942"/>
    <w:rsid w:val="00E02F06"/>
    <w:rsid w:val="00E02F17"/>
    <w:rsid w:val="00E02F92"/>
    <w:rsid w:val="00E03014"/>
    <w:rsid w:val="00E0317F"/>
    <w:rsid w:val="00E032D6"/>
    <w:rsid w:val="00E038E8"/>
    <w:rsid w:val="00E039C2"/>
    <w:rsid w:val="00E03D2B"/>
    <w:rsid w:val="00E04250"/>
    <w:rsid w:val="00E045A0"/>
    <w:rsid w:val="00E0471B"/>
    <w:rsid w:val="00E04A5A"/>
    <w:rsid w:val="00E04A9A"/>
    <w:rsid w:val="00E04ADB"/>
    <w:rsid w:val="00E04C32"/>
    <w:rsid w:val="00E04D65"/>
    <w:rsid w:val="00E04E5C"/>
    <w:rsid w:val="00E055AC"/>
    <w:rsid w:val="00E05801"/>
    <w:rsid w:val="00E05828"/>
    <w:rsid w:val="00E058C3"/>
    <w:rsid w:val="00E05938"/>
    <w:rsid w:val="00E05D6D"/>
    <w:rsid w:val="00E05DA4"/>
    <w:rsid w:val="00E05DC9"/>
    <w:rsid w:val="00E05F37"/>
    <w:rsid w:val="00E05FF8"/>
    <w:rsid w:val="00E06014"/>
    <w:rsid w:val="00E060A1"/>
    <w:rsid w:val="00E06186"/>
    <w:rsid w:val="00E0648B"/>
    <w:rsid w:val="00E06491"/>
    <w:rsid w:val="00E064CF"/>
    <w:rsid w:val="00E068C4"/>
    <w:rsid w:val="00E06965"/>
    <w:rsid w:val="00E06AFC"/>
    <w:rsid w:val="00E06C17"/>
    <w:rsid w:val="00E06C1D"/>
    <w:rsid w:val="00E06C8F"/>
    <w:rsid w:val="00E06D62"/>
    <w:rsid w:val="00E06DA6"/>
    <w:rsid w:val="00E07162"/>
    <w:rsid w:val="00E0752E"/>
    <w:rsid w:val="00E077A6"/>
    <w:rsid w:val="00E07A82"/>
    <w:rsid w:val="00E07EA2"/>
    <w:rsid w:val="00E10087"/>
    <w:rsid w:val="00E10161"/>
    <w:rsid w:val="00E103F7"/>
    <w:rsid w:val="00E107C6"/>
    <w:rsid w:val="00E10922"/>
    <w:rsid w:val="00E10D40"/>
    <w:rsid w:val="00E10D97"/>
    <w:rsid w:val="00E11479"/>
    <w:rsid w:val="00E11E15"/>
    <w:rsid w:val="00E11EE3"/>
    <w:rsid w:val="00E11F39"/>
    <w:rsid w:val="00E120D9"/>
    <w:rsid w:val="00E12173"/>
    <w:rsid w:val="00E122DD"/>
    <w:rsid w:val="00E12472"/>
    <w:rsid w:val="00E12803"/>
    <w:rsid w:val="00E12A24"/>
    <w:rsid w:val="00E12AAD"/>
    <w:rsid w:val="00E12BA9"/>
    <w:rsid w:val="00E12C5E"/>
    <w:rsid w:val="00E12D1F"/>
    <w:rsid w:val="00E1378C"/>
    <w:rsid w:val="00E13815"/>
    <w:rsid w:val="00E138A8"/>
    <w:rsid w:val="00E13BB1"/>
    <w:rsid w:val="00E13EDB"/>
    <w:rsid w:val="00E143D0"/>
    <w:rsid w:val="00E144AB"/>
    <w:rsid w:val="00E1465E"/>
    <w:rsid w:val="00E14C7D"/>
    <w:rsid w:val="00E14DA2"/>
    <w:rsid w:val="00E14DDA"/>
    <w:rsid w:val="00E14DF2"/>
    <w:rsid w:val="00E150BC"/>
    <w:rsid w:val="00E155B7"/>
    <w:rsid w:val="00E1576C"/>
    <w:rsid w:val="00E15939"/>
    <w:rsid w:val="00E159A8"/>
    <w:rsid w:val="00E159B0"/>
    <w:rsid w:val="00E15BBE"/>
    <w:rsid w:val="00E15EEE"/>
    <w:rsid w:val="00E161D3"/>
    <w:rsid w:val="00E16295"/>
    <w:rsid w:val="00E163B4"/>
    <w:rsid w:val="00E164B0"/>
    <w:rsid w:val="00E1676C"/>
    <w:rsid w:val="00E16AA2"/>
    <w:rsid w:val="00E16F2D"/>
    <w:rsid w:val="00E17134"/>
    <w:rsid w:val="00E171FA"/>
    <w:rsid w:val="00E1727D"/>
    <w:rsid w:val="00E17394"/>
    <w:rsid w:val="00E1755F"/>
    <w:rsid w:val="00E1794B"/>
    <w:rsid w:val="00E17AC3"/>
    <w:rsid w:val="00E17B0A"/>
    <w:rsid w:val="00E17B18"/>
    <w:rsid w:val="00E17FC2"/>
    <w:rsid w:val="00E20097"/>
    <w:rsid w:val="00E206BA"/>
    <w:rsid w:val="00E206F5"/>
    <w:rsid w:val="00E20711"/>
    <w:rsid w:val="00E20942"/>
    <w:rsid w:val="00E20C6A"/>
    <w:rsid w:val="00E21118"/>
    <w:rsid w:val="00E2112A"/>
    <w:rsid w:val="00E211A0"/>
    <w:rsid w:val="00E21208"/>
    <w:rsid w:val="00E21361"/>
    <w:rsid w:val="00E21389"/>
    <w:rsid w:val="00E216C6"/>
    <w:rsid w:val="00E218AF"/>
    <w:rsid w:val="00E219B2"/>
    <w:rsid w:val="00E21AAF"/>
    <w:rsid w:val="00E21C16"/>
    <w:rsid w:val="00E21DCF"/>
    <w:rsid w:val="00E22334"/>
    <w:rsid w:val="00E227F0"/>
    <w:rsid w:val="00E22965"/>
    <w:rsid w:val="00E22CDF"/>
    <w:rsid w:val="00E22D35"/>
    <w:rsid w:val="00E22EFB"/>
    <w:rsid w:val="00E23007"/>
    <w:rsid w:val="00E23380"/>
    <w:rsid w:val="00E2384B"/>
    <w:rsid w:val="00E23A24"/>
    <w:rsid w:val="00E23DB7"/>
    <w:rsid w:val="00E23E69"/>
    <w:rsid w:val="00E240F9"/>
    <w:rsid w:val="00E2428F"/>
    <w:rsid w:val="00E2429F"/>
    <w:rsid w:val="00E2436A"/>
    <w:rsid w:val="00E244E0"/>
    <w:rsid w:val="00E245C0"/>
    <w:rsid w:val="00E245E3"/>
    <w:rsid w:val="00E24922"/>
    <w:rsid w:val="00E2496D"/>
    <w:rsid w:val="00E2521A"/>
    <w:rsid w:val="00E25318"/>
    <w:rsid w:val="00E254EE"/>
    <w:rsid w:val="00E25589"/>
    <w:rsid w:val="00E256DA"/>
    <w:rsid w:val="00E257F4"/>
    <w:rsid w:val="00E25AF7"/>
    <w:rsid w:val="00E25E4E"/>
    <w:rsid w:val="00E25F89"/>
    <w:rsid w:val="00E26030"/>
    <w:rsid w:val="00E2607B"/>
    <w:rsid w:val="00E268D9"/>
    <w:rsid w:val="00E26C89"/>
    <w:rsid w:val="00E27083"/>
    <w:rsid w:val="00E270A0"/>
    <w:rsid w:val="00E2716F"/>
    <w:rsid w:val="00E272C0"/>
    <w:rsid w:val="00E273CC"/>
    <w:rsid w:val="00E27750"/>
    <w:rsid w:val="00E27822"/>
    <w:rsid w:val="00E27913"/>
    <w:rsid w:val="00E279E1"/>
    <w:rsid w:val="00E279EE"/>
    <w:rsid w:val="00E27A24"/>
    <w:rsid w:val="00E27BA7"/>
    <w:rsid w:val="00E27C52"/>
    <w:rsid w:val="00E27CE1"/>
    <w:rsid w:val="00E27F63"/>
    <w:rsid w:val="00E30053"/>
    <w:rsid w:val="00E300B4"/>
    <w:rsid w:val="00E30404"/>
    <w:rsid w:val="00E304A6"/>
    <w:rsid w:val="00E30777"/>
    <w:rsid w:val="00E30780"/>
    <w:rsid w:val="00E30963"/>
    <w:rsid w:val="00E30A27"/>
    <w:rsid w:val="00E310B1"/>
    <w:rsid w:val="00E310F6"/>
    <w:rsid w:val="00E3110B"/>
    <w:rsid w:val="00E3136F"/>
    <w:rsid w:val="00E3149D"/>
    <w:rsid w:val="00E31880"/>
    <w:rsid w:val="00E31928"/>
    <w:rsid w:val="00E31B60"/>
    <w:rsid w:val="00E31BC9"/>
    <w:rsid w:val="00E31F9D"/>
    <w:rsid w:val="00E31FF4"/>
    <w:rsid w:val="00E3229D"/>
    <w:rsid w:val="00E32445"/>
    <w:rsid w:val="00E3253C"/>
    <w:rsid w:val="00E32555"/>
    <w:rsid w:val="00E32629"/>
    <w:rsid w:val="00E3266A"/>
    <w:rsid w:val="00E326DA"/>
    <w:rsid w:val="00E32953"/>
    <w:rsid w:val="00E329DA"/>
    <w:rsid w:val="00E32C46"/>
    <w:rsid w:val="00E32D7C"/>
    <w:rsid w:val="00E32E4B"/>
    <w:rsid w:val="00E32EF2"/>
    <w:rsid w:val="00E32F7C"/>
    <w:rsid w:val="00E32FC4"/>
    <w:rsid w:val="00E3336F"/>
    <w:rsid w:val="00E337D1"/>
    <w:rsid w:val="00E337E5"/>
    <w:rsid w:val="00E33861"/>
    <w:rsid w:val="00E338DA"/>
    <w:rsid w:val="00E33A0A"/>
    <w:rsid w:val="00E33A35"/>
    <w:rsid w:val="00E33DAA"/>
    <w:rsid w:val="00E33F8E"/>
    <w:rsid w:val="00E34134"/>
    <w:rsid w:val="00E3425F"/>
    <w:rsid w:val="00E34290"/>
    <w:rsid w:val="00E343AA"/>
    <w:rsid w:val="00E345B9"/>
    <w:rsid w:val="00E345C5"/>
    <w:rsid w:val="00E346F6"/>
    <w:rsid w:val="00E3479D"/>
    <w:rsid w:val="00E3487C"/>
    <w:rsid w:val="00E34973"/>
    <w:rsid w:val="00E34A72"/>
    <w:rsid w:val="00E34AEF"/>
    <w:rsid w:val="00E34DC0"/>
    <w:rsid w:val="00E35158"/>
    <w:rsid w:val="00E35369"/>
    <w:rsid w:val="00E355E1"/>
    <w:rsid w:val="00E358D6"/>
    <w:rsid w:val="00E3594A"/>
    <w:rsid w:val="00E35DB6"/>
    <w:rsid w:val="00E3613E"/>
    <w:rsid w:val="00E3635D"/>
    <w:rsid w:val="00E3642B"/>
    <w:rsid w:val="00E3660D"/>
    <w:rsid w:val="00E36725"/>
    <w:rsid w:val="00E3674F"/>
    <w:rsid w:val="00E36A52"/>
    <w:rsid w:val="00E36BBC"/>
    <w:rsid w:val="00E36BFD"/>
    <w:rsid w:val="00E36C2E"/>
    <w:rsid w:val="00E36C69"/>
    <w:rsid w:val="00E36F38"/>
    <w:rsid w:val="00E371CA"/>
    <w:rsid w:val="00E37335"/>
    <w:rsid w:val="00E373C3"/>
    <w:rsid w:val="00E373F5"/>
    <w:rsid w:val="00E37639"/>
    <w:rsid w:val="00E3767B"/>
    <w:rsid w:val="00E376B5"/>
    <w:rsid w:val="00E376BA"/>
    <w:rsid w:val="00E37BAE"/>
    <w:rsid w:val="00E37CD4"/>
    <w:rsid w:val="00E37D6D"/>
    <w:rsid w:val="00E37F34"/>
    <w:rsid w:val="00E4017D"/>
    <w:rsid w:val="00E40466"/>
    <w:rsid w:val="00E40938"/>
    <w:rsid w:val="00E40AEB"/>
    <w:rsid w:val="00E40BA2"/>
    <w:rsid w:val="00E40DB3"/>
    <w:rsid w:val="00E40E58"/>
    <w:rsid w:val="00E40F95"/>
    <w:rsid w:val="00E41042"/>
    <w:rsid w:val="00E411FE"/>
    <w:rsid w:val="00E414AC"/>
    <w:rsid w:val="00E417B3"/>
    <w:rsid w:val="00E418F0"/>
    <w:rsid w:val="00E4190E"/>
    <w:rsid w:val="00E41E71"/>
    <w:rsid w:val="00E41EEA"/>
    <w:rsid w:val="00E4204F"/>
    <w:rsid w:val="00E4222B"/>
    <w:rsid w:val="00E4226D"/>
    <w:rsid w:val="00E42312"/>
    <w:rsid w:val="00E4237C"/>
    <w:rsid w:val="00E4250A"/>
    <w:rsid w:val="00E4297E"/>
    <w:rsid w:val="00E43256"/>
    <w:rsid w:val="00E4390A"/>
    <w:rsid w:val="00E43AB7"/>
    <w:rsid w:val="00E43C69"/>
    <w:rsid w:val="00E43D2B"/>
    <w:rsid w:val="00E43E02"/>
    <w:rsid w:val="00E43EB6"/>
    <w:rsid w:val="00E43ECE"/>
    <w:rsid w:val="00E4422E"/>
    <w:rsid w:val="00E443C4"/>
    <w:rsid w:val="00E444E2"/>
    <w:rsid w:val="00E44914"/>
    <w:rsid w:val="00E44B9A"/>
    <w:rsid w:val="00E44C50"/>
    <w:rsid w:val="00E44CE1"/>
    <w:rsid w:val="00E44D36"/>
    <w:rsid w:val="00E44F0F"/>
    <w:rsid w:val="00E45013"/>
    <w:rsid w:val="00E45333"/>
    <w:rsid w:val="00E4541D"/>
    <w:rsid w:val="00E454D2"/>
    <w:rsid w:val="00E45749"/>
    <w:rsid w:val="00E458B5"/>
    <w:rsid w:val="00E45D3F"/>
    <w:rsid w:val="00E45EE9"/>
    <w:rsid w:val="00E4632F"/>
    <w:rsid w:val="00E464F4"/>
    <w:rsid w:val="00E4652C"/>
    <w:rsid w:val="00E466F4"/>
    <w:rsid w:val="00E4681A"/>
    <w:rsid w:val="00E469EE"/>
    <w:rsid w:val="00E46CBA"/>
    <w:rsid w:val="00E4717C"/>
    <w:rsid w:val="00E4727F"/>
    <w:rsid w:val="00E47338"/>
    <w:rsid w:val="00E4796D"/>
    <w:rsid w:val="00E47D1A"/>
    <w:rsid w:val="00E47EC9"/>
    <w:rsid w:val="00E47F55"/>
    <w:rsid w:val="00E5012D"/>
    <w:rsid w:val="00E5020F"/>
    <w:rsid w:val="00E504F6"/>
    <w:rsid w:val="00E50501"/>
    <w:rsid w:val="00E506B8"/>
    <w:rsid w:val="00E50708"/>
    <w:rsid w:val="00E50AAF"/>
    <w:rsid w:val="00E50B54"/>
    <w:rsid w:val="00E50CD1"/>
    <w:rsid w:val="00E50DBB"/>
    <w:rsid w:val="00E50E2A"/>
    <w:rsid w:val="00E50EB8"/>
    <w:rsid w:val="00E515C0"/>
    <w:rsid w:val="00E516A0"/>
    <w:rsid w:val="00E51747"/>
    <w:rsid w:val="00E51A2C"/>
    <w:rsid w:val="00E51C7F"/>
    <w:rsid w:val="00E51F8C"/>
    <w:rsid w:val="00E52047"/>
    <w:rsid w:val="00E52071"/>
    <w:rsid w:val="00E52103"/>
    <w:rsid w:val="00E52384"/>
    <w:rsid w:val="00E525DD"/>
    <w:rsid w:val="00E52846"/>
    <w:rsid w:val="00E5297B"/>
    <w:rsid w:val="00E52B56"/>
    <w:rsid w:val="00E52C10"/>
    <w:rsid w:val="00E52D07"/>
    <w:rsid w:val="00E52F0E"/>
    <w:rsid w:val="00E53150"/>
    <w:rsid w:val="00E533B3"/>
    <w:rsid w:val="00E53534"/>
    <w:rsid w:val="00E5376D"/>
    <w:rsid w:val="00E53933"/>
    <w:rsid w:val="00E53C04"/>
    <w:rsid w:val="00E53CB8"/>
    <w:rsid w:val="00E53CBB"/>
    <w:rsid w:val="00E53D55"/>
    <w:rsid w:val="00E53EE5"/>
    <w:rsid w:val="00E5402E"/>
    <w:rsid w:val="00E5440A"/>
    <w:rsid w:val="00E544CA"/>
    <w:rsid w:val="00E54518"/>
    <w:rsid w:val="00E5454E"/>
    <w:rsid w:val="00E54718"/>
    <w:rsid w:val="00E54E26"/>
    <w:rsid w:val="00E54EA8"/>
    <w:rsid w:val="00E54F29"/>
    <w:rsid w:val="00E54F3E"/>
    <w:rsid w:val="00E5517C"/>
    <w:rsid w:val="00E551B4"/>
    <w:rsid w:val="00E551E7"/>
    <w:rsid w:val="00E552E9"/>
    <w:rsid w:val="00E55619"/>
    <w:rsid w:val="00E5565B"/>
    <w:rsid w:val="00E55A7D"/>
    <w:rsid w:val="00E55AEA"/>
    <w:rsid w:val="00E55AEE"/>
    <w:rsid w:val="00E55B51"/>
    <w:rsid w:val="00E55B64"/>
    <w:rsid w:val="00E55E95"/>
    <w:rsid w:val="00E561BD"/>
    <w:rsid w:val="00E56385"/>
    <w:rsid w:val="00E5649E"/>
    <w:rsid w:val="00E56546"/>
    <w:rsid w:val="00E567E2"/>
    <w:rsid w:val="00E568A4"/>
    <w:rsid w:val="00E569DF"/>
    <w:rsid w:val="00E56AB8"/>
    <w:rsid w:val="00E56C45"/>
    <w:rsid w:val="00E56C91"/>
    <w:rsid w:val="00E56D49"/>
    <w:rsid w:val="00E56D5B"/>
    <w:rsid w:val="00E56D7E"/>
    <w:rsid w:val="00E56E7B"/>
    <w:rsid w:val="00E56F91"/>
    <w:rsid w:val="00E575AF"/>
    <w:rsid w:val="00E575B1"/>
    <w:rsid w:val="00E57A3A"/>
    <w:rsid w:val="00E57CC1"/>
    <w:rsid w:val="00E57D31"/>
    <w:rsid w:val="00E57D93"/>
    <w:rsid w:val="00E57F3E"/>
    <w:rsid w:val="00E600A6"/>
    <w:rsid w:val="00E603D8"/>
    <w:rsid w:val="00E605C2"/>
    <w:rsid w:val="00E606B8"/>
    <w:rsid w:val="00E60887"/>
    <w:rsid w:val="00E60980"/>
    <w:rsid w:val="00E60C22"/>
    <w:rsid w:val="00E60C4C"/>
    <w:rsid w:val="00E60DF5"/>
    <w:rsid w:val="00E60EBD"/>
    <w:rsid w:val="00E6102E"/>
    <w:rsid w:val="00E61288"/>
    <w:rsid w:val="00E615E1"/>
    <w:rsid w:val="00E61666"/>
    <w:rsid w:val="00E616F8"/>
    <w:rsid w:val="00E616FA"/>
    <w:rsid w:val="00E61BA0"/>
    <w:rsid w:val="00E61BDC"/>
    <w:rsid w:val="00E61CE5"/>
    <w:rsid w:val="00E61D39"/>
    <w:rsid w:val="00E61D76"/>
    <w:rsid w:val="00E621F8"/>
    <w:rsid w:val="00E621FF"/>
    <w:rsid w:val="00E62213"/>
    <w:rsid w:val="00E62767"/>
    <w:rsid w:val="00E6277A"/>
    <w:rsid w:val="00E6291C"/>
    <w:rsid w:val="00E62BB9"/>
    <w:rsid w:val="00E62E40"/>
    <w:rsid w:val="00E62EE8"/>
    <w:rsid w:val="00E6319E"/>
    <w:rsid w:val="00E63678"/>
    <w:rsid w:val="00E63822"/>
    <w:rsid w:val="00E63E99"/>
    <w:rsid w:val="00E63FC9"/>
    <w:rsid w:val="00E63FF0"/>
    <w:rsid w:val="00E6440E"/>
    <w:rsid w:val="00E645EE"/>
    <w:rsid w:val="00E647D7"/>
    <w:rsid w:val="00E6484D"/>
    <w:rsid w:val="00E6487D"/>
    <w:rsid w:val="00E64A52"/>
    <w:rsid w:val="00E65231"/>
    <w:rsid w:val="00E65841"/>
    <w:rsid w:val="00E65F17"/>
    <w:rsid w:val="00E660FB"/>
    <w:rsid w:val="00E661E1"/>
    <w:rsid w:val="00E6644D"/>
    <w:rsid w:val="00E666F2"/>
    <w:rsid w:val="00E6685D"/>
    <w:rsid w:val="00E6694D"/>
    <w:rsid w:val="00E669E5"/>
    <w:rsid w:val="00E66B74"/>
    <w:rsid w:val="00E66D98"/>
    <w:rsid w:val="00E66EA0"/>
    <w:rsid w:val="00E672F7"/>
    <w:rsid w:val="00E67473"/>
    <w:rsid w:val="00E674B5"/>
    <w:rsid w:val="00E67507"/>
    <w:rsid w:val="00E675AD"/>
    <w:rsid w:val="00E676D8"/>
    <w:rsid w:val="00E67724"/>
    <w:rsid w:val="00E67C50"/>
    <w:rsid w:val="00E67DAA"/>
    <w:rsid w:val="00E67E04"/>
    <w:rsid w:val="00E67E82"/>
    <w:rsid w:val="00E67EB8"/>
    <w:rsid w:val="00E67F54"/>
    <w:rsid w:val="00E70183"/>
    <w:rsid w:val="00E7031F"/>
    <w:rsid w:val="00E7060D"/>
    <w:rsid w:val="00E70644"/>
    <w:rsid w:val="00E709EB"/>
    <w:rsid w:val="00E70B68"/>
    <w:rsid w:val="00E70CEC"/>
    <w:rsid w:val="00E70E0A"/>
    <w:rsid w:val="00E70E93"/>
    <w:rsid w:val="00E70FFB"/>
    <w:rsid w:val="00E71371"/>
    <w:rsid w:val="00E7175C"/>
    <w:rsid w:val="00E7180D"/>
    <w:rsid w:val="00E71B81"/>
    <w:rsid w:val="00E71BA6"/>
    <w:rsid w:val="00E71BED"/>
    <w:rsid w:val="00E71DB3"/>
    <w:rsid w:val="00E72078"/>
    <w:rsid w:val="00E7230A"/>
    <w:rsid w:val="00E7263A"/>
    <w:rsid w:val="00E7275C"/>
    <w:rsid w:val="00E7278B"/>
    <w:rsid w:val="00E72A71"/>
    <w:rsid w:val="00E72F6F"/>
    <w:rsid w:val="00E7327F"/>
    <w:rsid w:val="00E736BC"/>
    <w:rsid w:val="00E740FC"/>
    <w:rsid w:val="00E741E0"/>
    <w:rsid w:val="00E742EB"/>
    <w:rsid w:val="00E7436F"/>
    <w:rsid w:val="00E747E5"/>
    <w:rsid w:val="00E7494E"/>
    <w:rsid w:val="00E74BB0"/>
    <w:rsid w:val="00E74CEB"/>
    <w:rsid w:val="00E74DB4"/>
    <w:rsid w:val="00E75044"/>
    <w:rsid w:val="00E75614"/>
    <w:rsid w:val="00E75699"/>
    <w:rsid w:val="00E75831"/>
    <w:rsid w:val="00E75AF0"/>
    <w:rsid w:val="00E75C9C"/>
    <w:rsid w:val="00E75CF3"/>
    <w:rsid w:val="00E75E1C"/>
    <w:rsid w:val="00E75E93"/>
    <w:rsid w:val="00E75F6F"/>
    <w:rsid w:val="00E761C1"/>
    <w:rsid w:val="00E761C9"/>
    <w:rsid w:val="00E76462"/>
    <w:rsid w:val="00E7657A"/>
    <w:rsid w:val="00E768AC"/>
    <w:rsid w:val="00E76935"/>
    <w:rsid w:val="00E769B5"/>
    <w:rsid w:val="00E76E38"/>
    <w:rsid w:val="00E7704C"/>
    <w:rsid w:val="00E779B3"/>
    <w:rsid w:val="00E77A33"/>
    <w:rsid w:val="00E77AAA"/>
    <w:rsid w:val="00E77BB0"/>
    <w:rsid w:val="00E77D89"/>
    <w:rsid w:val="00E80030"/>
    <w:rsid w:val="00E801DE"/>
    <w:rsid w:val="00E80200"/>
    <w:rsid w:val="00E80232"/>
    <w:rsid w:val="00E80257"/>
    <w:rsid w:val="00E802DB"/>
    <w:rsid w:val="00E804EA"/>
    <w:rsid w:val="00E80633"/>
    <w:rsid w:val="00E80807"/>
    <w:rsid w:val="00E8091B"/>
    <w:rsid w:val="00E80D03"/>
    <w:rsid w:val="00E80D0F"/>
    <w:rsid w:val="00E810A4"/>
    <w:rsid w:val="00E810F1"/>
    <w:rsid w:val="00E81214"/>
    <w:rsid w:val="00E813CD"/>
    <w:rsid w:val="00E81574"/>
    <w:rsid w:val="00E816D0"/>
    <w:rsid w:val="00E81A45"/>
    <w:rsid w:val="00E81AB5"/>
    <w:rsid w:val="00E81C16"/>
    <w:rsid w:val="00E81CEB"/>
    <w:rsid w:val="00E81DCA"/>
    <w:rsid w:val="00E82129"/>
    <w:rsid w:val="00E82135"/>
    <w:rsid w:val="00E8219D"/>
    <w:rsid w:val="00E821EA"/>
    <w:rsid w:val="00E82302"/>
    <w:rsid w:val="00E827C3"/>
    <w:rsid w:val="00E829EA"/>
    <w:rsid w:val="00E82A7D"/>
    <w:rsid w:val="00E82C6E"/>
    <w:rsid w:val="00E82E4E"/>
    <w:rsid w:val="00E82ED1"/>
    <w:rsid w:val="00E830A9"/>
    <w:rsid w:val="00E830FA"/>
    <w:rsid w:val="00E8318F"/>
    <w:rsid w:val="00E8359A"/>
    <w:rsid w:val="00E835B0"/>
    <w:rsid w:val="00E83BFE"/>
    <w:rsid w:val="00E83D2C"/>
    <w:rsid w:val="00E83DC6"/>
    <w:rsid w:val="00E83E57"/>
    <w:rsid w:val="00E84258"/>
    <w:rsid w:val="00E8438F"/>
    <w:rsid w:val="00E843B8"/>
    <w:rsid w:val="00E843EE"/>
    <w:rsid w:val="00E845E4"/>
    <w:rsid w:val="00E84636"/>
    <w:rsid w:val="00E846C5"/>
    <w:rsid w:val="00E846F1"/>
    <w:rsid w:val="00E8480C"/>
    <w:rsid w:val="00E848F2"/>
    <w:rsid w:val="00E84CD5"/>
    <w:rsid w:val="00E84E9F"/>
    <w:rsid w:val="00E85006"/>
    <w:rsid w:val="00E850E9"/>
    <w:rsid w:val="00E85190"/>
    <w:rsid w:val="00E85354"/>
    <w:rsid w:val="00E853CD"/>
    <w:rsid w:val="00E8565F"/>
    <w:rsid w:val="00E85709"/>
    <w:rsid w:val="00E85DDE"/>
    <w:rsid w:val="00E85F25"/>
    <w:rsid w:val="00E86032"/>
    <w:rsid w:val="00E860A1"/>
    <w:rsid w:val="00E860F7"/>
    <w:rsid w:val="00E86517"/>
    <w:rsid w:val="00E86586"/>
    <w:rsid w:val="00E86700"/>
    <w:rsid w:val="00E86750"/>
    <w:rsid w:val="00E8681A"/>
    <w:rsid w:val="00E86979"/>
    <w:rsid w:val="00E8697A"/>
    <w:rsid w:val="00E86C73"/>
    <w:rsid w:val="00E86C8A"/>
    <w:rsid w:val="00E86FD4"/>
    <w:rsid w:val="00E8724B"/>
    <w:rsid w:val="00E877B0"/>
    <w:rsid w:val="00E87827"/>
    <w:rsid w:val="00E87A5B"/>
    <w:rsid w:val="00E87BD5"/>
    <w:rsid w:val="00E87C18"/>
    <w:rsid w:val="00E87F21"/>
    <w:rsid w:val="00E9015A"/>
    <w:rsid w:val="00E9040F"/>
    <w:rsid w:val="00E907F9"/>
    <w:rsid w:val="00E90B96"/>
    <w:rsid w:val="00E9107B"/>
    <w:rsid w:val="00E9190E"/>
    <w:rsid w:val="00E91A86"/>
    <w:rsid w:val="00E91B35"/>
    <w:rsid w:val="00E91CB7"/>
    <w:rsid w:val="00E91D6F"/>
    <w:rsid w:val="00E91E33"/>
    <w:rsid w:val="00E91EBC"/>
    <w:rsid w:val="00E9210E"/>
    <w:rsid w:val="00E921C0"/>
    <w:rsid w:val="00E9245C"/>
    <w:rsid w:val="00E92614"/>
    <w:rsid w:val="00E9275F"/>
    <w:rsid w:val="00E92A17"/>
    <w:rsid w:val="00E92D59"/>
    <w:rsid w:val="00E92E80"/>
    <w:rsid w:val="00E92F25"/>
    <w:rsid w:val="00E92F9A"/>
    <w:rsid w:val="00E9303D"/>
    <w:rsid w:val="00E930A5"/>
    <w:rsid w:val="00E930B3"/>
    <w:rsid w:val="00E93176"/>
    <w:rsid w:val="00E9317B"/>
    <w:rsid w:val="00E93450"/>
    <w:rsid w:val="00E935F1"/>
    <w:rsid w:val="00E93887"/>
    <w:rsid w:val="00E93959"/>
    <w:rsid w:val="00E93D7C"/>
    <w:rsid w:val="00E94454"/>
    <w:rsid w:val="00E944C4"/>
    <w:rsid w:val="00E94722"/>
    <w:rsid w:val="00E94C41"/>
    <w:rsid w:val="00E95147"/>
    <w:rsid w:val="00E954AF"/>
    <w:rsid w:val="00E95631"/>
    <w:rsid w:val="00E95715"/>
    <w:rsid w:val="00E9582A"/>
    <w:rsid w:val="00E958B2"/>
    <w:rsid w:val="00E95A67"/>
    <w:rsid w:val="00E95B43"/>
    <w:rsid w:val="00E95C6F"/>
    <w:rsid w:val="00E95D13"/>
    <w:rsid w:val="00E95DAE"/>
    <w:rsid w:val="00E95E28"/>
    <w:rsid w:val="00E95E33"/>
    <w:rsid w:val="00E95E69"/>
    <w:rsid w:val="00E95EFC"/>
    <w:rsid w:val="00E96010"/>
    <w:rsid w:val="00E9602F"/>
    <w:rsid w:val="00E9622E"/>
    <w:rsid w:val="00E96432"/>
    <w:rsid w:val="00E9665F"/>
    <w:rsid w:val="00E968D6"/>
    <w:rsid w:val="00E96AF7"/>
    <w:rsid w:val="00E96CA4"/>
    <w:rsid w:val="00E97160"/>
    <w:rsid w:val="00E973FC"/>
    <w:rsid w:val="00E97403"/>
    <w:rsid w:val="00E9751F"/>
    <w:rsid w:val="00E975CB"/>
    <w:rsid w:val="00E978E6"/>
    <w:rsid w:val="00E97A38"/>
    <w:rsid w:val="00EA005D"/>
    <w:rsid w:val="00EA030A"/>
    <w:rsid w:val="00EA06CF"/>
    <w:rsid w:val="00EA072C"/>
    <w:rsid w:val="00EA0740"/>
    <w:rsid w:val="00EA0DBF"/>
    <w:rsid w:val="00EA0E7A"/>
    <w:rsid w:val="00EA0F2B"/>
    <w:rsid w:val="00EA10DE"/>
    <w:rsid w:val="00EA11A3"/>
    <w:rsid w:val="00EA13C4"/>
    <w:rsid w:val="00EA14E2"/>
    <w:rsid w:val="00EA16BD"/>
    <w:rsid w:val="00EA1806"/>
    <w:rsid w:val="00EA1EB4"/>
    <w:rsid w:val="00EA1FC2"/>
    <w:rsid w:val="00EA2034"/>
    <w:rsid w:val="00EA2040"/>
    <w:rsid w:val="00EA21B1"/>
    <w:rsid w:val="00EA22C2"/>
    <w:rsid w:val="00EA2308"/>
    <w:rsid w:val="00EA234D"/>
    <w:rsid w:val="00EA2400"/>
    <w:rsid w:val="00EA2707"/>
    <w:rsid w:val="00EA2B7B"/>
    <w:rsid w:val="00EA2F66"/>
    <w:rsid w:val="00EA302E"/>
    <w:rsid w:val="00EA30E9"/>
    <w:rsid w:val="00EA323B"/>
    <w:rsid w:val="00EA3256"/>
    <w:rsid w:val="00EA34B1"/>
    <w:rsid w:val="00EA3531"/>
    <w:rsid w:val="00EA35FA"/>
    <w:rsid w:val="00EA3617"/>
    <w:rsid w:val="00EA3630"/>
    <w:rsid w:val="00EA374D"/>
    <w:rsid w:val="00EA3958"/>
    <w:rsid w:val="00EA3AA4"/>
    <w:rsid w:val="00EA3CD0"/>
    <w:rsid w:val="00EA3D19"/>
    <w:rsid w:val="00EA409B"/>
    <w:rsid w:val="00EA4155"/>
    <w:rsid w:val="00EA43FA"/>
    <w:rsid w:val="00EA452E"/>
    <w:rsid w:val="00EA4634"/>
    <w:rsid w:val="00EA483D"/>
    <w:rsid w:val="00EA48AA"/>
    <w:rsid w:val="00EA4F73"/>
    <w:rsid w:val="00EA5055"/>
    <w:rsid w:val="00EA52F5"/>
    <w:rsid w:val="00EA53EA"/>
    <w:rsid w:val="00EA5C13"/>
    <w:rsid w:val="00EA5DB9"/>
    <w:rsid w:val="00EA5E3D"/>
    <w:rsid w:val="00EA66D9"/>
    <w:rsid w:val="00EA67BF"/>
    <w:rsid w:val="00EA6806"/>
    <w:rsid w:val="00EA6860"/>
    <w:rsid w:val="00EA6ACB"/>
    <w:rsid w:val="00EA6B73"/>
    <w:rsid w:val="00EA6C79"/>
    <w:rsid w:val="00EA6D22"/>
    <w:rsid w:val="00EA6DEB"/>
    <w:rsid w:val="00EA6EAE"/>
    <w:rsid w:val="00EA7278"/>
    <w:rsid w:val="00EA7421"/>
    <w:rsid w:val="00EA749C"/>
    <w:rsid w:val="00EA74FF"/>
    <w:rsid w:val="00EA7552"/>
    <w:rsid w:val="00EA775E"/>
    <w:rsid w:val="00EA7760"/>
    <w:rsid w:val="00EA7CDC"/>
    <w:rsid w:val="00EA7F0D"/>
    <w:rsid w:val="00EB0041"/>
    <w:rsid w:val="00EB0056"/>
    <w:rsid w:val="00EB02FC"/>
    <w:rsid w:val="00EB0595"/>
    <w:rsid w:val="00EB0C3E"/>
    <w:rsid w:val="00EB0EA0"/>
    <w:rsid w:val="00EB0EF5"/>
    <w:rsid w:val="00EB0FD0"/>
    <w:rsid w:val="00EB1AC4"/>
    <w:rsid w:val="00EB1D00"/>
    <w:rsid w:val="00EB2525"/>
    <w:rsid w:val="00EB277C"/>
    <w:rsid w:val="00EB28C7"/>
    <w:rsid w:val="00EB2E95"/>
    <w:rsid w:val="00EB32FC"/>
    <w:rsid w:val="00EB33BF"/>
    <w:rsid w:val="00EB33DA"/>
    <w:rsid w:val="00EB37C8"/>
    <w:rsid w:val="00EB3A13"/>
    <w:rsid w:val="00EB3C4D"/>
    <w:rsid w:val="00EB3CD0"/>
    <w:rsid w:val="00EB3D23"/>
    <w:rsid w:val="00EB40B9"/>
    <w:rsid w:val="00EB4170"/>
    <w:rsid w:val="00EB41B0"/>
    <w:rsid w:val="00EB41F4"/>
    <w:rsid w:val="00EB43D5"/>
    <w:rsid w:val="00EB443F"/>
    <w:rsid w:val="00EB4607"/>
    <w:rsid w:val="00EB4808"/>
    <w:rsid w:val="00EB4872"/>
    <w:rsid w:val="00EB49F3"/>
    <w:rsid w:val="00EB4AC9"/>
    <w:rsid w:val="00EB5143"/>
    <w:rsid w:val="00EB53B5"/>
    <w:rsid w:val="00EB55D3"/>
    <w:rsid w:val="00EB564A"/>
    <w:rsid w:val="00EB573A"/>
    <w:rsid w:val="00EB5A75"/>
    <w:rsid w:val="00EB5C81"/>
    <w:rsid w:val="00EB5DB1"/>
    <w:rsid w:val="00EB5F1F"/>
    <w:rsid w:val="00EB6091"/>
    <w:rsid w:val="00EB62CF"/>
    <w:rsid w:val="00EB62F4"/>
    <w:rsid w:val="00EB635F"/>
    <w:rsid w:val="00EB64F1"/>
    <w:rsid w:val="00EB6606"/>
    <w:rsid w:val="00EB69E7"/>
    <w:rsid w:val="00EB6D23"/>
    <w:rsid w:val="00EB6DEA"/>
    <w:rsid w:val="00EB6EF8"/>
    <w:rsid w:val="00EB7058"/>
    <w:rsid w:val="00EB7A24"/>
    <w:rsid w:val="00EB7CC4"/>
    <w:rsid w:val="00EC0117"/>
    <w:rsid w:val="00EC012F"/>
    <w:rsid w:val="00EC03C8"/>
    <w:rsid w:val="00EC06A1"/>
    <w:rsid w:val="00EC07EF"/>
    <w:rsid w:val="00EC087E"/>
    <w:rsid w:val="00EC0C7B"/>
    <w:rsid w:val="00EC0FC6"/>
    <w:rsid w:val="00EC10FD"/>
    <w:rsid w:val="00EC11D6"/>
    <w:rsid w:val="00EC12BD"/>
    <w:rsid w:val="00EC142F"/>
    <w:rsid w:val="00EC1878"/>
    <w:rsid w:val="00EC1A5D"/>
    <w:rsid w:val="00EC1B64"/>
    <w:rsid w:val="00EC1C58"/>
    <w:rsid w:val="00EC1CF5"/>
    <w:rsid w:val="00EC1EC4"/>
    <w:rsid w:val="00EC2049"/>
    <w:rsid w:val="00EC20DB"/>
    <w:rsid w:val="00EC25F3"/>
    <w:rsid w:val="00EC27C4"/>
    <w:rsid w:val="00EC2999"/>
    <w:rsid w:val="00EC2AA9"/>
    <w:rsid w:val="00EC2B43"/>
    <w:rsid w:val="00EC3044"/>
    <w:rsid w:val="00EC311D"/>
    <w:rsid w:val="00EC33EB"/>
    <w:rsid w:val="00EC3868"/>
    <w:rsid w:val="00EC3945"/>
    <w:rsid w:val="00EC3C0A"/>
    <w:rsid w:val="00EC3DF4"/>
    <w:rsid w:val="00EC3E00"/>
    <w:rsid w:val="00EC3E47"/>
    <w:rsid w:val="00EC402C"/>
    <w:rsid w:val="00EC40F9"/>
    <w:rsid w:val="00EC42C0"/>
    <w:rsid w:val="00EC4400"/>
    <w:rsid w:val="00EC45C6"/>
    <w:rsid w:val="00EC466E"/>
    <w:rsid w:val="00EC4809"/>
    <w:rsid w:val="00EC489E"/>
    <w:rsid w:val="00EC4AF9"/>
    <w:rsid w:val="00EC4C06"/>
    <w:rsid w:val="00EC4E65"/>
    <w:rsid w:val="00EC4E6E"/>
    <w:rsid w:val="00EC4F94"/>
    <w:rsid w:val="00EC540C"/>
    <w:rsid w:val="00EC5468"/>
    <w:rsid w:val="00EC54BA"/>
    <w:rsid w:val="00EC55B1"/>
    <w:rsid w:val="00EC575E"/>
    <w:rsid w:val="00EC58FF"/>
    <w:rsid w:val="00EC59EE"/>
    <w:rsid w:val="00EC5A22"/>
    <w:rsid w:val="00EC5A48"/>
    <w:rsid w:val="00EC5AB2"/>
    <w:rsid w:val="00EC5DD5"/>
    <w:rsid w:val="00EC60F0"/>
    <w:rsid w:val="00EC616A"/>
    <w:rsid w:val="00EC625F"/>
    <w:rsid w:val="00EC6316"/>
    <w:rsid w:val="00EC6492"/>
    <w:rsid w:val="00EC6825"/>
    <w:rsid w:val="00EC685A"/>
    <w:rsid w:val="00EC68B2"/>
    <w:rsid w:val="00EC68D4"/>
    <w:rsid w:val="00EC69C6"/>
    <w:rsid w:val="00EC6CAB"/>
    <w:rsid w:val="00EC6DA6"/>
    <w:rsid w:val="00EC6E27"/>
    <w:rsid w:val="00EC6F2E"/>
    <w:rsid w:val="00EC700F"/>
    <w:rsid w:val="00EC728A"/>
    <w:rsid w:val="00EC72AA"/>
    <w:rsid w:val="00EC753A"/>
    <w:rsid w:val="00EC7727"/>
    <w:rsid w:val="00EC7CB6"/>
    <w:rsid w:val="00EC7D36"/>
    <w:rsid w:val="00EC7FB0"/>
    <w:rsid w:val="00ED0425"/>
    <w:rsid w:val="00ED046B"/>
    <w:rsid w:val="00ED08D2"/>
    <w:rsid w:val="00ED09B2"/>
    <w:rsid w:val="00ED0BA1"/>
    <w:rsid w:val="00ED0C0C"/>
    <w:rsid w:val="00ED0DCE"/>
    <w:rsid w:val="00ED1101"/>
    <w:rsid w:val="00ED122B"/>
    <w:rsid w:val="00ED1296"/>
    <w:rsid w:val="00ED1319"/>
    <w:rsid w:val="00ED14F3"/>
    <w:rsid w:val="00ED1719"/>
    <w:rsid w:val="00ED1C00"/>
    <w:rsid w:val="00ED1C68"/>
    <w:rsid w:val="00ED1CCA"/>
    <w:rsid w:val="00ED1DEC"/>
    <w:rsid w:val="00ED1EEA"/>
    <w:rsid w:val="00ED1F66"/>
    <w:rsid w:val="00ED1FA2"/>
    <w:rsid w:val="00ED209D"/>
    <w:rsid w:val="00ED2477"/>
    <w:rsid w:val="00ED27C9"/>
    <w:rsid w:val="00ED282E"/>
    <w:rsid w:val="00ED29F0"/>
    <w:rsid w:val="00ED2DFC"/>
    <w:rsid w:val="00ED302B"/>
    <w:rsid w:val="00ED3130"/>
    <w:rsid w:val="00ED31F3"/>
    <w:rsid w:val="00ED3302"/>
    <w:rsid w:val="00ED33B7"/>
    <w:rsid w:val="00ED36D4"/>
    <w:rsid w:val="00ED3960"/>
    <w:rsid w:val="00ED3F04"/>
    <w:rsid w:val="00ED3FCD"/>
    <w:rsid w:val="00ED41BC"/>
    <w:rsid w:val="00ED43AD"/>
    <w:rsid w:val="00ED4401"/>
    <w:rsid w:val="00ED45BC"/>
    <w:rsid w:val="00ED4951"/>
    <w:rsid w:val="00ED4A0D"/>
    <w:rsid w:val="00ED4BCB"/>
    <w:rsid w:val="00ED4C97"/>
    <w:rsid w:val="00ED4E6C"/>
    <w:rsid w:val="00ED52AC"/>
    <w:rsid w:val="00ED53B8"/>
    <w:rsid w:val="00ED551C"/>
    <w:rsid w:val="00ED55B9"/>
    <w:rsid w:val="00ED55CD"/>
    <w:rsid w:val="00ED5A7B"/>
    <w:rsid w:val="00ED5E1A"/>
    <w:rsid w:val="00ED6005"/>
    <w:rsid w:val="00ED61C1"/>
    <w:rsid w:val="00ED6688"/>
    <w:rsid w:val="00ED677A"/>
    <w:rsid w:val="00ED67AB"/>
    <w:rsid w:val="00ED68B3"/>
    <w:rsid w:val="00ED68FB"/>
    <w:rsid w:val="00ED6A75"/>
    <w:rsid w:val="00ED6AB7"/>
    <w:rsid w:val="00ED6ADF"/>
    <w:rsid w:val="00ED6D0D"/>
    <w:rsid w:val="00ED6DA9"/>
    <w:rsid w:val="00ED6E75"/>
    <w:rsid w:val="00ED70BD"/>
    <w:rsid w:val="00ED71C3"/>
    <w:rsid w:val="00ED73BE"/>
    <w:rsid w:val="00ED76BE"/>
    <w:rsid w:val="00ED783A"/>
    <w:rsid w:val="00ED7D6F"/>
    <w:rsid w:val="00ED7F1A"/>
    <w:rsid w:val="00EE0246"/>
    <w:rsid w:val="00EE033A"/>
    <w:rsid w:val="00EE051E"/>
    <w:rsid w:val="00EE0974"/>
    <w:rsid w:val="00EE0C90"/>
    <w:rsid w:val="00EE0CEF"/>
    <w:rsid w:val="00EE0E08"/>
    <w:rsid w:val="00EE0E5C"/>
    <w:rsid w:val="00EE10C2"/>
    <w:rsid w:val="00EE117B"/>
    <w:rsid w:val="00EE13B4"/>
    <w:rsid w:val="00EE13B5"/>
    <w:rsid w:val="00EE155A"/>
    <w:rsid w:val="00EE16B9"/>
    <w:rsid w:val="00EE1775"/>
    <w:rsid w:val="00EE1821"/>
    <w:rsid w:val="00EE1AB6"/>
    <w:rsid w:val="00EE1B89"/>
    <w:rsid w:val="00EE1D4B"/>
    <w:rsid w:val="00EE1E1D"/>
    <w:rsid w:val="00EE226B"/>
    <w:rsid w:val="00EE22FD"/>
    <w:rsid w:val="00EE238D"/>
    <w:rsid w:val="00EE28D1"/>
    <w:rsid w:val="00EE2B54"/>
    <w:rsid w:val="00EE2C20"/>
    <w:rsid w:val="00EE2E1E"/>
    <w:rsid w:val="00EE2FB3"/>
    <w:rsid w:val="00EE305C"/>
    <w:rsid w:val="00EE341D"/>
    <w:rsid w:val="00EE3488"/>
    <w:rsid w:val="00EE350E"/>
    <w:rsid w:val="00EE3590"/>
    <w:rsid w:val="00EE3A91"/>
    <w:rsid w:val="00EE3AD0"/>
    <w:rsid w:val="00EE3AE1"/>
    <w:rsid w:val="00EE3AEF"/>
    <w:rsid w:val="00EE3E69"/>
    <w:rsid w:val="00EE4168"/>
    <w:rsid w:val="00EE427D"/>
    <w:rsid w:val="00EE46FC"/>
    <w:rsid w:val="00EE4739"/>
    <w:rsid w:val="00EE494B"/>
    <w:rsid w:val="00EE4A81"/>
    <w:rsid w:val="00EE4ABB"/>
    <w:rsid w:val="00EE4B0A"/>
    <w:rsid w:val="00EE4C03"/>
    <w:rsid w:val="00EE4D21"/>
    <w:rsid w:val="00EE4D55"/>
    <w:rsid w:val="00EE4D67"/>
    <w:rsid w:val="00EE4DEF"/>
    <w:rsid w:val="00EE4ECE"/>
    <w:rsid w:val="00EE50F1"/>
    <w:rsid w:val="00EE511D"/>
    <w:rsid w:val="00EE51E1"/>
    <w:rsid w:val="00EE527F"/>
    <w:rsid w:val="00EE5666"/>
    <w:rsid w:val="00EE5676"/>
    <w:rsid w:val="00EE589D"/>
    <w:rsid w:val="00EE5A04"/>
    <w:rsid w:val="00EE6100"/>
    <w:rsid w:val="00EE610B"/>
    <w:rsid w:val="00EE65FE"/>
    <w:rsid w:val="00EE66F2"/>
    <w:rsid w:val="00EE674F"/>
    <w:rsid w:val="00EE67B7"/>
    <w:rsid w:val="00EE6A9F"/>
    <w:rsid w:val="00EE6B71"/>
    <w:rsid w:val="00EE6DC1"/>
    <w:rsid w:val="00EE6EA5"/>
    <w:rsid w:val="00EE70B8"/>
    <w:rsid w:val="00EE7139"/>
    <w:rsid w:val="00EE72F9"/>
    <w:rsid w:val="00EE74DC"/>
    <w:rsid w:val="00EE74EA"/>
    <w:rsid w:val="00EE7633"/>
    <w:rsid w:val="00EE7657"/>
    <w:rsid w:val="00EE77C3"/>
    <w:rsid w:val="00EE77D6"/>
    <w:rsid w:val="00EE788D"/>
    <w:rsid w:val="00EE7957"/>
    <w:rsid w:val="00EE7E6E"/>
    <w:rsid w:val="00EE7FCC"/>
    <w:rsid w:val="00EE7FE8"/>
    <w:rsid w:val="00EE7FF0"/>
    <w:rsid w:val="00EF0359"/>
    <w:rsid w:val="00EF052F"/>
    <w:rsid w:val="00EF0584"/>
    <w:rsid w:val="00EF06EA"/>
    <w:rsid w:val="00EF09D7"/>
    <w:rsid w:val="00EF0BB6"/>
    <w:rsid w:val="00EF0EC2"/>
    <w:rsid w:val="00EF0F82"/>
    <w:rsid w:val="00EF1027"/>
    <w:rsid w:val="00EF113B"/>
    <w:rsid w:val="00EF1789"/>
    <w:rsid w:val="00EF17DE"/>
    <w:rsid w:val="00EF1989"/>
    <w:rsid w:val="00EF1A88"/>
    <w:rsid w:val="00EF1FA7"/>
    <w:rsid w:val="00EF20E4"/>
    <w:rsid w:val="00EF23AB"/>
    <w:rsid w:val="00EF2574"/>
    <w:rsid w:val="00EF27A0"/>
    <w:rsid w:val="00EF27DF"/>
    <w:rsid w:val="00EF32AF"/>
    <w:rsid w:val="00EF3508"/>
    <w:rsid w:val="00EF35D1"/>
    <w:rsid w:val="00EF3602"/>
    <w:rsid w:val="00EF37C9"/>
    <w:rsid w:val="00EF382B"/>
    <w:rsid w:val="00EF3A92"/>
    <w:rsid w:val="00EF3E62"/>
    <w:rsid w:val="00EF3EA9"/>
    <w:rsid w:val="00EF3F55"/>
    <w:rsid w:val="00EF405F"/>
    <w:rsid w:val="00EF4091"/>
    <w:rsid w:val="00EF42F1"/>
    <w:rsid w:val="00EF43F4"/>
    <w:rsid w:val="00EF446A"/>
    <w:rsid w:val="00EF4618"/>
    <w:rsid w:val="00EF46D8"/>
    <w:rsid w:val="00EF46F8"/>
    <w:rsid w:val="00EF4818"/>
    <w:rsid w:val="00EF4A8D"/>
    <w:rsid w:val="00EF4E05"/>
    <w:rsid w:val="00EF4F79"/>
    <w:rsid w:val="00EF5407"/>
    <w:rsid w:val="00EF570A"/>
    <w:rsid w:val="00EF57B5"/>
    <w:rsid w:val="00EF591E"/>
    <w:rsid w:val="00EF59B4"/>
    <w:rsid w:val="00EF5AC7"/>
    <w:rsid w:val="00EF5B6C"/>
    <w:rsid w:val="00EF5F3D"/>
    <w:rsid w:val="00EF5F79"/>
    <w:rsid w:val="00EF602B"/>
    <w:rsid w:val="00EF6356"/>
    <w:rsid w:val="00EF6418"/>
    <w:rsid w:val="00EF6500"/>
    <w:rsid w:val="00EF655F"/>
    <w:rsid w:val="00EF6628"/>
    <w:rsid w:val="00EF66BD"/>
    <w:rsid w:val="00EF6A30"/>
    <w:rsid w:val="00EF6B47"/>
    <w:rsid w:val="00EF7055"/>
    <w:rsid w:val="00EF7107"/>
    <w:rsid w:val="00EF725C"/>
    <w:rsid w:val="00EF7338"/>
    <w:rsid w:val="00EF7497"/>
    <w:rsid w:val="00EF74F2"/>
    <w:rsid w:val="00EF7502"/>
    <w:rsid w:val="00EF7645"/>
    <w:rsid w:val="00EF78D7"/>
    <w:rsid w:val="00EF7919"/>
    <w:rsid w:val="00EF7A21"/>
    <w:rsid w:val="00EF7AD8"/>
    <w:rsid w:val="00EF7BEB"/>
    <w:rsid w:val="00EF7C19"/>
    <w:rsid w:val="00EF7CD9"/>
    <w:rsid w:val="00F0054E"/>
    <w:rsid w:val="00F008BB"/>
    <w:rsid w:val="00F00B56"/>
    <w:rsid w:val="00F00B7A"/>
    <w:rsid w:val="00F010BB"/>
    <w:rsid w:val="00F01111"/>
    <w:rsid w:val="00F01158"/>
    <w:rsid w:val="00F012F2"/>
    <w:rsid w:val="00F0144A"/>
    <w:rsid w:val="00F0188B"/>
    <w:rsid w:val="00F01B2C"/>
    <w:rsid w:val="00F01EEE"/>
    <w:rsid w:val="00F0212A"/>
    <w:rsid w:val="00F02190"/>
    <w:rsid w:val="00F023A7"/>
    <w:rsid w:val="00F02636"/>
    <w:rsid w:val="00F02722"/>
    <w:rsid w:val="00F02812"/>
    <w:rsid w:val="00F028AE"/>
    <w:rsid w:val="00F02BEA"/>
    <w:rsid w:val="00F02C64"/>
    <w:rsid w:val="00F02E52"/>
    <w:rsid w:val="00F02ECF"/>
    <w:rsid w:val="00F03110"/>
    <w:rsid w:val="00F0311E"/>
    <w:rsid w:val="00F034FD"/>
    <w:rsid w:val="00F035A6"/>
    <w:rsid w:val="00F03641"/>
    <w:rsid w:val="00F03902"/>
    <w:rsid w:val="00F03FED"/>
    <w:rsid w:val="00F040F5"/>
    <w:rsid w:val="00F0418B"/>
    <w:rsid w:val="00F041DE"/>
    <w:rsid w:val="00F0431F"/>
    <w:rsid w:val="00F0452F"/>
    <w:rsid w:val="00F04575"/>
    <w:rsid w:val="00F04726"/>
    <w:rsid w:val="00F04A9D"/>
    <w:rsid w:val="00F04E33"/>
    <w:rsid w:val="00F04E4B"/>
    <w:rsid w:val="00F050E4"/>
    <w:rsid w:val="00F05710"/>
    <w:rsid w:val="00F05AAD"/>
    <w:rsid w:val="00F05ED2"/>
    <w:rsid w:val="00F0624C"/>
    <w:rsid w:val="00F0626F"/>
    <w:rsid w:val="00F0634B"/>
    <w:rsid w:val="00F06579"/>
    <w:rsid w:val="00F06629"/>
    <w:rsid w:val="00F066A0"/>
    <w:rsid w:val="00F06BFB"/>
    <w:rsid w:val="00F06D6E"/>
    <w:rsid w:val="00F06E87"/>
    <w:rsid w:val="00F07156"/>
    <w:rsid w:val="00F0715E"/>
    <w:rsid w:val="00F0731E"/>
    <w:rsid w:val="00F07505"/>
    <w:rsid w:val="00F07649"/>
    <w:rsid w:val="00F07981"/>
    <w:rsid w:val="00F079F0"/>
    <w:rsid w:val="00F07A20"/>
    <w:rsid w:val="00F07A58"/>
    <w:rsid w:val="00F07DF1"/>
    <w:rsid w:val="00F10101"/>
    <w:rsid w:val="00F10175"/>
    <w:rsid w:val="00F101CC"/>
    <w:rsid w:val="00F1021B"/>
    <w:rsid w:val="00F1021C"/>
    <w:rsid w:val="00F10288"/>
    <w:rsid w:val="00F1037F"/>
    <w:rsid w:val="00F104C1"/>
    <w:rsid w:val="00F10665"/>
    <w:rsid w:val="00F10941"/>
    <w:rsid w:val="00F109C6"/>
    <w:rsid w:val="00F10B36"/>
    <w:rsid w:val="00F10C60"/>
    <w:rsid w:val="00F10CD6"/>
    <w:rsid w:val="00F10F63"/>
    <w:rsid w:val="00F1126D"/>
    <w:rsid w:val="00F114C9"/>
    <w:rsid w:val="00F11B09"/>
    <w:rsid w:val="00F11F6B"/>
    <w:rsid w:val="00F11F82"/>
    <w:rsid w:val="00F120A8"/>
    <w:rsid w:val="00F12294"/>
    <w:rsid w:val="00F12366"/>
    <w:rsid w:val="00F12488"/>
    <w:rsid w:val="00F124AA"/>
    <w:rsid w:val="00F12BA9"/>
    <w:rsid w:val="00F12CDC"/>
    <w:rsid w:val="00F12F21"/>
    <w:rsid w:val="00F12FD7"/>
    <w:rsid w:val="00F13059"/>
    <w:rsid w:val="00F1317B"/>
    <w:rsid w:val="00F1327D"/>
    <w:rsid w:val="00F13671"/>
    <w:rsid w:val="00F13C4C"/>
    <w:rsid w:val="00F13D93"/>
    <w:rsid w:val="00F13FBD"/>
    <w:rsid w:val="00F1420C"/>
    <w:rsid w:val="00F144BF"/>
    <w:rsid w:val="00F1498E"/>
    <w:rsid w:val="00F1499F"/>
    <w:rsid w:val="00F149BA"/>
    <w:rsid w:val="00F14CD9"/>
    <w:rsid w:val="00F14D8A"/>
    <w:rsid w:val="00F14DF8"/>
    <w:rsid w:val="00F15302"/>
    <w:rsid w:val="00F154BC"/>
    <w:rsid w:val="00F154DF"/>
    <w:rsid w:val="00F15586"/>
    <w:rsid w:val="00F159FC"/>
    <w:rsid w:val="00F15DB0"/>
    <w:rsid w:val="00F15FC2"/>
    <w:rsid w:val="00F16010"/>
    <w:rsid w:val="00F1646C"/>
    <w:rsid w:val="00F164CB"/>
    <w:rsid w:val="00F16659"/>
    <w:rsid w:val="00F168D0"/>
    <w:rsid w:val="00F16D67"/>
    <w:rsid w:val="00F16ECA"/>
    <w:rsid w:val="00F16F02"/>
    <w:rsid w:val="00F17190"/>
    <w:rsid w:val="00F174F3"/>
    <w:rsid w:val="00F17D93"/>
    <w:rsid w:val="00F17EB5"/>
    <w:rsid w:val="00F17EFF"/>
    <w:rsid w:val="00F20051"/>
    <w:rsid w:val="00F20348"/>
    <w:rsid w:val="00F204DA"/>
    <w:rsid w:val="00F2062C"/>
    <w:rsid w:val="00F207DC"/>
    <w:rsid w:val="00F2083E"/>
    <w:rsid w:val="00F20A44"/>
    <w:rsid w:val="00F20E60"/>
    <w:rsid w:val="00F20E6E"/>
    <w:rsid w:val="00F20E94"/>
    <w:rsid w:val="00F211B1"/>
    <w:rsid w:val="00F214B8"/>
    <w:rsid w:val="00F21689"/>
    <w:rsid w:val="00F21912"/>
    <w:rsid w:val="00F2196E"/>
    <w:rsid w:val="00F21A20"/>
    <w:rsid w:val="00F21B73"/>
    <w:rsid w:val="00F21B89"/>
    <w:rsid w:val="00F21C26"/>
    <w:rsid w:val="00F21D9B"/>
    <w:rsid w:val="00F22272"/>
    <w:rsid w:val="00F22365"/>
    <w:rsid w:val="00F2275C"/>
    <w:rsid w:val="00F227B8"/>
    <w:rsid w:val="00F22846"/>
    <w:rsid w:val="00F2299E"/>
    <w:rsid w:val="00F229C8"/>
    <w:rsid w:val="00F229D9"/>
    <w:rsid w:val="00F22D8C"/>
    <w:rsid w:val="00F22DC6"/>
    <w:rsid w:val="00F2348A"/>
    <w:rsid w:val="00F236C4"/>
    <w:rsid w:val="00F23892"/>
    <w:rsid w:val="00F238B1"/>
    <w:rsid w:val="00F23969"/>
    <w:rsid w:val="00F23E56"/>
    <w:rsid w:val="00F23F6B"/>
    <w:rsid w:val="00F241D2"/>
    <w:rsid w:val="00F24A78"/>
    <w:rsid w:val="00F24B03"/>
    <w:rsid w:val="00F250C0"/>
    <w:rsid w:val="00F259A8"/>
    <w:rsid w:val="00F25A3E"/>
    <w:rsid w:val="00F25A9B"/>
    <w:rsid w:val="00F25AB7"/>
    <w:rsid w:val="00F25ADA"/>
    <w:rsid w:val="00F25C4C"/>
    <w:rsid w:val="00F25DA0"/>
    <w:rsid w:val="00F26078"/>
    <w:rsid w:val="00F263E8"/>
    <w:rsid w:val="00F266CD"/>
    <w:rsid w:val="00F2696F"/>
    <w:rsid w:val="00F26992"/>
    <w:rsid w:val="00F26A33"/>
    <w:rsid w:val="00F26C1D"/>
    <w:rsid w:val="00F26D5B"/>
    <w:rsid w:val="00F26F7B"/>
    <w:rsid w:val="00F26FC0"/>
    <w:rsid w:val="00F275FB"/>
    <w:rsid w:val="00F276A0"/>
    <w:rsid w:val="00F2793C"/>
    <w:rsid w:val="00F27C03"/>
    <w:rsid w:val="00F30201"/>
    <w:rsid w:val="00F30282"/>
    <w:rsid w:val="00F302DB"/>
    <w:rsid w:val="00F3059C"/>
    <w:rsid w:val="00F3062D"/>
    <w:rsid w:val="00F3083A"/>
    <w:rsid w:val="00F30A24"/>
    <w:rsid w:val="00F30A7D"/>
    <w:rsid w:val="00F30A91"/>
    <w:rsid w:val="00F30B0C"/>
    <w:rsid w:val="00F30CE5"/>
    <w:rsid w:val="00F30D0A"/>
    <w:rsid w:val="00F30F8B"/>
    <w:rsid w:val="00F311E8"/>
    <w:rsid w:val="00F31427"/>
    <w:rsid w:val="00F31525"/>
    <w:rsid w:val="00F3162D"/>
    <w:rsid w:val="00F316C4"/>
    <w:rsid w:val="00F31791"/>
    <w:rsid w:val="00F317D7"/>
    <w:rsid w:val="00F3186F"/>
    <w:rsid w:val="00F31A2C"/>
    <w:rsid w:val="00F31AD3"/>
    <w:rsid w:val="00F31B43"/>
    <w:rsid w:val="00F31BAB"/>
    <w:rsid w:val="00F31CE8"/>
    <w:rsid w:val="00F31EBB"/>
    <w:rsid w:val="00F31F66"/>
    <w:rsid w:val="00F32079"/>
    <w:rsid w:val="00F320F3"/>
    <w:rsid w:val="00F3253A"/>
    <w:rsid w:val="00F32753"/>
    <w:rsid w:val="00F327C7"/>
    <w:rsid w:val="00F32B8C"/>
    <w:rsid w:val="00F32C01"/>
    <w:rsid w:val="00F32D05"/>
    <w:rsid w:val="00F331DC"/>
    <w:rsid w:val="00F33410"/>
    <w:rsid w:val="00F33442"/>
    <w:rsid w:val="00F335E9"/>
    <w:rsid w:val="00F33B02"/>
    <w:rsid w:val="00F33B8D"/>
    <w:rsid w:val="00F33E2E"/>
    <w:rsid w:val="00F33F2A"/>
    <w:rsid w:val="00F34001"/>
    <w:rsid w:val="00F340EA"/>
    <w:rsid w:val="00F347CA"/>
    <w:rsid w:val="00F34A04"/>
    <w:rsid w:val="00F34A5A"/>
    <w:rsid w:val="00F34C0D"/>
    <w:rsid w:val="00F34F45"/>
    <w:rsid w:val="00F34FF7"/>
    <w:rsid w:val="00F350CF"/>
    <w:rsid w:val="00F350D9"/>
    <w:rsid w:val="00F35188"/>
    <w:rsid w:val="00F352E8"/>
    <w:rsid w:val="00F353EC"/>
    <w:rsid w:val="00F354EF"/>
    <w:rsid w:val="00F355A9"/>
    <w:rsid w:val="00F356C0"/>
    <w:rsid w:val="00F3580E"/>
    <w:rsid w:val="00F3584C"/>
    <w:rsid w:val="00F35A19"/>
    <w:rsid w:val="00F35B79"/>
    <w:rsid w:val="00F35D15"/>
    <w:rsid w:val="00F3617E"/>
    <w:rsid w:val="00F363A9"/>
    <w:rsid w:val="00F364C9"/>
    <w:rsid w:val="00F364D1"/>
    <w:rsid w:val="00F365A3"/>
    <w:rsid w:val="00F36A6F"/>
    <w:rsid w:val="00F36D50"/>
    <w:rsid w:val="00F36EC4"/>
    <w:rsid w:val="00F370BA"/>
    <w:rsid w:val="00F3722F"/>
    <w:rsid w:val="00F37411"/>
    <w:rsid w:val="00F374CB"/>
    <w:rsid w:val="00F37745"/>
    <w:rsid w:val="00F37943"/>
    <w:rsid w:val="00F37A33"/>
    <w:rsid w:val="00F37D21"/>
    <w:rsid w:val="00F40302"/>
    <w:rsid w:val="00F40379"/>
    <w:rsid w:val="00F4061A"/>
    <w:rsid w:val="00F40687"/>
    <w:rsid w:val="00F40791"/>
    <w:rsid w:val="00F40898"/>
    <w:rsid w:val="00F40AC6"/>
    <w:rsid w:val="00F40E24"/>
    <w:rsid w:val="00F40EAD"/>
    <w:rsid w:val="00F41159"/>
    <w:rsid w:val="00F41381"/>
    <w:rsid w:val="00F414DA"/>
    <w:rsid w:val="00F41663"/>
    <w:rsid w:val="00F41B64"/>
    <w:rsid w:val="00F41BE0"/>
    <w:rsid w:val="00F41C86"/>
    <w:rsid w:val="00F41DB2"/>
    <w:rsid w:val="00F41E2D"/>
    <w:rsid w:val="00F41FEF"/>
    <w:rsid w:val="00F42074"/>
    <w:rsid w:val="00F420B0"/>
    <w:rsid w:val="00F42234"/>
    <w:rsid w:val="00F422CA"/>
    <w:rsid w:val="00F423F1"/>
    <w:rsid w:val="00F425DD"/>
    <w:rsid w:val="00F42601"/>
    <w:rsid w:val="00F42628"/>
    <w:rsid w:val="00F42727"/>
    <w:rsid w:val="00F4274C"/>
    <w:rsid w:val="00F42841"/>
    <w:rsid w:val="00F428CB"/>
    <w:rsid w:val="00F4290D"/>
    <w:rsid w:val="00F42BBA"/>
    <w:rsid w:val="00F42CCB"/>
    <w:rsid w:val="00F436A4"/>
    <w:rsid w:val="00F43705"/>
    <w:rsid w:val="00F4372B"/>
    <w:rsid w:val="00F43A15"/>
    <w:rsid w:val="00F43AD0"/>
    <w:rsid w:val="00F43EA3"/>
    <w:rsid w:val="00F44040"/>
    <w:rsid w:val="00F440E0"/>
    <w:rsid w:val="00F44478"/>
    <w:rsid w:val="00F446C5"/>
    <w:rsid w:val="00F44762"/>
    <w:rsid w:val="00F44859"/>
    <w:rsid w:val="00F44F2F"/>
    <w:rsid w:val="00F44F4F"/>
    <w:rsid w:val="00F4519C"/>
    <w:rsid w:val="00F4530A"/>
    <w:rsid w:val="00F454AD"/>
    <w:rsid w:val="00F4588D"/>
    <w:rsid w:val="00F45A93"/>
    <w:rsid w:val="00F45F6F"/>
    <w:rsid w:val="00F4636D"/>
    <w:rsid w:val="00F46670"/>
    <w:rsid w:val="00F469CE"/>
    <w:rsid w:val="00F46A56"/>
    <w:rsid w:val="00F46D97"/>
    <w:rsid w:val="00F46E1D"/>
    <w:rsid w:val="00F46E46"/>
    <w:rsid w:val="00F46F40"/>
    <w:rsid w:val="00F47220"/>
    <w:rsid w:val="00F476B5"/>
    <w:rsid w:val="00F47797"/>
    <w:rsid w:val="00F479E4"/>
    <w:rsid w:val="00F47C22"/>
    <w:rsid w:val="00F47DC2"/>
    <w:rsid w:val="00F47FB5"/>
    <w:rsid w:val="00F50055"/>
    <w:rsid w:val="00F50482"/>
    <w:rsid w:val="00F504B8"/>
    <w:rsid w:val="00F50582"/>
    <w:rsid w:val="00F50637"/>
    <w:rsid w:val="00F50CF4"/>
    <w:rsid w:val="00F5150C"/>
    <w:rsid w:val="00F51590"/>
    <w:rsid w:val="00F519A1"/>
    <w:rsid w:val="00F51D84"/>
    <w:rsid w:val="00F51EE1"/>
    <w:rsid w:val="00F51F15"/>
    <w:rsid w:val="00F51FCF"/>
    <w:rsid w:val="00F521AF"/>
    <w:rsid w:val="00F52600"/>
    <w:rsid w:val="00F5284D"/>
    <w:rsid w:val="00F52A18"/>
    <w:rsid w:val="00F52A1C"/>
    <w:rsid w:val="00F52AB1"/>
    <w:rsid w:val="00F52D26"/>
    <w:rsid w:val="00F52E8C"/>
    <w:rsid w:val="00F52F1B"/>
    <w:rsid w:val="00F52F96"/>
    <w:rsid w:val="00F53165"/>
    <w:rsid w:val="00F53637"/>
    <w:rsid w:val="00F539DB"/>
    <w:rsid w:val="00F53AB3"/>
    <w:rsid w:val="00F53BF4"/>
    <w:rsid w:val="00F53C1E"/>
    <w:rsid w:val="00F541E7"/>
    <w:rsid w:val="00F54555"/>
    <w:rsid w:val="00F54577"/>
    <w:rsid w:val="00F54868"/>
    <w:rsid w:val="00F5488D"/>
    <w:rsid w:val="00F54A62"/>
    <w:rsid w:val="00F54BD2"/>
    <w:rsid w:val="00F54CBA"/>
    <w:rsid w:val="00F54D21"/>
    <w:rsid w:val="00F54D25"/>
    <w:rsid w:val="00F54D29"/>
    <w:rsid w:val="00F553DD"/>
    <w:rsid w:val="00F558C1"/>
    <w:rsid w:val="00F55C92"/>
    <w:rsid w:val="00F55F0D"/>
    <w:rsid w:val="00F5619B"/>
    <w:rsid w:val="00F561F4"/>
    <w:rsid w:val="00F56373"/>
    <w:rsid w:val="00F56499"/>
    <w:rsid w:val="00F56D87"/>
    <w:rsid w:val="00F56F3D"/>
    <w:rsid w:val="00F5706D"/>
    <w:rsid w:val="00F570AF"/>
    <w:rsid w:val="00F57235"/>
    <w:rsid w:val="00F5727B"/>
    <w:rsid w:val="00F57307"/>
    <w:rsid w:val="00F57442"/>
    <w:rsid w:val="00F574AC"/>
    <w:rsid w:val="00F574EC"/>
    <w:rsid w:val="00F575D0"/>
    <w:rsid w:val="00F576E9"/>
    <w:rsid w:val="00F60161"/>
    <w:rsid w:val="00F6027D"/>
    <w:rsid w:val="00F604C6"/>
    <w:rsid w:val="00F60640"/>
    <w:rsid w:val="00F60692"/>
    <w:rsid w:val="00F60BB5"/>
    <w:rsid w:val="00F60D5D"/>
    <w:rsid w:val="00F60DAC"/>
    <w:rsid w:val="00F60E31"/>
    <w:rsid w:val="00F611F9"/>
    <w:rsid w:val="00F61261"/>
    <w:rsid w:val="00F612B6"/>
    <w:rsid w:val="00F618CB"/>
    <w:rsid w:val="00F61934"/>
    <w:rsid w:val="00F61D92"/>
    <w:rsid w:val="00F61DCF"/>
    <w:rsid w:val="00F61F0A"/>
    <w:rsid w:val="00F61F41"/>
    <w:rsid w:val="00F61F68"/>
    <w:rsid w:val="00F61FA1"/>
    <w:rsid w:val="00F6205C"/>
    <w:rsid w:val="00F620BB"/>
    <w:rsid w:val="00F6219F"/>
    <w:rsid w:val="00F62204"/>
    <w:rsid w:val="00F62207"/>
    <w:rsid w:val="00F622C1"/>
    <w:rsid w:val="00F62606"/>
    <w:rsid w:val="00F629CC"/>
    <w:rsid w:val="00F62A85"/>
    <w:rsid w:val="00F62B1F"/>
    <w:rsid w:val="00F631F6"/>
    <w:rsid w:val="00F632BB"/>
    <w:rsid w:val="00F6351A"/>
    <w:rsid w:val="00F638DC"/>
    <w:rsid w:val="00F639F4"/>
    <w:rsid w:val="00F63A74"/>
    <w:rsid w:val="00F63CCC"/>
    <w:rsid w:val="00F63D3F"/>
    <w:rsid w:val="00F63D6B"/>
    <w:rsid w:val="00F63E6B"/>
    <w:rsid w:val="00F64133"/>
    <w:rsid w:val="00F64153"/>
    <w:rsid w:val="00F641D0"/>
    <w:rsid w:val="00F6486B"/>
    <w:rsid w:val="00F64874"/>
    <w:rsid w:val="00F64EAF"/>
    <w:rsid w:val="00F64F90"/>
    <w:rsid w:val="00F65260"/>
    <w:rsid w:val="00F65FFC"/>
    <w:rsid w:val="00F661F8"/>
    <w:rsid w:val="00F662E3"/>
    <w:rsid w:val="00F66373"/>
    <w:rsid w:val="00F666C9"/>
    <w:rsid w:val="00F668B0"/>
    <w:rsid w:val="00F66A0D"/>
    <w:rsid w:val="00F66DCC"/>
    <w:rsid w:val="00F6700D"/>
    <w:rsid w:val="00F67023"/>
    <w:rsid w:val="00F67086"/>
    <w:rsid w:val="00F670C0"/>
    <w:rsid w:val="00F6710F"/>
    <w:rsid w:val="00F673FD"/>
    <w:rsid w:val="00F674EE"/>
    <w:rsid w:val="00F67BAB"/>
    <w:rsid w:val="00F7002C"/>
    <w:rsid w:val="00F70638"/>
    <w:rsid w:val="00F706EF"/>
    <w:rsid w:val="00F708AB"/>
    <w:rsid w:val="00F70E6E"/>
    <w:rsid w:val="00F70EF7"/>
    <w:rsid w:val="00F70F5B"/>
    <w:rsid w:val="00F70FBE"/>
    <w:rsid w:val="00F7130D"/>
    <w:rsid w:val="00F7148A"/>
    <w:rsid w:val="00F7183B"/>
    <w:rsid w:val="00F71B34"/>
    <w:rsid w:val="00F71F59"/>
    <w:rsid w:val="00F720D7"/>
    <w:rsid w:val="00F723FA"/>
    <w:rsid w:val="00F72459"/>
    <w:rsid w:val="00F724CB"/>
    <w:rsid w:val="00F7254F"/>
    <w:rsid w:val="00F725B7"/>
    <w:rsid w:val="00F72890"/>
    <w:rsid w:val="00F730BE"/>
    <w:rsid w:val="00F7338F"/>
    <w:rsid w:val="00F733AC"/>
    <w:rsid w:val="00F7343A"/>
    <w:rsid w:val="00F73660"/>
    <w:rsid w:val="00F73F7D"/>
    <w:rsid w:val="00F73FBA"/>
    <w:rsid w:val="00F740FF"/>
    <w:rsid w:val="00F742DB"/>
    <w:rsid w:val="00F74419"/>
    <w:rsid w:val="00F74595"/>
    <w:rsid w:val="00F747E9"/>
    <w:rsid w:val="00F7481F"/>
    <w:rsid w:val="00F74980"/>
    <w:rsid w:val="00F74C63"/>
    <w:rsid w:val="00F74F88"/>
    <w:rsid w:val="00F7501E"/>
    <w:rsid w:val="00F750FD"/>
    <w:rsid w:val="00F75128"/>
    <w:rsid w:val="00F75523"/>
    <w:rsid w:val="00F7578B"/>
    <w:rsid w:val="00F75A63"/>
    <w:rsid w:val="00F75AE5"/>
    <w:rsid w:val="00F75BB5"/>
    <w:rsid w:val="00F75C8A"/>
    <w:rsid w:val="00F75D08"/>
    <w:rsid w:val="00F76379"/>
    <w:rsid w:val="00F764EF"/>
    <w:rsid w:val="00F765C4"/>
    <w:rsid w:val="00F7669C"/>
    <w:rsid w:val="00F766AA"/>
    <w:rsid w:val="00F767BF"/>
    <w:rsid w:val="00F769AE"/>
    <w:rsid w:val="00F76ADF"/>
    <w:rsid w:val="00F76D17"/>
    <w:rsid w:val="00F76FB3"/>
    <w:rsid w:val="00F770F9"/>
    <w:rsid w:val="00F7729D"/>
    <w:rsid w:val="00F77653"/>
    <w:rsid w:val="00F776F5"/>
    <w:rsid w:val="00F7777D"/>
    <w:rsid w:val="00F77836"/>
    <w:rsid w:val="00F77D1E"/>
    <w:rsid w:val="00F77F05"/>
    <w:rsid w:val="00F77F6B"/>
    <w:rsid w:val="00F802F7"/>
    <w:rsid w:val="00F8033E"/>
    <w:rsid w:val="00F80597"/>
    <w:rsid w:val="00F806DF"/>
    <w:rsid w:val="00F80732"/>
    <w:rsid w:val="00F80766"/>
    <w:rsid w:val="00F807C7"/>
    <w:rsid w:val="00F80A9F"/>
    <w:rsid w:val="00F80B06"/>
    <w:rsid w:val="00F80C37"/>
    <w:rsid w:val="00F80DC3"/>
    <w:rsid w:val="00F81169"/>
    <w:rsid w:val="00F81555"/>
    <w:rsid w:val="00F815EB"/>
    <w:rsid w:val="00F81836"/>
    <w:rsid w:val="00F81896"/>
    <w:rsid w:val="00F81982"/>
    <w:rsid w:val="00F81C32"/>
    <w:rsid w:val="00F81F7F"/>
    <w:rsid w:val="00F820FF"/>
    <w:rsid w:val="00F82162"/>
    <w:rsid w:val="00F824CB"/>
    <w:rsid w:val="00F825F8"/>
    <w:rsid w:val="00F8285F"/>
    <w:rsid w:val="00F82928"/>
    <w:rsid w:val="00F829DD"/>
    <w:rsid w:val="00F82A0A"/>
    <w:rsid w:val="00F82B8E"/>
    <w:rsid w:val="00F82DB1"/>
    <w:rsid w:val="00F82F2D"/>
    <w:rsid w:val="00F832F3"/>
    <w:rsid w:val="00F83356"/>
    <w:rsid w:val="00F8337C"/>
    <w:rsid w:val="00F833AB"/>
    <w:rsid w:val="00F83480"/>
    <w:rsid w:val="00F8353D"/>
    <w:rsid w:val="00F83629"/>
    <w:rsid w:val="00F8377B"/>
    <w:rsid w:val="00F83A72"/>
    <w:rsid w:val="00F83AAB"/>
    <w:rsid w:val="00F83F5E"/>
    <w:rsid w:val="00F847BC"/>
    <w:rsid w:val="00F84829"/>
    <w:rsid w:val="00F8483B"/>
    <w:rsid w:val="00F8493B"/>
    <w:rsid w:val="00F84C25"/>
    <w:rsid w:val="00F850E0"/>
    <w:rsid w:val="00F850F4"/>
    <w:rsid w:val="00F85680"/>
    <w:rsid w:val="00F8593A"/>
    <w:rsid w:val="00F85A49"/>
    <w:rsid w:val="00F85DA9"/>
    <w:rsid w:val="00F85E1B"/>
    <w:rsid w:val="00F85FDD"/>
    <w:rsid w:val="00F860C4"/>
    <w:rsid w:val="00F86470"/>
    <w:rsid w:val="00F866D3"/>
    <w:rsid w:val="00F867B0"/>
    <w:rsid w:val="00F86BAB"/>
    <w:rsid w:val="00F86C84"/>
    <w:rsid w:val="00F86CED"/>
    <w:rsid w:val="00F86D7C"/>
    <w:rsid w:val="00F86E50"/>
    <w:rsid w:val="00F86E73"/>
    <w:rsid w:val="00F87041"/>
    <w:rsid w:val="00F87098"/>
    <w:rsid w:val="00F871B8"/>
    <w:rsid w:val="00F8721E"/>
    <w:rsid w:val="00F873D1"/>
    <w:rsid w:val="00F873F1"/>
    <w:rsid w:val="00F874B8"/>
    <w:rsid w:val="00F874D9"/>
    <w:rsid w:val="00F87595"/>
    <w:rsid w:val="00F87704"/>
    <w:rsid w:val="00F87801"/>
    <w:rsid w:val="00F87A61"/>
    <w:rsid w:val="00F87ACC"/>
    <w:rsid w:val="00F87B0C"/>
    <w:rsid w:val="00F87B0F"/>
    <w:rsid w:val="00F87B43"/>
    <w:rsid w:val="00F87FDD"/>
    <w:rsid w:val="00F90021"/>
    <w:rsid w:val="00F90072"/>
    <w:rsid w:val="00F90448"/>
    <w:rsid w:val="00F90627"/>
    <w:rsid w:val="00F907AF"/>
    <w:rsid w:val="00F90920"/>
    <w:rsid w:val="00F90A6D"/>
    <w:rsid w:val="00F90B79"/>
    <w:rsid w:val="00F90BD6"/>
    <w:rsid w:val="00F90F6B"/>
    <w:rsid w:val="00F90F86"/>
    <w:rsid w:val="00F90FA9"/>
    <w:rsid w:val="00F90FED"/>
    <w:rsid w:val="00F91038"/>
    <w:rsid w:val="00F91152"/>
    <w:rsid w:val="00F91420"/>
    <w:rsid w:val="00F91538"/>
    <w:rsid w:val="00F9155E"/>
    <w:rsid w:val="00F91731"/>
    <w:rsid w:val="00F918BC"/>
    <w:rsid w:val="00F91A03"/>
    <w:rsid w:val="00F9209C"/>
    <w:rsid w:val="00F92341"/>
    <w:rsid w:val="00F92725"/>
    <w:rsid w:val="00F9273E"/>
    <w:rsid w:val="00F92A04"/>
    <w:rsid w:val="00F92BA5"/>
    <w:rsid w:val="00F92BC1"/>
    <w:rsid w:val="00F92C2B"/>
    <w:rsid w:val="00F92DD6"/>
    <w:rsid w:val="00F92FEC"/>
    <w:rsid w:val="00F92FFA"/>
    <w:rsid w:val="00F93044"/>
    <w:rsid w:val="00F930D3"/>
    <w:rsid w:val="00F932A8"/>
    <w:rsid w:val="00F93399"/>
    <w:rsid w:val="00F9346F"/>
    <w:rsid w:val="00F93997"/>
    <w:rsid w:val="00F93B50"/>
    <w:rsid w:val="00F93C7A"/>
    <w:rsid w:val="00F93D64"/>
    <w:rsid w:val="00F93DC3"/>
    <w:rsid w:val="00F93F60"/>
    <w:rsid w:val="00F93FF6"/>
    <w:rsid w:val="00F942AE"/>
    <w:rsid w:val="00F942FA"/>
    <w:rsid w:val="00F94490"/>
    <w:rsid w:val="00F944CD"/>
    <w:rsid w:val="00F946B2"/>
    <w:rsid w:val="00F94756"/>
    <w:rsid w:val="00F948C0"/>
    <w:rsid w:val="00F94A0C"/>
    <w:rsid w:val="00F94A89"/>
    <w:rsid w:val="00F94B4B"/>
    <w:rsid w:val="00F94BEC"/>
    <w:rsid w:val="00F94E9B"/>
    <w:rsid w:val="00F94FF4"/>
    <w:rsid w:val="00F951A5"/>
    <w:rsid w:val="00F95377"/>
    <w:rsid w:val="00F95416"/>
    <w:rsid w:val="00F9548E"/>
    <w:rsid w:val="00F95595"/>
    <w:rsid w:val="00F956C6"/>
    <w:rsid w:val="00F95A60"/>
    <w:rsid w:val="00F95FAA"/>
    <w:rsid w:val="00F9616A"/>
    <w:rsid w:val="00F96308"/>
    <w:rsid w:val="00F967B1"/>
    <w:rsid w:val="00F968CD"/>
    <w:rsid w:val="00F96927"/>
    <w:rsid w:val="00F96B46"/>
    <w:rsid w:val="00F96FCF"/>
    <w:rsid w:val="00F9709A"/>
    <w:rsid w:val="00F97160"/>
    <w:rsid w:val="00F97293"/>
    <w:rsid w:val="00F975CA"/>
    <w:rsid w:val="00F97A10"/>
    <w:rsid w:val="00F97A3A"/>
    <w:rsid w:val="00F97A47"/>
    <w:rsid w:val="00F97B0A"/>
    <w:rsid w:val="00F97C8F"/>
    <w:rsid w:val="00F97DFB"/>
    <w:rsid w:val="00FA0200"/>
    <w:rsid w:val="00FA021C"/>
    <w:rsid w:val="00FA0830"/>
    <w:rsid w:val="00FA087F"/>
    <w:rsid w:val="00FA12F3"/>
    <w:rsid w:val="00FA13F2"/>
    <w:rsid w:val="00FA140B"/>
    <w:rsid w:val="00FA163C"/>
    <w:rsid w:val="00FA1743"/>
    <w:rsid w:val="00FA175F"/>
    <w:rsid w:val="00FA17A6"/>
    <w:rsid w:val="00FA17D3"/>
    <w:rsid w:val="00FA19D2"/>
    <w:rsid w:val="00FA1BD5"/>
    <w:rsid w:val="00FA2084"/>
    <w:rsid w:val="00FA2204"/>
    <w:rsid w:val="00FA2227"/>
    <w:rsid w:val="00FA22AB"/>
    <w:rsid w:val="00FA24A3"/>
    <w:rsid w:val="00FA24D3"/>
    <w:rsid w:val="00FA24F3"/>
    <w:rsid w:val="00FA2569"/>
    <w:rsid w:val="00FA29C4"/>
    <w:rsid w:val="00FA2A98"/>
    <w:rsid w:val="00FA2D01"/>
    <w:rsid w:val="00FA2E0C"/>
    <w:rsid w:val="00FA2E18"/>
    <w:rsid w:val="00FA2E47"/>
    <w:rsid w:val="00FA2E6D"/>
    <w:rsid w:val="00FA303F"/>
    <w:rsid w:val="00FA3173"/>
    <w:rsid w:val="00FA37D3"/>
    <w:rsid w:val="00FA3C8C"/>
    <w:rsid w:val="00FA3ED8"/>
    <w:rsid w:val="00FA3EF0"/>
    <w:rsid w:val="00FA3F78"/>
    <w:rsid w:val="00FA418B"/>
    <w:rsid w:val="00FA4269"/>
    <w:rsid w:val="00FA47A7"/>
    <w:rsid w:val="00FA47AF"/>
    <w:rsid w:val="00FA499E"/>
    <w:rsid w:val="00FA4BB8"/>
    <w:rsid w:val="00FA4BC9"/>
    <w:rsid w:val="00FA4DDE"/>
    <w:rsid w:val="00FA508E"/>
    <w:rsid w:val="00FA524C"/>
    <w:rsid w:val="00FA53CB"/>
    <w:rsid w:val="00FA54C4"/>
    <w:rsid w:val="00FA56A2"/>
    <w:rsid w:val="00FA5B87"/>
    <w:rsid w:val="00FA5BE5"/>
    <w:rsid w:val="00FA5C20"/>
    <w:rsid w:val="00FA5D74"/>
    <w:rsid w:val="00FA5DD6"/>
    <w:rsid w:val="00FA5FA3"/>
    <w:rsid w:val="00FA5FD0"/>
    <w:rsid w:val="00FA6216"/>
    <w:rsid w:val="00FA636C"/>
    <w:rsid w:val="00FA6A09"/>
    <w:rsid w:val="00FA6A1D"/>
    <w:rsid w:val="00FA6CD0"/>
    <w:rsid w:val="00FA6F68"/>
    <w:rsid w:val="00FA7004"/>
    <w:rsid w:val="00FA73B2"/>
    <w:rsid w:val="00FA75BF"/>
    <w:rsid w:val="00FA7681"/>
    <w:rsid w:val="00FA7752"/>
    <w:rsid w:val="00FA791B"/>
    <w:rsid w:val="00FA7ADF"/>
    <w:rsid w:val="00FA7CE7"/>
    <w:rsid w:val="00FA7E3B"/>
    <w:rsid w:val="00FA7F77"/>
    <w:rsid w:val="00FB0146"/>
    <w:rsid w:val="00FB048C"/>
    <w:rsid w:val="00FB0B80"/>
    <w:rsid w:val="00FB0B96"/>
    <w:rsid w:val="00FB0CBD"/>
    <w:rsid w:val="00FB0F41"/>
    <w:rsid w:val="00FB113D"/>
    <w:rsid w:val="00FB11D4"/>
    <w:rsid w:val="00FB120F"/>
    <w:rsid w:val="00FB1317"/>
    <w:rsid w:val="00FB169E"/>
    <w:rsid w:val="00FB1C67"/>
    <w:rsid w:val="00FB1D9B"/>
    <w:rsid w:val="00FB1F71"/>
    <w:rsid w:val="00FB2382"/>
    <w:rsid w:val="00FB2706"/>
    <w:rsid w:val="00FB270D"/>
    <w:rsid w:val="00FB2818"/>
    <w:rsid w:val="00FB2A93"/>
    <w:rsid w:val="00FB2B42"/>
    <w:rsid w:val="00FB2CE1"/>
    <w:rsid w:val="00FB2D2A"/>
    <w:rsid w:val="00FB2FC8"/>
    <w:rsid w:val="00FB3230"/>
    <w:rsid w:val="00FB3787"/>
    <w:rsid w:val="00FB380D"/>
    <w:rsid w:val="00FB38EE"/>
    <w:rsid w:val="00FB3A0E"/>
    <w:rsid w:val="00FB3D36"/>
    <w:rsid w:val="00FB3DA3"/>
    <w:rsid w:val="00FB3E76"/>
    <w:rsid w:val="00FB3F03"/>
    <w:rsid w:val="00FB3F50"/>
    <w:rsid w:val="00FB3FB2"/>
    <w:rsid w:val="00FB4451"/>
    <w:rsid w:val="00FB4570"/>
    <w:rsid w:val="00FB46CF"/>
    <w:rsid w:val="00FB4EF7"/>
    <w:rsid w:val="00FB4FFC"/>
    <w:rsid w:val="00FB524B"/>
    <w:rsid w:val="00FB5427"/>
    <w:rsid w:val="00FB54AA"/>
    <w:rsid w:val="00FB57E6"/>
    <w:rsid w:val="00FB5A90"/>
    <w:rsid w:val="00FB5FA4"/>
    <w:rsid w:val="00FB603C"/>
    <w:rsid w:val="00FB625B"/>
    <w:rsid w:val="00FB6467"/>
    <w:rsid w:val="00FB6639"/>
    <w:rsid w:val="00FB672D"/>
    <w:rsid w:val="00FB6746"/>
    <w:rsid w:val="00FB6905"/>
    <w:rsid w:val="00FB6D97"/>
    <w:rsid w:val="00FB7170"/>
    <w:rsid w:val="00FB71B2"/>
    <w:rsid w:val="00FB753D"/>
    <w:rsid w:val="00FB799D"/>
    <w:rsid w:val="00FB7A78"/>
    <w:rsid w:val="00FB7BB9"/>
    <w:rsid w:val="00FB7EBB"/>
    <w:rsid w:val="00FC01DD"/>
    <w:rsid w:val="00FC0988"/>
    <w:rsid w:val="00FC0A3C"/>
    <w:rsid w:val="00FC0C20"/>
    <w:rsid w:val="00FC0CEA"/>
    <w:rsid w:val="00FC1277"/>
    <w:rsid w:val="00FC12DB"/>
    <w:rsid w:val="00FC1808"/>
    <w:rsid w:val="00FC184A"/>
    <w:rsid w:val="00FC18D6"/>
    <w:rsid w:val="00FC1A62"/>
    <w:rsid w:val="00FC1D6C"/>
    <w:rsid w:val="00FC2033"/>
    <w:rsid w:val="00FC205C"/>
    <w:rsid w:val="00FC27F8"/>
    <w:rsid w:val="00FC2848"/>
    <w:rsid w:val="00FC29D3"/>
    <w:rsid w:val="00FC2B13"/>
    <w:rsid w:val="00FC2B27"/>
    <w:rsid w:val="00FC2DF3"/>
    <w:rsid w:val="00FC305B"/>
    <w:rsid w:val="00FC31BB"/>
    <w:rsid w:val="00FC3252"/>
    <w:rsid w:val="00FC330B"/>
    <w:rsid w:val="00FC334F"/>
    <w:rsid w:val="00FC37E5"/>
    <w:rsid w:val="00FC38FA"/>
    <w:rsid w:val="00FC39C3"/>
    <w:rsid w:val="00FC3B4D"/>
    <w:rsid w:val="00FC3BE0"/>
    <w:rsid w:val="00FC3E0C"/>
    <w:rsid w:val="00FC3E9B"/>
    <w:rsid w:val="00FC41D3"/>
    <w:rsid w:val="00FC43D9"/>
    <w:rsid w:val="00FC448D"/>
    <w:rsid w:val="00FC4EEC"/>
    <w:rsid w:val="00FC4FD4"/>
    <w:rsid w:val="00FC50D8"/>
    <w:rsid w:val="00FC50E2"/>
    <w:rsid w:val="00FC51EE"/>
    <w:rsid w:val="00FC5345"/>
    <w:rsid w:val="00FC55F7"/>
    <w:rsid w:val="00FC59F2"/>
    <w:rsid w:val="00FC5A3A"/>
    <w:rsid w:val="00FC5BA9"/>
    <w:rsid w:val="00FC5C16"/>
    <w:rsid w:val="00FC5D52"/>
    <w:rsid w:val="00FC5DEA"/>
    <w:rsid w:val="00FC61E4"/>
    <w:rsid w:val="00FC632F"/>
    <w:rsid w:val="00FC6334"/>
    <w:rsid w:val="00FC6555"/>
    <w:rsid w:val="00FC69B6"/>
    <w:rsid w:val="00FC6D2E"/>
    <w:rsid w:val="00FC6D89"/>
    <w:rsid w:val="00FC6DA7"/>
    <w:rsid w:val="00FC6EDC"/>
    <w:rsid w:val="00FC72A1"/>
    <w:rsid w:val="00FC72DC"/>
    <w:rsid w:val="00FC7800"/>
    <w:rsid w:val="00FC79EC"/>
    <w:rsid w:val="00FC79EF"/>
    <w:rsid w:val="00FC7A76"/>
    <w:rsid w:val="00FC7BC2"/>
    <w:rsid w:val="00FC7BE6"/>
    <w:rsid w:val="00FC7D4D"/>
    <w:rsid w:val="00FD0B02"/>
    <w:rsid w:val="00FD0B88"/>
    <w:rsid w:val="00FD0CCF"/>
    <w:rsid w:val="00FD13C7"/>
    <w:rsid w:val="00FD1489"/>
    <w:rsid w:val="00FD1546"/>
    <w:rsid w:val="00FD1F38"/>
    <w:rsid w:val="00FD278E"/>
    <w:rsid w:val="00FD28B5"/>
    <w:rsid w:val="00FD28DA"/>
    <w:rsid w:val="00FD297C"/>
    <w:rsid w:val="00FD2C00"/>
    <w:rsid w:val="00FD2E12"/>
    <w:rsid w:val="00FD31FD"/>
    <w:rsid w:val="00FD3216"/>
    <w:rsid w:val="00FD3618"/>
    <w:rsid w:val="00FD36BD"/>
    <w:rsid w:val="00FD3960"/>
    <w:rsid w:val="00FD3A29"/>
    <w:rsid w:val="00FD3BAA"/>
    <w:rsid w:val="00FD3FE6"/>
    <w:rsid w:val="00FD4220"/>
    <w:rsid w:val="00FD42A0"/>
    <w:rsid w:val="00FD42CD"/>
    <w:rsid w:val="00FD449A"/>
    <w:rsid w:val="00FD453E"/>
    <w:rsid w:val="00FD45D8"/>
    <w:rsid w:val="00FD4844"/>
    <w:rsid w:val="00FD4B90"/>
    <w:rsid w:val="00FD4C17"/>
    <w:rsid w:val="00FD4D33"/>
    <w:rsid w:val="00FD5386"/>
    <w:rsid w:val="00FD53B5"/>
    <w:rsid w:val="00FD54D4"/>
    <w:rsid w:val="00FD557C"/>
    <w:rsid w:val="00FD5684"/>
    <w:rsid w:val="00FD57C1"/>
    <w:rsid w:val="00FD585A"/>
    <w:rsid w:val="00FD5B2C"/>
    <w:rsid w:val="00FD5D42"/>
    <w:rsid w:val="00FD5DA1"/>
    <w:rsid w:val="00FD5EF3"/>
    <w:rsid w:val="00FD60FA"/>
    <w:rsid w:val="00FD62B8"/>
    <w:rsid w:val="00FD645C"/>
    <w:rsid w:val="00FD6552"/>
    <w:rsid w:val="00FD656C"/>
    <w:rsid w:val="00FD665D"/>
    <w:rsid w:val="00FD6A0B"/>
    <w:rsid w:val="00FD6B0C"/>
    <w:rsid w:val="00FD6B9C"/>
    <w:rsid w:val="00FD6E60"/>
    <w:rsid w:val="00FD6F4D"/>
    <w:rsid w:val="00FD6FAC"/>
    <w:rsid w:val="00FD780C"/>
    <w:rsid w:val="00FD7810"/>
    <w:rsid w:val="00FD7E6C"/>
    <w:rsid w:val="00FE038C"/>
    <w:rsid w:val="00FE03FA"/>
    <w:rsid w:val="00FE0543"/>
    <w:rsid w:val="00FE0570"/>
    <w:rsid w:val="00FE06ED"/>
    <w:rsid w:val="00FE08B4"/>
    <w:rsid w:val="00FE0906"/>
    <w:rsid w:val="00FE0A27"/>
    <w:rsid w:val="00FE0A94"/>
    <w:rsid w:val="00FE0B81"/>
    <w:rsid w:val="00FE0F06"/>
    <w:rsid w:val="00FE1064"/>
    <w:rsid w:val="00FE129C"/>
    <w:rsid w:val="00FE12C5"/>
    <w:rsid w:val="00FE133B"/>
    <w:rsid w:val="00FE148E"/>
    <w:rsid w:val="00FE1556"/>
    <w:rsid w:val="00FE177D"/>
    <w:rsid w:val="00FE1B21"/>
    <w:rsid w:val="00FE1C02"/>
    <w:rsid w:val="00FE1D57"/>
    <w:rsid w:val="00FE1D66"/>
    <w:rsid w:val="00FE22F3"/>
    <w:rsid w:val="00FE2429"/>
    <w:rsid w:val="00FE2828"/>
    <w:rsid w:val="00FE2A62"/>
    <w:rsid w:val="00FE2AAC"/>
    <w:rsid w:val="00FE32B1"/>
    <w:rsid w:val="00FE372A"/>
    <w:rsid w:val="00FE379A"/>
    <w:rsid w:val="00FE3A12"/>
    <w:rsid w:val="00FE3A25"/>
    <w:rsid w:val="00FE3ABD"/>
    <w:rsid w:val="00FE3C90"/>
    <w:rsid w:val="00FE43AA"/>
    <w:rsid w:val="00FE43D1"/>
    <w:rsid w:val="00FE49ED"/>
    <w:rsid w:val="00FE4A40"/>
    <w:rsid w:val="00FE4ACC"/>
    <w:rsid w:val="00FE4B91"/>
    <w:rsid w:val="00FE4EAD"/>
    <w:rsid w:val="00FE522B"/>
    <w:rsid w:val="00FE53FB"/>
    <w:rsid w:val="00FE5712"/>
    <w:rsid w:val="00FE57EE"/>
    <w:rsid w:val="00FE59DF"/>
    <w:rsid w:val="00FE5B26"/>
    <w:rsid w:val="00FE5E28"/>
    <w:rsid w:val="00FE5EF2"/>
    <w:rsid w:val="00FE5F7C"/>
    <w:rsid w:val="00FE621C"/>
    <w:rsid w:val="00FE6474"/>
    <w:rsid w:val="00FE6592"/>
    <w:rsid w:val="00FE6649"/>
    <w:rsid w:val="00FE6863"/>
    <w:rsid w:val="00FE6948"/>
    <w:rsid w:val="00FE6A4E"/>
    <w:rsid w:val="00FE6A69"/>
    <w:rsid w:val="00FE6A6A"/>
    <w:rsid w:val="00FE6B74"/>
    <w:rsid w:val="00FE6CBE"/>
    <w:rsid w:val="00FE6FA1"/>
    <w:rsid w:val="00FE7302"/>
    <w:rsid w:val="00FE7743"/>
    <w:rsid w:val="00FE7764"/>
    <w:rsid w:val="00FE7BB2"/>
    <w:rsid w:val="00FE7CFC"/>
    <w:rsid w:val="00FE7DC1"/>
    <w:rsid w:val="00FE7ED1"/>
    <w:rsid w:val="00FE7F6D"/>
    <w:rsid w:val="00FF011B"/>
    <w:rsid w:val="00FF0AFF"/>
    <w:rsid w:val="00FF0B9E"/>
    <w:rsid w:val="00FF1081"/>
    <w:rsid w:val="00FF1261"/>
    <w:rsid w:val="00FF16C6"/>
    <w:rsid w:val="00FF176B"/>
    <w:rsid w:val="00FF17BB"/>
    <w:rsid w:val="00FF1A41"/>
    <w:rsid w:val="00FF1F31"/>
    <w:rsid w:val="00FF1FB5"/>
    <w:rsid w:val="00FF20E8"/>
    <w:rsid w:val="00FF22D3"/>
    <w:rsid w:val="00FF25B4"/>
    <w:rsid w:val="00FF25CA"/>
    <w:rsid w:val="00FF25EF"/>
    <w:rsid w:val="00FF297A"/>
    <w:rsid w:val="00FF2B60"/>
    <w:rsid w:val="00FF2DCE"/>
    <w:rsid w:val="00FF2E5D"/>
    <w:rsid w:val="00FF2EE7"/>
    <w:rsid w:val="00FF2F99"/>
    <w:rsid w:val="00FF2FD5"/>
    <w:rsid w:val="00FF30AC"/>
    <w:rsid w:val="00FF348E"/>
    <w:rsid w:val="00FF3A20"/>
    <w:rsid w:val="00FF3F13"/>
    <w:rsid w:val="00FF3F1A"/>
    <w:rsid w:val="00FF420C"/>
    <w:rsid w:val="00FF431C"/>
    <w:rsid w:val="00FF4973"/>
    <w:rsid w:val="00FF4BC7"/>
    <w:rsid w:val="00FF4C1C"/>
    <w:rsid w:val="00FF4CFD"/>
    <w:rsid w:val="00FF4D41"/>
    <w:rsid w:val="00FF4E15"/>
    <w:rsid w:val="00FF4FE7"/>
    <w:rsid w:val="00FF50AD"/>
    <w:rsid w:val="00FF5102"/>
    <w:rsid w:val="00FF5103"/>
    <w:rsid w:val="00FF516B"/>
    <w:rsid w:val="00FF51BC"/>
    <w:rsid w:val="00FF572C"/>
    <w:rsid w:val="00FF5936"/>
    <w:rsid w:val="00FF5964"/>
    <w:rsid w:val="00FF5A86"/>
    <w:rsid w:val="00FF5D35"/>
    <w:rsid w:val="00FF5E77"/>
    <w:rsid w:val="00FF5F08"/>
    <w:rsid w:val="00FF6205"/>
    <w:rsid w:val="00FF64C4"/>
    <w:rsid w:val="00FF6621"/>
    <w:rsid w:val="00FF6EB9"/>
    <w:rsid w:val="00FF6F51"/>
    <w:rsid w:val="00FF6F84"/>
    <w:rsid w:val="00FF70C9"/>
    <w:rsid w:val="00FF7197"/>
    <w:rsid w:val="00FF730E"/>
    <w:rsid w:val="00FF7321"/>
    <w:rsid w:val="00FF7553"/>
    <w:rsid w:val="00FF7856"/>
    <w:rsid w:val="00FF79D0"/>
    <w:rsid w:val="00FF7D7C"/>
    <w:rsid w:val="00FF7DAE"/>
    <w:rsid w:val="00FF7EAD"/>
  </w:rsids>
  <m:mathPr>
    <m:mathFont m:val="Cambria Math"/>
    <m:brkBin m:val="before"/>
    <m:brkBinSub m:val="--"/>
    <m:smallFrac m:val="0"/>
    <m:dispDef/>
    <m:lMargin m:val="0"/>
    <m:rMargin m:val="0"/>
    <m:defJc m:val="centerGroup"/>
    <m:wrapIndent m:val="1440"/>
    <m:intLim m:val="subSup"/>
    <m:naryLim m:val="undOvr"/>
  </m:mathPr>
  <w:themeFontLang w:val="cs-CZ"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uiPriority="0" w:qFormat="1"/>
    <w:lsdException w:name="heading 3" w:uiPriority="0"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10" w:unhideWhenUsed="1" w:qFormat="1"/>
    <w:lsdException w:name="List Number" w:semiHidden="1" w:uiPriority="15" w:unhideWhenUsed="1" w:qFormat="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qFormat="1"/>
    <w:lsdException w:name="List Bullet 4" w:semiHidden="1" w:uiPriority="10" w:unhideWhenUsed="1" w:qFormat="1"/>
    <w:lsdException w:name="List Bullet 5" w:semiHidden="1" w:uiPriority="10" w:unhideWhenUsed="1" w:qFormat="1"/>
    <w:lsdException w:name="List Number 2" w:semiHidden="1" w:uiPriority="15" w:unhideWhenUsed="1" w:qFormat="1"/>
    <w:lsdException w:name="List Number 3" w:semiHidden="1" w:uiPriority="15" w:unhideWhenUsed="1" w:qFormat="1"/>
    <w:lsdException w:name="List Number 4" w:semiHidden="1" w:uiPriority="15" w:unhideWhenUsed="1" w:qFormat="1"/>
    <w:lsdException w:name="List Number 5" w:semiHidden="1" w:uiPriority="15" w:unhideWhenUsed="1" w:qFormat="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iPriority="31" w:unhideWhenUsed="1"/>
    <w:lsdException w:name="Body Text First Indent" w:semiHidden="1" w:uiPriority="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29"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28"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23" w:qFormat="1"/>
    <w:lsdException w:name="Intense Reference" w:uiPriority="24" w:qFormat="1"/>
    <w:lsdException w:name="Book Title" w:uiPriority="33" w:qFormat="1"/>
    <w:lsdException w:name="Bibliography" w:semiHidden="1" w:uiPriority="0" w:unhideWhenUsed="1"/>
    <w:lsdException w:name="TOC Heading" w:semiHidden="1" w:uiPriority="6"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sid w:val="009679AD"/>
    <w:pPr>
      <w:spacing w:before="120" w:after="120"/>
      <w:jc w:val="both"/>
    </w:pPr>
    <w:rPr>
      <w:rFonts w:ascii="Garamond" w:hAnsi="Garamond"/>
      <w:sz w:val="24"/>
      <w:szCs w:val="22"/>
    </w:rPr>
  </w:style>
  <w:style w:type="paragraph" w:styleId="Nadpis1">
    <w:name w:val="heading 1"/>
    <w:aliases w:val="Chapter Heading,Dipl 1,H1,I,II+,N 1,Section Head,Titre§,adpis 1,app heading 1,h1,h11,h111,h112,h113,h12,h121,h122,h123,h13,h131,h132,h133,h14,h141,h142,h143,h15,h151,h152,h153,h16,h161,h162,h163,h17,h18,h19,h:1,h:1app,l1,nadpis 1,título 1"/>
    <w:basedOn w:val="Normln"/>
    <w:next w:val="Normln"/>
    <w:link w:val="Nadpis1Char1"/>
    <w:uiPriority w:val="9"/>
    <w:qFormat/>
    <w:rsid w:val="006B26AF"/>
    <w:pPr>
      <w:widowControl w:val="0"/>
      <w:numPr>
        <w:numId w:val="68"/>
      </w:numPr>
      <w:outlineLvl w:val="0"/>
    </w:pPr>
    <w:rPr>
      <w:rFonts w:ascii="Cambria" w:eastAsia="Times New Roman" w:hAnsi="Cambria"/>
      <w:b/>
      <w:bCs/>
      <w:sz w:val="28"/>
      <w:szCs w:val="28"/>
    </w:rPr>
  </w:style>
  <w:style w:type="paragraph" w:styleId="Nadpis2">
    <w:name w:val="heading 2"/>
    <w:aliases w:val="(SubSection),2,21,???,ASAPHeading 2,Attribute Heading 2,Dipl2,H...,Heading 2 Firm,Heading 2 Firm1,Heading 2 Firm11,Heading 2 Hidden,Headline 2,Ma,Major,Nadpis 2 Z,clanak,h2,h21,h22,headi,heading 2,heading2,l2,list + change bar,nadpis 2"/>
    <w:basedOn w:val="Normln"/>
    <w:next w:val="Normln"/>
    <w:link w:val="Nadpis2Char1"/>
    <w:qFormat/>
    <w:rsid w:val="00FE1B21"/>
    <w:pPr>
      <w:keepNext/>
      <w:numPr>
        <w:ilvl w:val="1"/>
        <w:numId w:val="68"/>
      </w:numPr>
      <w:outlineLvl w:val="1"/>
    </w:pPr>
    <w:rPr>
      <w:rFonts w:ascii="Cambria" w:eastAsia="Times New Roman" w:hAnsi="Cambria"/>
      <w:b/>
      <w:bCs/>
      <w:sz w:val="26"/>
      <w:szCs w:val="26"/>
    </w:rPr>
  </w:style>
  <w:style w:type="paragraph" w:styleId="Nadpis3">
    <w:name w:val="heading 3"/>
    <w:aliases w:val="1.1.1 Heading 3,3,ASAPHeading 3,Arial 12 Fett,Dipl3,H3,H31,Heading 3 - old,Heading 3 CFMU,Heading 3 Char Char,Headline,Headline 3,Mi,Minor,Nadpis 3 Z,Numbered 3 (SBC),Para 3,Punt 3,Punt 3 Char,Sub-Title,V_Head3,h3,h31,h32,heading 3,nadpis 3"/>
    <w:basedOn w:val="Normln"/>
    <w:next w:val="Normln"/>
    <w:link w:val="Nadpis3Char1"/>
    <w:qFormat/>
    <w:rsid w:val="00FE1B21"/>
    <w:pPr>
      <w:keepNext/>
      <w:numPr>
        <w:ilvl w:val="2"/>
        <w:numId w:val="36"/>
      </w:numPr>
      <w:ind w:left="720"/>
      <w:outlineLvl w:val="2"/>
    </w:pPr>
    <w:rPr>
      <w:rFonts w:ascii="Cambria" w:eastAsia="Times New Roman" w:hAnsi="Cambria"/>
      <w:b/>
      <w:bCs/>
    </w:rPr>
  </w:style>
  <w:style w:type="paragraph" w:styleId="Nadpis4">
    <w:name w:val="heading 4"/>
    <w:aliases w:val="1-1,4,4heading,FigureHead,Figures Only,H4,Header 4,Heading 4 - SBC,Heading 4 CFMU,Level 2 - a,Map Title,Nadpis 4 Z,Numbered 4 (SBC),RFQ3,Sub Sub Paragraph,Subhead C,Te,Titre 4-esis,Topic Major,dash,h4,h41,heading,heading 4,heading4,mh,nadpis 4"/>
    <w:basedOn w:val="Normln"/>
    <w:next w:val="Normln"/>
    <w:link w:val="Nadpis4Char1"/>
    <w:uiPriority w:val="99"/>
    <w:qFormat/>
    <w:rsid w:val="00F52A18"/>
    <w:pPr>
      <w:keepNext/>
      <w:keepLines/>
      <w:numPr>
        <w:numId w:val="70"/>
      </w:numPr>
      <w:ind w:left="357" w:hanging="357"/>
      <w:outlineLvl w:val="3"/>
    </w:pPr>
    <w:rPr>
      <w:rFonts w:ascii="Cambria" w:eastAsia="Times New Roman" w:hAnsi="Cambria"/>
      <w:b/>
      <w:bCs/>
      <w:i/>
      <w:iCs/>
      <w:color w:val="AC9B02"/>
      <w:sz w:val="22"/>
    </w:rPr>
  </w:style>
  <w:style w:type="paragraph" w:styleId="Nadpis5">
    <w:name w:val="heading 5"/>
    <w:aliases w:val="nadpis 5"/>
    <w:basedOn w:val="Normln"/>
    <w:next w:val="Normln"/>
    <w:link w:val="Nadpis5Char1"/>
    <w:uiPriority w:val="9"/>
    <w:qFormat/>
    <w:rsid w:val="00F52A18"/>
    <w:pPr>
      <w:outlineLvl w:val="4"/>
    </w:pPr>
    <w:rPr>
      <w:rFonts w:ascii="Calibri" w:eastAsia="Times New Roman" w:hAnsi="Calibri"/>
      <w:b/>
      <w:bCs/>
      <w:i/>
      <w:iCs/>
      <w:sz w:val="22"/>
      <w:szCs w:val="26"/>
    </w:rPr>
  </w:style>
  <w:style w:type="paragraph" w:styleId="Nadpis6">
    <w:name w:val="heading 6"/>
    <w:basedOn w:val="Normln"/>
    <w:next w:val="Normln"/>
    <w:link w:val="Nadpis6Char1"/>
    <w:uiPriority w:val="9"/>
    <w:qFormat/>
    <w:rsid w:val="00D4266B"/>
    <w:pPr>
      <w:numPr>
        <w:ilvl w:val="5"/>
        <w:numId w:val="68"/>
      </w:numPr>
      <w:spacing w:before="240" w:after="60"/>
      <w:outlineLvl w:val="5"/>
    </w:pPr>
    <w:rPr>
      <w:rFonts w:ascii="Calibri" w:eastAsia="Times New Roman" w:hAnsi="Calibri"/>
      <w:bCs/>
      <w:sz w:val="22"/>
      <w:u w:val="single"/>
    </w:rPr>
  </w:style>
  <w:style w:type="paragraph" w:styleId="Nadpis7">
    <w:name w:val="heading 7"/>
    <w:basedOn w:val="Normln"/>
    <w:next w:val="Normln"/>
    <w:link w:val="Nadpis7Char1"/>
    <w:uiPriority w:val="9"/>
    <w:qFormat/>
    <w:rsid w:val="00243636"/>
    <w:pPr>
      <w:numPr>
        <w:ilvl w:val="6"/>
        <w:numId w:val="68"/>
      </w:numPr>
      <w:spacing w:before="240" w:after="60"/>
      <w:outlineLvl w:val="6"/>
    </w:pPr>
    <w:rPr>
      <w:rFonts w:ascii="Calibri" w:eastAsia="Times New Roman" w:hAnsi="Calibri"/>
      <w:szCs w:val="24"/>
    </w:rPr>
  </w:style>
  <w:style w:type="paragraph" w:styleId="Nadpis8">
    <w:name w:val="heading 8"/>
    <w:basedOn w:val="Normln"/>
    <w:next w:val="Normln"/>
    <w:link w:val="Nadpis8Char1"/>
    <w:uiPriority w:val="9"/>
    <w:qFormat/>
    <w:rsid w:val="00243636"/>
    <w:pPr>
      <w:numPr>
        <w:ilvl w:val="7"/>
        <w:numId w:val="68"/>
      </w:numPr>
      <w:spacing w:before="240" w:after="60"/>
      <w:outlineLvl w:val="7"/>
    </w:pPr>
    <w:rPr>
      <w:rFonts w:ascii="Calibri" w:eastAsia="Times New Roman" w:hAnsi="Calibri"/>
      <w:i/>
      <w:iCs/>
      <w:szCs w:val="24"/>
    </w:rPr>
  </w:style>
  <w:style w:type="paragraph" w:styleId="Nadpis9">
    <w:name w:val="heading 9"/>
    <w:basedOn w:val="Normln"/>
    <w:next w:val="Normln"/>
    <w:link w:val="Nadpis9Char1"/>
    <w:uiPriority w:val="9"/>
    <w:qFormat/>
    <w:rsid w:val="00243636"/>
    <w:pPr>
      <w:numPr>
        <w:ilvl w:val="8"/>
        <w:numId w:val="68"/>
      </w:numPr>
      <w:spacing w:before="240" w:after="60"/>
      <w:outlineLvl w:val="8"/>
    </w:pPr>
    <w:rPr>
      <w:rFonts w:ascii="Cambria" w:eastAsia="Times New Roman" w:hAnsi="Cambria"/>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aliases w:val="A-Odrážky1,List Paragraph2,Nad,Nad1,Nad2,Odstavec cíl se seznamem,Odstavec1,Odstavec_muj,Odstavec_muj1,Odstavec_muj2,Odstavec_muj3,Odstavec_muj4,Odstavec_muj5,Odstavec_muj6,Odstavec_muj7,Seznam - odrážky,Tučné,_Odstavec se seznamem"/>
    <w:basedOn w:val="Normln"/>
    <w:link w:val="OdstavecseseznamemChar"/>
    <w:uiPriority w:val="34"/>
    <w:qFormat/>
    <w:rsid w:val="00243636"/>
    <w:pPr>
      <w:ind w:left="720"/>
      <w:contextualSpacing/>
    </w:pPr>
  </w:style>
  <w:style w:type="paragraph" w:styleId="Textbubliny">
    <w:name w:val="Balloon Text"/>
    <w:basedOn w:val="Normln"/>
    <w:link w:val="TextbublinyChar1"/>
    <w:uiPriority w:val="99"/>
    <w:unhideWhenUsed/>
    <w:rsid w:val="00243636"/>
    <w:pPr>
      <w:spacing w:after="0"/>
    </w:pPr>
    <w:rPr>
      <w:rFonts w:ascii="Tahoma" w:hAnsi="Tahoma" w:cs="Tahoma"/>
      <w:sz w:val="16"/>
      <w:szCs w:val="16"/>
    </w:rPr>
  </w:style>
  <w:style w:type="character" w:customStyle="1" w:styleId="TextbublinyChar">
    <w:name w:val="Text bubliny Char"/>
    <w:basedOn w:val="Standardnpsmoodstavce"/>
    <w:uiPriority w:val="99"/>
    <w:rsid w:val="00243636"/>
    <w:rPr>
      <w:rFonts w:ascii="Tahoma" w:hAnsi="Tahoma" w:cs="Tahoma"/>
      <w:sz w:val="16"/>
      <w:szCs w:val="16"/>
    </w:rPr>
  </w:style>
  <w:style w:type="paragraph" w:styleId="Titulek">
    <w:name w:val="caption"/>
    <w:aliases w:val=" Char Char,Beschriftung_tab,EEIP_Titulek,Figure Caption,Figure Caption + Avant : 14 pt,Motif : Transparente (Gris - 15 %),TF,Tabulka,Tabulka-PK,Tabulka_nadpis,Title for table,Titulek tabulky,Zdroj_moje,formula,graph,picture,titulek tabulka"/>
    <w:basedOn w:val="Normln"/>
    <w:next w:val="Normln"/>
    <w:link w:val="TitulekChar"/>
    <w:uiPriority w:val="35"/>
    <w:qFormat/>
    <w:rsid w:val="00EC3868"/>
    <w:pPr>
      <w:widowControl w:val="0"/>
      <w:spacing w:after="0"/>
    </w:pPr>
    <w:rPr>
      <w:rFonts w:eastAsia="Times New Roman"/>
      <w:b/>
      <w:bCs/>
      <w:color w:val="000000"/>
      <w:sz w:val="22"/>
      <w:szCs w:val="20"/>
      <w:lang w:eastAsia="cs-CZ"/>
    </w:rPr>
  </w:style>
  <w:style w:type="character" w:styleId="Zstupntext">
    <w:name w:val="Placeholder Text"/>
    <w:basedOn w:val="Standardnpsmoodstavce"/>
    <w:uiPriority w:val="99"/>
    <w:semiHidden/>
    <w:rsid w:val="00243636"/>
    <w:rPr>
      <w:color w:val="808080"/>
    </w:rPr>
  </w:style>
  <w:style w:type="character" w:styleId="Odkaznakoment">
    <w:name w:val="annotation reference"/>
    <w:basedOn w:val="Standardnpsmoodstavce"/>
    <w:uiPriority w:val="99"/>
    <w:unhideWhenUsed/>
    <w:qFormat/>
    <w:rsid w:val="00243636"/>
    <w:rPr>
      <w:sz w:val="16"/>
      <w:szCs w:val="16"/>
    </w:rPr>
  </w:style>
  <w:style w:type="paragraph" w:styleId="Textkomente">
    <w:name w:val="annotation text"/>
    <w:aliases w:val="Text poznámky"/>
    <w:basedOn w:val="Normln"/>
    <w:link w:val="TextkomenteChar1"/>
    <w:uiPriority w:val="99"/>
    <w:unhideWhenUsed/>
    <w:qFormat/>
    <w:rsid w:val="00243636"/>
    <w:rPr>
      <w:sz w:val="20"/>
      <w:szCs w:val="20"/>
    </w:rPr>
  </w:style>
  <w:style w:type="character" w:customStyle="1" w:styleId="TextkomenteChar">
    <w:name w:val="Text komentáře Char"/>
    <w:aliases w:val="Text poznámky Char"/>
    <w:basedOn w:val="Standardnpsmoodstavce"/>
    <w:uiPriority w:val="99"/>
    <w:qFormat/>
    <w:rsid w:val="00243636"/>
    <w:rPr>
      <w:sz w:val="20"/>
      <w:szCs w:val="20"/>
    </w:rPr>
  </w:style>
  <w:style w:type="paragraph" w:styleId="Pedmtkomente">
    <w:name w:val="annotation subject"/>
    <w:basedOn w:val="Textkomente"/>
    <w:next w:val="Textkomente"/>
    <w:link w:val="PedmtkomenteChar1"/>
    <w:uiPriority w:val="99"/>
    <w:unhideWhenUsed/>
    <w:rsid w:val="00243636"/>
    <w:rPr>
      <w:b/>
      <w:bCs/>
    </w:rPr>
  </w:style>
  <w:style w:type="character" w:customStyle="1" w:styleId="PedmtkomenteChar">
    <w:name w:val="Předmět komentáře Char"/>
    <w:basedOn w:val="TextkomenteChar"/>
    <w:uiPriority w:val="99"/>
    <w:rsid w:val="00243636"/>
    <w:rPr>
      <w:b/>
      <w:bCs/>
      <w:sz w:val="20"/>
      <w:szCs w:val="20"/>
    </w:rPr>
  </w:style>
  <w:style w:type="character" w:styleId="Hypertextovodkaz">
    <w:name w:val="Hyperlink"/>
    <w:basedOn w:val="Standardnpsmoodstavce"/>
    <w:uiPriority w:val="99"/>
    <w:unhideWhenUsed/>
    <w:rsid w:val="00243636"/>
    <w:rPr>
      <w:color w:val="0000FF"/>
      <w:u w:val="single"/>
    </w:rPr>
  </w:style>
  <w:style w:type="character" w:styleId="CittHTML">
    <w:name w:val="HTML Cite"/>
    <w:basedOn w:val="Standardnpsmoodstavce"/>
    <w:uiPriority w:val="99"/>
    <w:semiHidden/>
    <w:unhideWhenUsed/>
    <w:rsid w:val="00243636"/>
    <w:rPr>
      <w:i/>
      <w:iCs/>
    </w:rPr>
  </w:style>
  <w:style w:type="character" w:customStyle="1" w:styleId="Nadpis2Char">
    <w:name w:val="Nadpis 2 Char"/>
    <w:aliases w:val="2 Char,21 Char,??? Char,ASAPHeading 2 Char,Dipl2 Char,H... Char,Headline 2 Char,Nadpis 2 Z Char,Titre 2 Char,h2 Char,h21 Char,h22 Char,headi Char,heading 2 Char,heading2 Char,l2 Char,list + change bar Char,nadpis 2 Char"/>
    <w:basedOn w:val="Standardnpsmoodstavce"/>
    <w:uiPriority w:val="7"/>
    <w:rsid w:val="00243636"/>
    <w:rPr>
      <w:rFonts w:ascii="Cambria" w:eastAsia="Times New Roman" w:hAnsi="Cambria"/>
      <w:b/>
      <w:bCs/>
      <w:color w:val="B6B002"/>
      <w:sz w:val="26"/>
      <w:szCs w:val="26"/>
      <w:lang w:eastAsia="en-US"/>
    </w:rPr>
  </w:style>
  <w:style w:type="character" w:customStyle="1" w:styleId="Nadpis1Char">
    <w:name w:val="Nadpis 1 Char"/>
    <w:aliases w:val="(Section) Char,Attribute Heading 1 Char,Dipl 1 Char,HauptPunkt Char,Heading 1a Char,Headline 1 Char,N 1 Char,Oscar Faber 1 Char1,Part Char,Section Char1,Section Heading Char1,cover1 Char,head1 Char,intoduction Char,nadpis 1 Char"/>
    <w:basedOn w:val="Standardnpsmoodstavce"/>
    <w:uiPriority w:val="7"/>
    <w:rsid w:val="00243636"/>
    <w:rPr>
      <w:rFonts w:ascii="Cambria" w:eastAsia="Times New Roman" w:hAnsi="Cambria"/>
      <w:b/>
      <w:bCs/>
      <w:color w:val="B6B002"/>
      <w:sz w:val="28"/>
      <w:szCs w:val="28"/>
      <w:lang w:eastAsia="en-US"/>
    </w:rPr>
  </w:style>
  <w:style w:type="character" w:customStyle="1" w:styleId="Nadpis3Char">
    <w:name w:val="Nadpis 3 Char"/>
    <w:aliases w:val="3 Char,ASAPHeading 3 Char,Dipl3 Char,H3 Char,H31 Char,Heading 3 - old Char,Heading 3 Char Char Char,Headline 3 Char,Headline Char,Mi Char,Minor Char,Nadpis 3 Z Char,Titre 3 Char,h3 Char,h31 Char,h32 Char,heading 3 Char,nadpis 3 Char"/>
    <w:basedOn w:val="Standardnpsmoodstavce"/>
    <w:uiPriority w:val="7"/>
    <w:rsid w:val="00243636"/>
    <w:rPr>
      <w:rFonts w:ascii="Cambria" w:eastAsia="Times New Roman" w:hAnsi="Cambria"/>
      <w:b/>
      <w:bCs/>
      <w:color w:val="B6B002"/>
      <w:sz w:val="24"/>
      <w:szCs w:val="22"/>
      <w:lang w:eastAsia="en-US"/>
    </w:rPr>
  </w:style>
  <w:style w:type="character" w:customStyle="1" w:styleId="Nadpis4Char">
    <w:name w:val="Nadpis 4 Char"/>
    <w:aliases w:val="4 Char,4heading Char,Figures Only Char,H4 Char,Header 4 Char,Heading 4 - SBC Char,Heading 4 CFMU Char,Map Title Char,Nadpis 4 Z Char,Numbered 4 (SBC) Char,RFQ3 Char,Te Char,Topic Major Char,dash Char,h4 Char,h41 Char,l4 Char,nadpis 4 Char"/>
    <w:basedOn w:val="Standardnpsmoodstavce"/>
    <w:uiPriority w:val="9"/>
    <w:rsid w:val="00243636"/>
    <w:rPr>
      <w:rFonts w:ascii="Cambria" w:eastAsia="Times New Roman" w:hAnsi="Cambria"/>
      <w:b/>
      <w:bCs/>
      <w:i/>
      <w:iCs/>
      <w:color w:val="4F81BD"/>
      <w:sz w:val="24"/>
      <w:szCs w:val="22"/>
      <w:lang w:eastAsia="en-US"/>
    </w:rPr>
  </w:style>
  <w:style w:type="character" w:styleId="Sledovanodkaz">
    <w:name w:val="FollowedHyperlink"/>
    <w:basedOn w:val="Standardnpsmoodstavce"/>
    <w:uiPriority w:val="99"/>
    <w:unhideWhenUsed/>
    <w:rsid w:val="00243636"/>
    <w:rPr>
      <w:color w:val="800080"/>
      <w:u w:val="single"/>
    </w:rPr>
  </w:style>
  <w:style w:type="paragraph" w:styleId="Textpoznpodarou">
    <w:name w:val="footnote text"/>
    <w:aliases w:val="Boston 10,Char,Char1,Char3,DNV-FT Char,Font: Geneva 9,Footnote text,Fußnotentextf,Geneva 9,Poznámka,Schriftart: 10 pt,Schriftart: 8 pt,Schriftart: 9 pt,Text pozn. pod čarou1,Text poznámky pod čiarou 007,_Poznámka pod čiarou,f,fn,o"/>
    <w:basedOn w:val="Normln"/>
    <w:link w:val="TextpoznpodarouChar1"/>
    <w:uiPriority w:val="99"/>
    <w:qFormat/>
    <w:rsid w:val="00140ED7"/>
    <w:pPr>
      <w:spacing w:before="0" w:after="0"/>
    </w:pPr>
    <w:rPr>
      <w:rFonts w:eastAsia="Times New Roman"/>
      <w:sz w:val="18"/>
      <w:szCs w:val="20"/>
      <w:lang w:eastAsia="cs-CZ"/>
    </w:rPr>
  </w:style>
  <w:style w:type="character" w:customStyle="1" w:styleId="TextpoznpodarouChar">
    <w:name w:val="Text pozn. pod čarou Char"/>
    <w:aliases w:val="Char1 Char,Footnote Text Char Char,Footnote text Char,Fußnotentextf Char,Geneva 9 Char,Poznámka Char,Schriftart: 10 pt Char,Schriftart: 8 pt Char,Schriftart: 9 pt Char,Text poznámky pod čiarou 007 Char,_Poznámka pod čiarou Char"/>
    <w:basedOn w:val="Standardnpsmoodstavce"/>
    <w:uiPriority w:val="99"/>
    <w:rsid w:val="00243636"/>
    <w:rPr>
      <w:rFonts w:ascii="Times New Roman" w:eastAsia="Times New Roman" w:hAnsi="Times New Roman" w:cs="Times New Roman"/>
      <w:sz w:val="20"/>
      <w:szCs w:val="20"/>
      <w:lang w:eastAsia="cs-CZ"/>
    </w:rPr>
  </w:style>
  <w:style w:type="character" w:styleId="Znakapoznpodarou">
    <w:name w:val="footnote reference"/>
    <w:aliases w:val="Appel note de bas de p,Appel note de bas de page,BVI fnr,Char Car Car Car Car,Footnote,Footnote Reference Number,Footnote Reference Superscript,Footnote symbol,Légende,PGI Fußnote Ziffer,Voetnootverwijzing,fr,text pozn. pod čarou"/>
    <w:basedOn w:val="Standardnpsmoodstavce"/>
    <w:link w:val="SUPERSCharChar"/>
    <w:uiPriority w:val="99"/>
    <w:qFormat/>
    <w:rsid w:val="00243636"/>
    <w:rPr>
      <w:vertAlign w:val="superscript"/>
    </w:rPr>
  </w:style>
  <w:style w:type="paragraph" w:styleId="Zhlav">
    <w:name w:val="header"/>
    <w:aliases w:val="Záhlaví a zápatí"/>
    <w:basedOn w:val="Normln"/>
    <w:link w:val="ZhlavChar1"/>
    <w:uiPriority w:val="99"/>
    <w:unhideWhenUsed/>
    <w:rsid w:val="00243636"/>
    <w:pPr>
      <w:tabs>
        <w:tab w:val="center" w:pos="4536"/>
        <w:tab w:val="right" w:pos="9072"/>
      </w:tabs>
      <w:spacing w:after="0"/>
    </w:pPr>
  </w:style>
  <w:style w:type="character" w:customStyle="1" w:styleId="ZhlavChar">
    <w:name w:val="Záhlaví Char"/>
    <w:aliases w:val="Záhlaví a zápatí Char"/>
    <w:basedOn w:val="Standardnpsmoodstavce"/>
    <w:uiPriority w:val="99"/>
    <w:rsid w:val="00243636"/>
  </w:style>
  <w:style w:type="paragraph" w:styleId="Zpat">
    <w:name w:val="footer"/>
    <w:aliases w:val=" Char10,Char10"/>
    <w:basedOn w:val="Normln"/>
    <w:link w:val="ZpatChar1"/>
    <w:uiPriority w:val="99"/>
    <w:unhideWhenUsed/>
    <w:rsid w:val="00243636"/>
    <w:pPr>
      <w:tabs>
        <w:tab w:val="center" w:pos="4536"/>
        <w:tab w:val="right" w:pos="9072"/>
      </w:tabs>
      <w:spacing w:after="0"/>
    </w:pPr>
  </w:style>
  <w:style w:type="character" w:customStyle="1" w:styleId="ZpatChar">
    <w:name w:val="Zápatí Char"/>
    <w:aliases w:val=" Char10 Char,Char10 Char"/>
    <w:basedOn w:val="Standardnpsmoodstavce"/>
    <w:uiPriority w:val="99"/>
    <w:rsid w:val="00243636"/>
  </w:style>
  <w:style w:type="paragraph" w:styleId="Rejstk1">
    <w:name w:val="index 1"/>
    <w:basedOn w:val="Normln"/>
    <w:next w:val="Normln"/>
    <w:autoRedefine/>
    <w:unhideWhenUsed/>
    <w:rsid w:val="00243636"/>
    <w:pPr>
      <w:spacing w:after="0"/>
      <w:ind w:left="220" w:hanging="220"/>
    </w:pPr>
  </w:style>
  <w:style w:type="paragraph" w:styleId="Nadpisobsahu">
    <w:name w:val="TOC Heading"/>
    <w:basedOn w:val="Nadpis1"/>
    <w:next w:val="Normln"/>
    <w:uiPriority w:val="6"/>
    <w:qFormat/>
    <w:rsid w:val="00243636"/>
    <w:pPr>
      <w:outlineLvl w:val="9"/>
    </w:pPr>
  </w:style>
  <w:style w:type="paragraph" w:styleId="Obsah1">
    <w:name w:val="toc 1"/>
    <w:basedOn w:val="Normln"/>
    <w:next w:val="Normln"/>
    <w:autoRedefine/>
    <w:uiPriority w:val="39"/>
    <w:unhideWhenUsed/>
    <w:rsid w:val="00F56499"/>
    <w:pPr>
      <w:tabs>
        <w:tab w:val="left" w:pos="480"/>
        <w:tab w:val="right" w:leader="dot" w:pos="9062"/>
      </w:tabs>
    </w:pPr>
    <w:rPr>
      <w:rFonts w:asciiTheme="minorHAnsi" w:hAnsiTheme="minorHAnsi"/>
      <w:b/>
      <w:bCs/>
      <w:caps/>
      <w:sz w:val="20"/>
      <w:szCs w:val="20"/>
    </w:rPr>
  </w:style>
  <w:style w:type="paragraph" w:styleId="Obsah2">
    <w:name w:val="toc 2"/>
    <w:basedOn w:val="Normln"/>
    <w:next w:val="Normln"/>
    <w:autoRedefine/>
    <w:uiPriority w:val="39"/>
    <w:unhideWhenUsed/>
    <w:rsid w:val="009B273B"/>
    <w:pPr>
      <w:spacing w:before="0" w:after="0"/>
      <w:ind w:left="240"/>
    </w:pPr>
    <w:rPr>
      <w:rFonts w:asciiTheme="minorHAnsi" w:hAnsiTheme="minorHAnsi"/>
      <w:smallCaps/>
      <w:sz w:val="20"/>
      <w:szCs w:val="20"/>
    </w:rPr>
  </w:style>
  <w:style w:type="paragraph" w:styleId="Obsah3">
    <w:name w:val="toc 3"/>
    <w:basedOn w:val="Normln"/>
    <w:next w:val="Normln"/>
    <w:autoRedefine/>
    <w:uiPriority w:val="39"/>
    <w:unhideWhenUsed/>
    <w:rsid w:val="009B273B"/>
    <w:pPr>
      <w:spacing w:before="0" w:after="0"/>
      <w:ind w:left="480"/>
    </w:pPr>
    <w:rPr>
      <w:rFonts w:asciiTheme="minorHAnsi" w:hAnsiTheme="minorHAnsi"/>
      <w:i/>
      <w:iCs/>
      <w:sz w:val="18"/>
      <w:szCs w:val="20"/>
    </w:rPr>
  </w:style>
  <w:style w:type="paragraph" w:styleId="Seznamobrzk">
    <w:name w:val="table of figures"/>
    <w:basedOn w:val="Normln"/>
    <w:next w:val="Normln"/>
    <w:uiPriority w:val="99"/>
    <w:unhideWhenUsed/>
    <w:rsid w:val="00243636"/>
    <w:pPr>
      <w:spacing w:after="0"/>
    </w:pPr>
  </w:style>
  <w:style w:type="paragraph" w:styleId="Zkladntext3">
    <w:name w:val="Body Text 3"/>
    <w:basedOn w:val="Normln"/>
    <w:rsid w:val="00243636"/>
    <w:rPr>
      <w:rFonts w:ascii="Times New Roman" w:eastAsia="Times New Roman" w:hAnsi="Times New Roman"/>
      <w:sz w:val="16"/>
      <w:szCs w:val="16"/>
      <w:lang w:eastAsia="cs-CZ"/>
    </w:rPr>
  </w:style>
  <w:style w:type="character" w:customStyle="1" w:styleId="Zkladntext3Char">
    <w:name w:val="Základní text 3 Char"/>
    <w:basedOn w:val="Standardnpsmoodstavce"/>
    <w:rsid w:val="00243636"/>
    <w:rPr>
      <w:rFonts w:ascii="Times New Roman" w:eastAsia="Times New Roman" w:hAnsi="Times New Roman"/>
      <w:sz w:val="16"/>
      <w:szCs w:val="16"/>
    </w:rPr>
  </w:style>
  <w:style w:type="paragraph" w:customStyle="1" w:styleId="bn">
    <w:name w:val="běžný"/>
    <w:basedOn w:val="Normln"/>
    <w:rsid w:val="00243636"/>
    <w:pPr>
      <w:autoSpaceDE w:val="0"/>
      <w:autoSpaceDN w:val="0"/>
      <w:adjustRightInd w:val="0"/>
    </w:pPr>
    <w:rPr>
      <w:rFonts w:ascii="Times New Roman" w:eastAsia="Times New Roman" w:hAnsi="Times New Roman"/>
      <w:szCs w:val="24"/>
      <w:lang w:eastAsia="cs-CZ"/>
    </w:rPr>
  </w:style>
  <w:style w:type="paragraph" w:customStyle="1" w:styleId="MDSR">
    <w:name w:val="MDS ČR"/>
    <w:rsid w:val="00243636"/>
    <w:pPr>
      <w:suppressAutoHyphens/>
      <w:overflowPunct w:val="0"/>
      <w:autoSpaceDE w:val="0"/>
      <w:autoSpaceDN w:val="0"/>
      <w:adjustRightInd w:val="0"/>
      <w:spacing w:before="120"/>
      <w:ind w:firstLine="567"/>
      <w:jc w:val="both"/>
      <w:textAlignment w:val="baseline"/>
    </w:pPr>
    <w:rPr>
      <w:rFonts w:ascii="Times New Roman" w:eastAsia="Times New Roman" w:hAnsi="Times New Roman"/>
      <w:sz w:val="24"/>
      <w:lang w:eastAsia="cs-CZ"/>
    </w:rPr>
  </w:style>
  <w:style w:type="paragraph" w:styleId="Citt">
    <w:name w:val="Quote"/>
    <w:aliases w:val="EEIP_Citát"/>
    <w:basedOn w:val="Normln"/>
    <w:next w:val="Normln"/>
    <w:link w:val="CittChar"/>
    <w:uiPriority w:val="29"/>
    <w:qFormat/>
    <w:rsid w:val="00B80ACE"/>
    <w:pPr>
      <w:widowControl w:val="0"/>
      <w:spacing w:before="0" w:after="0"/>
    </w:pPr>
    <w:rPr>
      <w:rFonts w:eastAsia="Times New Roman"/>
      <w:i/>
      <w:iCs/>
      <w:color w:val="000000"/>
      <w:sz w:val="22"/>
      <w:szCs w:val="20"/>
      <w:lang w:eastAsia="cs-CZ"/>
    </w:rPr>
  </w:style>
  <w:style w:type="character" w:customStyle="1" w:styleId="CitaceChar">
    <w:name w:val="Citace Char"/>
    <w:basedOn w:val="Standardnpsmoodstavce"/>
    <w:rsid w:val="00243636"/>
    <w:rPr>
      <w:i/>
      <w:iCs/>
      <w:color w:val="000000"/>
      <w:sz w:val="22"/>
      <w:szCs w:val="22"/>
      <w:lang w:eastAsia="en-US"/>
    </w:rPr>
  </w:style>
  <w:style w:type="character" w:customStyle="1" w:styleId="CitaceChar1">
    <w:name w:val="Citace Char1"/>
    <w:basedOn w:val="Standardnpsmoodstavce"/>
    <w:link w:val="1"/>
    <w:uiPriority w:val="29"/>
    <w:rsid w:val="00243636"/>
    <w:rPr>
      <w:rFonts w:ascii="Times New Roman" w:eastAsia="Times New Roman" w:hAnsi="Times New Roman"/>
      <w:i/>
      <w:iCs/>
      <w:color w:val="000000"/>
      <w:sz w:val="24"/>
    </w:rPr>
  </w:style>
  <w:style w:type="character" w:styleId="Zdraznn">
    <w:name w:val="Emphasis"/>
    <w:aliases w:val="Zdroj - tabulky;grafy atd."/>
    <w:basedOn w:val="Standardnpsmoodstavce"/>
    <w:uiPriority w:val="20"/>
    <w:qFormat/>
    <w:rsid w:val="00243636"/>
    <w:rPr>
      <w:i/>
      <w:iCs/>
    </w:rPr>
  </w:style>
  <w:style w:type="character" w:customStyle="1" w:styleId="Nadpis5Char">
    <w:name w:val="Nadpis 5 Char"/>
    <w:aliases w:val="nadpis 5 Char"/>
    <w:basedOn w:val="Standardnpsmoodstavce"/>
    <w:uiPriority w:val="7"/>
    <w:rsid w:val="00243636"/>
    <w:rPr>
      <w:rFonts w:eastAsia="Times New Roman"/>
      <w:b/>
      <w:bCs/>
      <w:i/>
      <w:iCs/>
      <w:sz w:val="26"/>
      <w:szCs w:val="26"/>
      <w:lang w:eastAsia="en-US"/>
    </w:rPr>
  </w:style>
  <w:style w:type="character" w:customStyle="1" w:styleId="Nadpis6Char">
    <w:name w:val="Nadpis 6 Char"/>
    <w:basedOn w:val="Standardnpsmoodstavce"/>
    <w:uiPriority w:val="7"/>
    <w:rsid w:val="00243636"/>
    <w:rPr>
      <w:rFonts w:eastAsia="Times New Roman"/>
      <w:b/>
      <w:bCs/>
      <w:sz w:val="24"/>
      <w:szCs w:val="22"/>
      <w:lang w:eastAsia="en-US"/>
    </w:rPr>
  </w:style>
  <w:style w:type="character" w:customStyle="1" w:styleId="Nadpis7Char">
    <w:name w:val="Nadpis 7 Char"/>
    <w:basedOn w:val="Standardnpsmoodstavce"/>
    <w:uiPriority w:val="7"/>
    <w:rsid w:val="00243636"/>
    <w:rPr>
      <w:rFonts w:eastAsia="Times New Roman"/>
      <w:sz w:val="24"/>
      <w:szCs w:val="24"/>
      <w:lang w:eastAsia="en-US"/>
    </w:rPr>
  </w:style>
  <w:style w:type="character" w:customStyle="1" w:styleId="Nadpis8Char">
    <w:name w:val="Nadpis 8 Char"/>
    <w:basedOn w:val="Standardnpsmoodstavce"/>
    <w:uiPriority w:val="7"/>
    <w:rsid w:val="00243636"/>
    <w:rPr>
      <w:rFonts w:eastAsia="Times New Roman"/>
      <w:i/>
      <w:iCs/>
      <w:sz w:val="24"/>
      <w:szCs w:val="24"/>
      <w:lang w:eastAsia="en-US"/>
    </w:rPr>
  </w:style>
  <w:style w:type="character" w:customStyle="1" w:styleId="Nadpis9Char">
    <w:name w:val="Nadpis 9 Char"/>
    <w:basedOn w:val="Standardnpsmoodstavce"/>
    <w:uiPriority w:val="7"/>
    <w:rsid w:val="00243636"/>
    <w:rPr>
      <w:rFonts w:ascii="Cambria" w:eastAsia="Times New Roman" w:hAnsi="Cambria"/>
      <w:sz w:val="24"/>
      <w:szCs w:val="22"/>
      <w:lang w:eastAsia="en-US"/>
    </w:rPr>
  </w:style>
  <w:style w:type="paragraph" w:styleId="Normlnweb">
    <w:name w:val="Normal (Web)"/>
    <w:basedOn w:val="Normln-tun"/>
    <w:link w:val="NormlnwebChar"/>
    <w:uiPriority w:val="99"/>
    <w:rsid w:val="00022391"/>
  </w:style>
  <w:style w:type="table" w:customStyle="1" w:styleId="Svtlstnovn1">
    <w:name w:val="Světlé stínování1"/>
    <w:basedOn w:val="Normlntabulka"/>
    <w:uiPriority w:val="60"/>
    <w:rsid w:val="00916D2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Revize">
    <w:name w:val="Revision"/>
    <w:hidden/>
    <w:uiPriority w:val="99"/>
    <w:semiHidden/>
    <w:rsid w:val="0099667A"/>
    <w:rPr>
      <w:rFonts w:ascii="Garamond" w:hAnsi="Garamond"/>
      <w:sz w:val="24"/>
      <w:szCs w:val="22"/>
    </w:rPr>
  </w:style>
  <w:style w:type="paragraph" w:styleId="Rozloendokumentu">
    <w:name w:val="Document Map"/>
    <w:basedOn w:val="Normln"/>
    <w:link w:val="RozloendokumentuChar"/>
    <w:rsid w:val="00F662E3"/>
    <w:pPr>
      <w:shd w:val="clear" w:color="auto" w:fill="000080"/>
    </w:pPr>
    <w:rPr>
      <w:rFonts w:ascii="Tahoma" w:hAnsi="Tahoma" w:cs="Tahoma"/>
      <w:sz w:val="20"/>
      <w:szCs w:val="20"/>
    </w:rPr>
  </w:style>
  <w:style w:type="character" w:customStyle="1" w:styleId="RozloendokumentuChar">
    <w:name w:val="Rozložení dokumentu Char"/>
    <w:basedOn w:val="Standardnpsmoodstavce"/>
    <w:link w:val="Rozloendokumentu"/>
    <w:rsid w:val="00FF4BC7"/>
    <w:rPr>
      <w:rFonts w:ascii="Tahoma" w:hAnsi="Tahoma" w:cs="Tahoma"/>
      <w:shd w:val="clear" w:color="auto" w:fill="000080"/>
      <w:lang w:eastAsia="en-US"/>
    </w:rPr>
  </w:style>
  <w:style w:type="paragraph" w:styleId="Zkladntext">
    <w:name w:val="Body Text"/>
    <w:basedOn w:val="Normln"/>
    <w:link w:val="ZkladntextChar"/>
    <w:uiPriority w:val="1"/>
    <w:unhideWhenUsed/>
    <w:rsid w:val="00A34BC8"/>
  </w:style>
  <w:style w:type="character" w:customStyle="1" w:styleId="ZkladntextChar">
    <w:name w:val="Základní text Char"/>
    <w:basedOn w:val="Standardnpsmoodstavce"/>
    <w:link w:val="Zkladntext"/>
    <w:uiPriority w:val="1"/>
    <w:rsid w:val="00A34BC8"/>
    <w:rPr>
      <w:rFonts w:ascii="Garamond" w:hAnsi="Garamond"/>
      <w:sz w:val="24"/>
      <w:szCs w:val="22"/>
      <w:lang w:eastAsia="en-US"/>
    </w:rPr>
  </w:style>
  <w:style w:type="paragraph" w:customStyle="1" w:styleId="Citace1">
    <w:name w:val="Citace1"/>
    <w:aliases w:val="Quote2,Quote_0"/>
    <w:basedOn w:val="Titulek"/>
    <w:next w:val="Normln"/>
    <w:qFormat/>
    <w:rsid w:val="00AD2EB2"/>
    <w:rPr>
      <w:b w:val="0"/>
      <w:bCs w:val="0"/>
      <w:sz w:val="20"/>
    </w:rPr>
  </w:style>
  <w:style w:type="character" w:customStyle="1" w:styleId="longtext">
    <w:name w:val="long_text"/>
    <w:basedOn w:val="Standardnpsmoodstavce"/>
    <w:rsid w:val="00D8660D"/>
  </w:style>
  <w:style w:type="character" w:customStyle="1" w:styleId="TextpoznpodarouChar1">
    <w:name w:val="Text pozn. pod čarou Char1"/>
    <w:aliases w:val="Boston 10 Char,Char Char20,Char1 Char1,Char3 Char,DNV-FT Char Char,Font: Geneva 9 Char,Footnote text Char1,Fußnotentextf Char1,Geneva 9 Char1,Poznámka Char1,Schriftart: 10 pt Char1,Schriftart: 8 pt Char1,Schriftart: 9 pt Char1"/>
    <w:basedOn w:val="Standardnpsmoodstavce"/>
    <w:link w:val="Textpoznpodarou"/>
    <w:uiPriority w:val="99"/>
    <w:qFormat/>
    <w:rsid w:val="00140ED7"/>
    <w:rPr>
      <w:rFonts w:ascii="Garamond" w:eastAsia="Times New Roman" w:hAnsi="Garamond"/>
      <w:sz w:val="18"/>
      <w:lang w:val="en-GB" w:eastAsia="cs-CZ"/>
    </w:rPr>
  </w:style>
  <w:style w:type="paragraph" w:customStyle="1" w:styleId="Odstavecseseznamem1">
    <w:name w:val="Odstavec se seznamem1"/>
    <w:basedOn w:val="Normln"/>
    <w:uiPriority w:val="34"/>
    <w:qFormat/>
    <w:rsid w:val="001F1631"/>
    <w:pPr>
      <w:numPr>
        <w:numId w:val="9"/>
      </w:numPr>
      <w:ind w:left="567" w:hanging="567"/>
      <w:contextualSpacing/>
    </w:pPr>
  </w:style>
  <w:style w:type="character" w:customStyle="1" w:styleId="Zstupntext1">
    <w:name w:val="Zástupný text1"/>
    <w:basedOn w:val="Standardnpsmoodstavce"/>
    <w:uiPriority w:val="99"/>
    <w:semiHidden/>
    <w:rsid w:val="00D8660D"/>
    <w:rPr>
      <w:color w:val="808080"/>
    </w:rPr>
  </w:style>
  <w:style w:type="paragraph" w:customStyle="1" w:styleId="Nadpisobsahu1">
    <w:name w:val="Nadpis obsahu1"/>
    <w:basedOn w:val="Nadpis1"/>
    <w:next w:val="Normln"/>
    <w:uiPriority w:val="39"/>
    <w:rsid w:val="00D8660D"/>
    <w:pPr>
      <w:outlineLvl w:val="9"/>
    </w:pPr>
  </w:style>
  <w:style w:type="paragraph" w:customStyle="1" w:styleId="Revize1">
    <w:name w:val="Revize1"/>
    <w:hidden/>
    <w:uiPriority w:val="99"/>
    <w:semiHidden/>
    <w:rsid w:val="00D8660D"/>
    <w:rPr>
      <w:rFonts w:ascii="Garamond" w:hAnsi="Garamond"/>
      <w:sz w:val="24"/>
      <w:szCs w:val="22"/>
    </w:rPr>
  </w:style>
  <w:style w:type="paragraph" w:customStyle="1" w:styleId="beznytext">
    <w:name w:val="bezny_text"/>
    <w:basedOn w:val="Normln"/>
    <w:rsid w:val="00D8660D"/>
    <w:pPr>
      <w:spacing w:before="100" w:beforeAutospacing="1" w:after="100" w:afterAutospacing="1"/>
    </w:pPr>
    <w:rPr>
      <w:rFonts w:ascii="Times New Roman" w:eastAsia="MS Mincho" w:hAnsi="Times New Roman"/>
      <w:szCs w:val="24"/>
      <w:shd w:val="clear" w:color="auto" w:fill="FFFFFF"/>
      <w:lang w:eastAsia="ja-JP"/>
    </w:rPr>
  </w:style>
  <w:style w:type="character" w:styleId="Siln">
    <w:name w:val="Strong"/>
    <w:basedOn w:val="Standardnpsmoodstavce"/>
    <w:uiPriority w:val="22"/>
    <w:qFormat/>
    <w:rsid w:val="00D90EF8"/>
    <w:rPr>
      <w:i/>
      <w:color w:val="auto"/>
      <w:sz w:val="24"/>
      <w:szCs w:val="24"/>
    </w:rPr>
  </w:style>
  <w:style w:type="paragraph" w:styleId="z-Konecformule">
    <w:name w:val="HTML Bottom of Form"/>
    <w:basedOn w:val="Normln"/>
    <w:next w:val="Normln"/>
    <w:link w:val="z-KonecformuleChar"/>
    <w:hidden/>
    <w:uiPriority w:val="99"/>
    <w:unhideWhenUsed/>
    <w:rsid w:val="00D8660D"/>
    <w:pPr>
      <w:pBdr>
        <w:top w:val="single" w:sz="6" w:space="1" w:color="auto"/>
      </w:pBdr>
      <w:jc w:val="center"/>
    </w:pPr>
    <w:rPr>
      <w:rFonts w:ascii="Arial" w:eastAsia="Times New Roman" w:hAnsi="Arial" w:cs="Arial"/>
      <w:vanish/>
      <w:sz w:val="16"/>
      <w:szCs w:val="16"/>
      <w:shd w:val="clear" w:color="auto" w:fill="FFFFFF"/>
      <w:lang w:val="en-US"/>
    </w:rPr>
  </w:style>
  <w:style w:type="character" w:customStyle="1" w:styleId="z-KonecformuleChar">
    <w:name w:val="z-Konec formuláře Char"/>
    <w:basedOn w:val="Standardnpsmoodstavce"/>
    <w:link w:val="z-Konecformule"/>
    <w:uiPriority w:val="99"/>
    <w:rsid w:val="00D8660D"/>
    <w:rPr>
      <w:rFonts w:ascii="Arial" w:eastAsia="Times New Roman" w:hAnsi="Arial" w:cs="Arial"/>
      <w:vanish/>
      <w:sz w:val="16"/>
      <w:szCs w:val="16"/>
      <w:lang w:val="en-US" w:eastAsia="en-US"/>
    </w:rPr>
  </w:style>
  <w:style w:type="paragraph" w:styleId="Podnadpis">
    <w:name w:val="Subtitle"/>
    <w:aliases w:val="Heading5,NADPES00"/>
    <w:basedOn w:val="Normln"/>
    <w:link w:val="PodnadpisChar"/>
    <w:uiPriority w:val="5"/>
    <w:qFormat/>
    <w:rsid w:val="00D8660D"/>
    <w:pPr>
      <w:numPr>
        <w:numId w:val="2"/>
      </w:numPr>
      <w:spacing w:line="480" w:lineRule="auto"/>
    </w:pPr>
    <w:rPr>
      <w:rFonts w:ascii="AT*Switzerland" w:eastAsia="Times New Roman" w:hAnsi="AT*Switzerland"/>
      <w:b/>
      <w:szCs w:val="20"/>
      <w:shd w:val="clear" w:color="auto" w:fill="FFFFFF"/>
      <w:lang w:val="sk-SK"/>
    </w:rPr>
  </w:style>
  <w:style w:type="character" w:customStyle="1" w:styleId="PodnadpisChar">
    <w:name w:val="Podnadpis Char"/>
    <w:aliases w:val="Heading5 Char,NADPES00 Char"/>
    <w:basedOn w:val="Standardnpsmoodstavce"/>
    <w:link w:val="Podnadpis"/>
    <w:uiPriority w:val="5"/>
    <w:rsid w:val="00D8660D"/>
    <w:rPr>
      <w:rFonts w:ascii="AT*Switzerland" w:eastAsia="Times New Roman" w:hAnsi="AT*Switzerland"/>
      <w:b/>
      <w:sz w:val="24"/>
      <w:lang w:val="sk-SK"/>
    </w:rPr>
  </w:style>
  <w:style w:type="table" w:styleId="Mkatabulky">
    <w:name w:val="Table Grid"/>
    <w:aliases w:val="CV table,CV1,Deloitte"/>
    <w:basedOn w:val="Normlntabulka"/>
    <w:uiPriority w:val="39"/>
    <w:rsid w:val="00D8660D"/>
    <w:rPr>
      <w:rFonts w:ascii="Times New Roman" w:eastAsia="MS Mincho"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1">
    <w:name w:val="styl1"/>
    <w:basedOn w:val="Standardnpsmoodstavce"/>
    <w:rsid w:val="00D8660D"/>
    <w:rPr>
      <w:sz w:val="14"/>
      <w:szCs w:val="14"/>
    </w:rPr>
  </w:style>
  <w:style w:type="character" w:customStyle="1" w:styleId="longtext1">
    <w:name w:val="long_text1"/>
    <w:basedOn w:val="Standardnpsmoodstavce"/>
    <w:rsid w:val="00D8660D"/>
    <w:rPr>
      <w:sz w:val="20"/>
      <w:szCs w:val="20"/>
    </w:rPr>
  </w:style>
  <w:style w:type="paragraph" w:customStyle="1" w:styleId="poduct020301blit">
    <w:name w:val="poduct_020301_blit"/>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30">
    <w:name w:val="mt3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mt20">
    <w:name w:val="mt2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
    <w:name w:val="title4_1"/>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centermt10">
    <w:name w:val="tcenter mt10"/>
    <w:basedOn w:val="Normln"/>
    <w:rsid w:val="00D8660D"/>
    <w:pPr>
      <w:spacing w:before="100" w:beforeAutospacing="1" w:after="100" w:afterAutospacing="1"/>
      <w:jc w:val="left"/>
    </w:pPr>
    <w:rPr>
      <w:rFonts w:ascii="Times New Roman" w:eastAsia="MS Mincho" w:hAnsi="Times New Roman"/>
      <w:szCs w:val="24"/>
      <w:lang w:eastAsia="ja-JP"/>
    </w:rPr>
  </w:style>
  <w:style w:type="paragraph" w:customStyle="1" w:styleId="title41mt10">
    <w:name w:val="title4_1mt10"/>
    <w:basedOn w:val="Normln"/>
    <w:rsid w:val="00D8660D"/>
    <w:pPr>
      <w:spacing w:before="100" w:beforeAutospacing="1" w:after="100" w:afterAutospacing="1"/>
      <w:jc w:val="left"/>
    </w:pPr>
    <w:rPr>
      <w:rFonts w:ascii="Times New Roman" w:eastAsia="MS Mincho" w:hAnsi="Times New Roman"/>
      <w:szCs w:val="24"/>
      <w:lang w:eastAsia="ja-JP"/>
    </w:rPr>
  </w:style>
  <w:style w:type="character" w:customStyle="1" w:styleId="TextbublinyChar1">
    <w:name w:val="Text bubliny Char1"/>
    <w:basedOn w:val="Standardnpsmoodstavce"/>
    <w:link w:val="Textbubliny"/>
    <w:uiPriority w:val="99"/>
    <w:rsid w:val="00D8660D"/>
    <w:rPr>
      <w:rFonts w:ascii="Tahoma" w:hAnsi="Tahoma" w:cs="Tahoma"/>
      <w:sz w:val="16"/>
      <w:szCs w:val="16"/>
      <w:lang w:eastAsia="en-US"/>
    </w:rPr>
  </w:style>
  <w:style w:type="character" w:customStyle="1" w:styleId="A4">
    <w:name w:val="A4"/>
    <w:uiPriority w:val="99"/>
    <w:rsid w:val="00D8660D"/>
    <w:rPr>
      <w:rFonts w:cs="H-Helvetica"/>
      <w:color w:val="000000"/>
      <w:sz w:val="18"/>
      <w:szCs w:val="18"/>
    </w:rPr>
  </w:style>
  <w:style w:type="character" w:customStyle="1" w:styleId="Nadpis2Char1">
    <w:name w:val="Nadpis 2 Char1"/>
    <w:aliases w:val="(SubSection) Char,2 Char1,21 Char1,??? Char1,ASAPHeading 2 Char1,Attribute Heading 2 Char,Dipl2 Char1,H... Char1,Heading 2 Firm Char,Heading 2 Firm1 Char,Heading 2 Firm11 Char,Heading 2 Hidden Char,Headline 2 Char1,Ma Char,Major Char"/>
    <w:basedOn w:val="Standardnpsmoodstavce"/>
    <w:link w:val="Nadpis2"/>
    <w:rsid w:val="00FE1B21"/>
    <w:rPr>
      <w:rFonts w:ascii="Cambria" w:eastAsia="Times New Roman" w:hAnsi="Cambria"/>
      <w:b/>
      <w:bCs/>
      <w:sz w:val="26"/>
      <w:szCs w:val="26"/>
    </w:rPr>
  </w:style>
  <w:style w:type="character" w:customStyle="1" w:styleId="Nadpis1Char1">
    <w:name w:val="Nadpis 1 Char1"/>
    <w:aliases w:val="Chapter Heading Char,Dipl 1 Char1,H1 Char,I Char,II+ Char,N 1 Char1,Section Head Char,Titre§ Char,adpis 1 Char,app heading 1 Char,h1 Char,h11 Char,h111 Char,h112 Char,h113 Char,h12 Char,h121 Char,h122 Char,h123 Char,h13 Char,h131 Char"/>
    <w:basedOn w:val="Standardnpsmoodstavce"/>
    <w:link w:val="Nadpis1"/>
    <w:uiPriority w:val="9"/>
    <w:rsid w:val="006B26AF"/>
    <w:rPr>
      <w:rFonts w:ascii="Cambria" w:eastAsia="Times New Roman" w:hAnsi="Cambria"/>
      <w:b/>
      <w:bCs/>
      <w:sz w:val="28"/>
      <w:szCs w:val="28"/>
    </w:rPr>
  </w:style>
  <w:style w:type="paragraph" w:customStyle="1" w:styleId="Default">
    <w:name w:val="Default"/>
    <w:link w:val="DefaultChar"/>
    <w:rsid w:val="00D8660D"/>
    <w:pPr>
      <w:autoSpaceDE w:val="0"/>
      <w:autoSpaceDN w:val="0"/>
      <w:adjustRightInd w:val="0"/>
    </w:pPr>
    <w:rPr>
      <w:rFonts w:eastAsia="MS Mincho" w:cs="Calibri"/>
      <w:color w:val="000000"/>
      <w:sz w:val="24"/>
      <w:szCs w:val="24"/>
    </w:rPr>
  </w:style>
  <w:style w:type="paragraph" w:customStyle="1" w:styleId="pagehdr">
    <w:name w:val="pagehdr"/>
    <w:basedOn w:val="Normln"/>
    <w:rsid w:val="00D8660D"/>
    <w:pPr>
      <w:spacing w:before="100" w:beforeAutospacing="1" w:after="100" w:afterAutospacing="1"/>
      <w:jc w:val="left"/>
    </w:pPr>
    <w:rPr>
      <w:rFonts w:ascii="Arial" w:eastAsia="Times New Roman" w:hAnsi="Arial" w:cs="Arial"/>
      <w:b/>
      <w:bCs/>
      <w:color w:val="456994"/>
      <w:sz w:val="20"/>
      <w:szCs w:val="20"/>
      <w:lang w:val="en-US"/>
    </w:rPr>
  </w:style>
  <w:style w:type="character" w:customStyle="1" w:styleId="titles21">
    <w:name w:val="titles21"/>
    <w:basedOn w:val="Standardnpsmoodstavce"/>
    <w:rsid w:val="00D8660D"/>
    <w:rPr>
      <w:rFonts w:ascii="Verdana" w:hAnsi="Verdana" w:hint="default"/>
      <w:b/>
      <w:bCs/>
      <w:color w:val="073770"/>
      <w:sz w:val="15"/>
      <w:szCs w:val="15"/>
    </w:rPr>
  </w:style>
  <w:style w:type="character" w:customStyle="1" w:styleId="style341">
    <w:name w:val="style341"/>
    <w:basedOn w:val="Standardnpsmoodstavce"/>
    <w:rsid w:val="00D8660D"/>
    <w:rPr>
      <w:color w:val="006600"/>
    </w:rPr>
  </w:style>
  <w:style w:type="character" w:customStyle="1" w:styleId="style251">
    <w:name w:val="style251"/>
    <w:basedOn w:val="Standardnpsmoodstavce"/>
    <w:rsid w:val="00D8660D"/>
    <w:rPr>
      <w:b/>
      <w:bCs/>
      <w:color w:val="993300"/>
      <w:sz w:val="15"/>
      <w:szCs w:val="15"/>
    </w:rPr>
  </w:style>
  <w:style w:type="character" w:customStyle="1" w:styleId="style231">
    <w:name w:val="style231"/>
    <w:basedOn w:val="Standardnpsmoodstavce"/>
    <w:rsid w:val="00D8660D"/>
    <w:rPr>
      <w:color w:val="000000"/>
      <w:sz w:val="15"/>
      <w:szCs w:val="15"/>
    </w:rPr>
  </w:style>
  <w:style w:type="character" w:customStyle="1" w:styleId="style27">
    <w:name w:val="style27"/>
    <w:basedOn w:val="Standardnpsmoodstavce"/>
    <w:rsid w:val="00D8660D"/>
  </w:style>
  <w:style w:type="table" w:customStyle="1" w:styleId="TableGrid1">
    <w:name w:val="Table Grid1"/>
    <w:basedOn w:val="Normlntabulka"/>
    <w:next w:val="Mkatabulky"/>
    <w:uiPriority w:val="59"/>
    <w:rsid w:val="00D8660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ParagraphFontParaCharCarCharCharChar">
    <w:name w:val="Default Paragraph Font Para Char Car Char Char Char"/>
    <w:aliases w:val="Default Paragraph Font Para Char Para Char Car Car Char Char Char Char"/>
    <w:basedOn w:val="Normln"/>
    <w:rsid w:val="00D8660D"/>
    <w:pPr>
      <w:spacing w:before="0" w:after="0"/>
      <w:jc w:val="left"/>
    </w:pPr>
    <w:rPr>
      <w:rFonts w:ascii="Times New Roman" w:eastAsia="Times New Roman" w:hAnsi="Times New Roman"/>
      <w:sz w:val="20"/>
      <w:szCs w:val="20"/>
      <w:lang w:val="en-US"/>
    </w:rPr>
  </w:style>
  <w:style w:type="paragraph" w:styleId="Bezmezer">
    <w:name w:val="No Spacing"/>
    <w:aliases w:val="podtrženo"/>
    <w:link w:val="BezmezerChar"/>
    <w:uiPriority w:val="1"/>
    <w:qFormat/>
    <w:rsid w:val="00AB189A"/>
    <w:pPr>
      <w:jc w:val="both"/>
    </w:pPr>
    <w:rPr>
      <w:rFonts w:ascii="Garamond" w:hAnsi="Garamond"/>
      <w:sz w:val="24"/>
      <w:szCs w:val="22"/>
    </w:rPr>
  </w:style>
  <w:style w:type="character" w:styleId="slostrnky">
    <w:name w:val="page number"/>
    <w:basedOn w:val="Standardnpsmoodstavce"/>
    <w:rsid w:val="003C606D"/>
  </w:style>
  <w:style w:type="paragraph" w:customStyle="1" w:styleId="nadp">
    <w:name w:val="nadp"/>
    <w:basedOn w:val="Zkladntext"/>
    <w:rsid w:val="003C606D"/>
  </w:style>
  <w:style w:type="paragraph" w:customStyle="1" w:styleId="text">
    <w:name w:val="text"/>
    <w:basedOn w:val="Normln"/>
    <w:uiPriority w:val="99"/>
    <w:rsid w:val="003C606D"/>
    <w:pPr>
      <w:spacing w:before="100" w:beforeAutospacing="1" w:after="100" w:afterAutospacing="1"/>
    </w:pPr>
    <w:rPr>
      <w:rFonts w:ascii="Verdana" w:eastAsia="Arial Unicode MS" w:hAnsi="Verdana" w:cs="Arial Unicode MS"/>
      <w:color w:val="000000"/>
      <w:sz w:val="22"/>
      <w:lang w:eastAsia="cs-CZ"/>
    </w:rPr>
  </w:style>
  <w:style w:type="paragraph" w:customStyle="1" w:styleId="textleft">
    <w:name w:val="text_left"/>
    <w:basedOn w:val="Normln"/>
    <w:rsid w:val="003C606D"/>
    <w:pPr>
      <w:spacing w:before="100" w:beforeAutospacing="1" w:after="100" w:afterAutospacing="1"/>
      <w:textAlignment w:val="top"/>
    </w:pPr>
    <w:rPr>
      <w:rFonts w:ascii="Verdana" w:eastAsia="Arial Unicode MS" w:hAnsi="Verdana" w:cs="Arial Unicode MS"/>
      <w:color w:val="000000"/>
      <w:sz w:val="20"/>
      <w:szCs w:val="20"/>
      <w:lang w:eastAsia="cs-CZ"/>
    </w:rPr>
  </w:style>
  <w:style w:type="paragraph" w:styleId="Zkladntext2">
    <w:name w:val="Body Text 2"/>
    <w:basedOn w:val="Normln"/>
    <w:link w:val="Zkladntext2Char"/>
    <w:rsid w:val="003C606D"/>
    <w:rPr>
      <w:rFonts w:ascii="Arial" w:eastAsia="Times New Roman" w:hAnsi="Arial" w:cs="Arial"/>
      <w:sz w:val="20"/>
      <w:szCs w:val="24"/>
      <w:lang w:val="en-US" w:eastAsia="cs-CZ"/>
    </w:rPr>
  </w:style>
  <w:style w:type="character" w:customStyle="1" w:styleId="Zkladntext2Char">
    <w:name w:val="Základní text 2 Char"/>
    <w:basedOn w:val="Standardnpsmoodstavce"/>
    <w:link w:val="Zkladntext2"/>
    <w:rsid w:val="003C606D"/>
    <w:rPr>
      <w:rFonts w:ascii="Arial" w:eastAsia="Times New Roman" w:hAnsi="Arial" w:cs="Arial"/>
      <w:szCs w:val="24"/>
      <w:lang w:eastAsia="cs-CZ"/>
    </w:rPr>
  </w:style>
  <w:style w:type="paragraph" w:customStyle="1" w:styleId="04dot">
    <w:name w:val="04 dot"/>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
    <w:name w:val="Nadpis 2;Heading 2 Firm;Heading 2 Firm1"/>
    <w:basedOn w:val="Normln"/>
    <w:rsid w:val="003C606D"/>
    <w:pPr>
      <w:spacing w:before="0"/>
    </w:pPr>
    <w:rPr>
      <w:rFonts w:ascii="Times New Roman" w:eastAsia="Times New Roman" w:hAnsi="Times New Roman"/>
      <w:sz w:val="20"/>
      <w:szCs w:val="20"/>
      <w:lang w:eastAsia="cs-CZ"/>
    </w:rPr>
  </w:style>
  <w:style w:type="paragraph" w:customStyle="1" w:styleId="normalodsazene">
    <w:name w:val="normalodsazene"/>
    <w:basedOn w:val="Normln"/>
    <w:rsid w:val="003C606D"/>
    <w:pPr>
      <w:spacing w:before="100" w:beforeAutospacing="1" w:after="100" w:afterAutospacing="1"/>
      <w:ind w:firstLine="480"/>
    </w:pPr>
    <w:rPr>
      <w:rFonts w:ascii="MS Sans Serif" w:eastAsia="Times New Roman" w:hAnsi="MS Sans Serif"/>
      <w:snapToGrid w:val="0"/>
      <w:color w:val="343434"/>
      <w:sz w:val="15"/>
      <w:szCs w:val="15"/>
      <w:lang w:eastAsia="cs-CZ"/>
    </w:rPr>
  </w:style>
  <w:style w:type="paragraph" w:customStyle="1" w:styleId="pskom">
    <w:name w:val="pskom"/>
    <w:basedOn w:val="Normln"/>
    <w:rsid w:val="003C606D"/>
    <w:pPr>
      <w:spacing w:before="100" w:beforeAutospacing="1" w:after="100" w:afterAutospacing="1"/>
    </w:pPr>
    <w:rPr>
      <w:rFonts w:ascii="Verdana" w:eastAsia="Times New Roman" w:hAnsi="Verdana"/>
      <w:i/>
      <w:iCs/>
      <w:snapToGrid w:val="0"/>
      <w:color w:val="343434"/>
      <w:szCs w:val="24"/>
      <w:lang w:eastAsia="cs-CZ"/>
    </w:rPr>
  </w:style>
  <w:style w:type="paragraph" w:customStyle="1" w:styleId="Textbodu">
    <w:name w:val="Text bodu"/>
    <w:basedOn w:val="Normln"/>
    <w:rsid w:val="003C606D"/>
    <w:pPr>
      <w:numPr>
        <w:ilvl w:val="2"/>
        <w:numId w:val="3"/>
      </w:numPr>
      <w:spacing w:before="0"/>
      <w:outlineLvl w:val="8"/>
    </w:pPr>
    <w:rPr>
      <w:rFonts w:ascii="Times New Roman" w:eastAsia="Times New Roman" w:hAnsi="Times New Roman"/>
      <w:szCs w:val="20"/>
      <w:lang w:eastAsia="cs-CZ"/>
    </w:rPr>
  </w:style>
  <w:style w:type="paragraph" w:customStyle="1" w:styleId="Textpsmene">
    <w:name w:val="Text písmene"/>
    <w:basedOn w:val="Normln"/>
    <w:uiPriority w:val="99"/>
    <w:rsid w:val="003C606D"/>
    <w:pPr>
      <w:numPr>
        <w:ilvl w:val="1"/>
        <w:numId w:val="3"/>
      </w:numPr>
      <w:spacing w:before="0"/>
      <w:outlineLvl w:val="7"/>
    </w:pPr>
    <w:rPr>
      <w:rFonts w:ascii="Times New Roman" w:eastAsia="Times New Roman" w:hAnsi="Times New Roman"/>
      <w:szCs w:val="20"/>
      <w:lang w:eastAsia="cs-CZ"/>
    </w:rPr>
  </w:style>
  <w:style w:type="paragraph" w:customStyle="1" w:styleId="Textodstavce">
    <w:name w:val="Text odstavce"/>
    <w:basedOn w:val="Normln"/>
    <w:uiPriority w:val="99"/>
    <w:rsid w:val="003C606D"/>
    <w:pPr>
      <w:numPr>
        <w:numId w:val="3"/>
      </w:numPr>
      <w:tabs>
        <w:tab w:val="left" w:pos="851"/>
      </w:tabs>
      <w:outlineLvl w:val="6"/>
    </w:pPr>
    <w:rPr>
      <w:rFonts w:ascii="Times New Roman" w:eastAsia="Times New Roman" w:hAnsi="Times New Roman"/>
      <w:szCs w:val="20"/>
      <w:lang w:eastAsia="cs-CZ"/>
    </w:rPr>
  </w:style>
  <w:style w:type="paragraph" w:customStyle="1" w:styleId="Nadpis-11">
    <w:name w:val="Nadpis-1.1"/>
    <w:basedOn w:val="Normln"/>
    <w:rsid w:val="003C606D"/>
    <w:pPr>
      <w:keepNext/>
      <w:numPr>
        <w:ilvl w:val="1"/>
        <w:numId w:val="4"/>
      </w:numPr>
      <w:spacing w:before="360"/>
    </w:pPr>
    <w:rPr>
      <w:rFonts w:ascii="Times New Roman" w:eastAsia="Times New Roman" w:hAnsi="Times New Roman"/>
      <w:b/>
      <w:szCs w:val="24"/>
      <w:lang w:eastAsia="cs-CZ"/>
    </w:rPr>
  </w:style>
  <w:style w:type="paragraph" w:customStyle="1" w:styleId="StylTunZarovnatdoblokuPed6b">
    <w:name w:val="Styl Tučné Zarovnat do bloku Před:  6 b."/>
    <w:basedOn w:val="Normln"/>
    <w:rsid w:val="003C606D"/>
    <w:rPr>
      <w:rFonts w:ascii="Times New Roman" w:eastAsia="Times New Roman" w:hAnsi="Times New Roman"/>
      <w:b/>
      <w:bCs/>
      <w:szCs w:val="20"/>
      <w:u w:val="single"/>
      <w:lang w:eastAsia="cs-CZ"/>
    </w:rPr>
  </w:style>
  <w:style w:type="paragraph" w:customStyle="1" w:styleId="StylTunKurzvaZarovnatdoblokuPed6b">
    <w:name w:val="Styl Tučné Kurzíva Zarovnat do bloku Před:  6 b."/>
    <w:basedOn w:val="Normln"/>
    <w:rsid w:val="003C606D"/>
    <w:rPr>
      <w:rFonts w:ascii="Times New Roman" w:eastAsia="Times New Roman" w:hAnsi="Times New Roman"/>
      <w:bCs/>
      <w:i/>
      <w:iCs/>
      <w:szCs w:val="20"/>
      <w:u w:val="single"/>
      <w:lang w:eastAsia="cs-CZ"/>
    </w:rPr>
  </w:style>
  <w:style w:type="paragraph" w:customStyle="1" w:styleId="poznamkadole">
    <w:name w:val="poznamkadole"/>
    <w:basedOn w:val="Normln"/>
    <w:rsid w:val="003C606D"/>
    <w:pPr>
      <w:spacing w:before="100" w:beforeAutospacing="1" w:after="100" w:afterAutospacing="1"/>
    </w:pPr>
    <w:rPr>
      <w:rFonts w:ascii="Arial Unicode MS" w:eastAsia="Arial Unicode MS" w:hAnsi="Arial Unicode MS" w:cs="Arial Unicode MS"/>
      <w:sz w:val="17"/>
      <w:szCs w:val="17"/>
      <w:lang w:eastAsia="cs-CZ"/>
    </w:rPr>
  </w:style>
  <w:style w:type="paragraph" w:styleId="Datum">
    <w:name w:val="Date"/>
    <w:basedOn w:val="Normln"/>
    <w:link w:val="DatumChar"/>
    <w:uiPriority w:val="31"/>
    <w:rsid w:val="003C606D"/>
    <w:pPr>
      <w:spacing w:before="100" w:beforeAutospacing="1" w:after="100" w:afterAutospacing="1"/>
    </w:pPr>
    <w:rPr>
      <w:rFonts w:ascii="Arial Unicode MS" w:eastAsia="Arial Unicode MS" w:hAnsi="Arial Unicode MS" w:cs="Arial Unicode MS"/>
      <w:szCs w:val="24"/>
      <w:lang w:eastAsia="cs-CZ"/>
    </w:rPr>
  </w:style>
  <w:style w:type="character" w:customStyle="1" w:styleId="DatumChar">
    <w:name w:val="Datum Char"/>
    <w:basedOn w:val="Standardnpsmoodstavce"/>
    <w:link w:val="Datum"/>
    <w:uiPriority w:val="31"/>
    <w:rsid w:val="003C606D"/>
    <w:rPr>
      <w:rFonts w:ascii="Arial Unicode MS" w:eastAsia="Arial Unicode MS" w:hAnsi="Arial Unicode MS" w:cs="Arial Unicode MS"/>
      <w:sz w:val="24"/>
      <w:szCs w:val="24"/>
      <w:lang w:val="en-GB" w:eastAsia="cs-CZ"/>
    </w:rPr>
  </w:style>
  <w:style w:type="paragraph" w:customStyle="1" w:styleId="perex">
    <w:name w:val="perex"/>
    <w:basedOn w:val="Normln"/>
    <w:rsid w:val="003C606D"/>
    <w:pPr>
      <w:spacing w:before="100" w:beforeAutospacing="1" w:after="100" w:afterAutospacing="1"/>
    </w:pPr>
    <w:rPr>
      <w:rFonts w:ascii="Arial Unicode MS" w:eastAsia="Arial Unicode MS" w:hAnsi="Arial Unicode MS" w:cs="Arial Unicode MS"/>
      <w:szCs w:val="24"/>
      <w:lang w:eastAsia="cs-CZ"/>
    </w:rPr>
  </w:style>
  <w:style w:type="paragraph" w:customStyle="1" w:styleId="tdhlavickal">
    <w:name w:val="tdhlavickal"/>
    <w:basedOn w:val="Normln"/>
    <w:rsid w:val="003C606D"/>
    <w:pPr>
      <w:spacing w:before="100" w:beforeAutospacing="1" w:after="100" w:afterAutospacing="1"/>
    </w:pPr>
    <w:rPr>
      <w:rFonts w:ascii="Arial Unicode MS" w:eastAsia="Arial Unicode MS" w:hAnsi="Arial Unicode MS" w:cs="Arial Unicode MS"/>
      <w:b/>
      <w:bCs/>
      <w:sz w:val="18"/>
      <w:szCs w:val="18"/>
      <w:lang w:eastAsia="cs-CZ"/>
    </w:rPr>
  </w:style>
  <w:style w:type="paragraph" w:customStyle="1" w:styleId="tdhlavickat">
    <w:name w:val="tdhlavickat"/>
    <w:basedOn w:val="Normln"/>
    <w:rsid w:val="003C606D"/>
    <w:pPr>
      <w:shd w:val="clear" w:color="auto" w:fill="999999"/>
      <w:spacing w:before="100" w:beforeAutospacing="1" w:after="100" w:afterAutospacing="1"/>
      <w:jc w:val="center"/>
    </w:pPr>
    <w:rPr>
      <w:rFonts w:ascii="Arial Unicode MS" w:eastAsia="Arial Unicode MS" w:hAnsi="Arial Unicode MS" w:cs="Arial Unicode MS"/>
      <w:b/>
      <w:bCs/>
      <w:sz w:val="18"/>
      <w:szCs w:val="18"/>
      <w:lang w:eastAsia="cs-CZ"/>
    </w:rPr>
  </w:style>
  <w:style w:type="paragraph" w:customStyle="1" w:styleId="textnorm">
    <w:name w:val="textnorm"/>
    <w:basedOn w:val="Normln"/>
    <w:rsid w:val="003C606D"/>
    <w:pPr>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radektmava">
    <w:name w:val="radektmava"/>
    <w:basedOn w:val="Normln"/>
    <w:rsid w:val="003C606D"/>
    <w:pPr>
      <w:shd w:val="clear" w:color="auto" w:fill="CCCCCC"/>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dzluta">
    <w:name w:val="tdzluta"/>
    <w:basedOn w:val="Normln"/>
    <w:rsid w:val="003C606D"/>
    <w:pPr>
      <w:shd w:val="clear" w:color="auto" w:fill="FFFF00"/>
      <w:spacing w:before="100" w:beforeAutospacing="1" w:after="100" w:afterAutospacing="1"/>
    </w:pPr>
    <w:rPr>
      <w:rFonts w:ascii="Arial Unicode MS" w:eastAsia="Arial Unicode MS" w:hAnsi="Arial Unicode MS" w:cs="Arial Unicode MS"/>
      <w:sz w:val="18"/>
      <w:szCs w:val="18"/>
      <w:lang w:eastAsia="cs-CZ"/>
    </w:rPr>
  </w:style>
  <w:style w:type="paragraph" w:customStyle="1" w:styleId="textcervena">
    <w:name w:val="textcervena"/>
    <w:basedOn w:val="Normln"/>
    <w:rsid w:val="003C606D"/>
    <w:pPr>
      <w:spacing w:before="100" w:beforeAutospacing="1" w:after="100" w:afterAutospacing="1"/>
    </w:pPr>
    <w:rPr>
      <w:rFonts w:ascii="Arial Unicode MS" w:eastAsia="Arial Unicode MS" w:hAnsi="Arial Unicode MS" w:cs="Arial Unicode MS"/>
      <w:color w:val="FF0000"/>
      <w:sz w:val="18"/>
      <w:szCs w:val="18"/>
      <w:lang w:eastAsia="cs-CZ"/>
    </w:rPr>
  </w:style>
  <w:style w:type="paragraph" w:customStyle="1" w:styleId="poznamkanahore">
    <w:name w:val="poznamkanahore"/>
    <w:basedOn w:val="Normln"/>
    <w:rsid w:val="003C606D"/>
    <w:pPr>
      <w:spacing w:before="100" w:beforeAutospacing="1" w:after="100" w:afterAutospacing="1"/>
    </w:pPr>
    <w:rPr>
      <w:rFonts w:ascii="Arial Unicode MS" w:eastAsia="Arial Unicode MS" w:hAnsi="Arial Unicode MS" w:cs="Arial Unicode MS"/>
      <w:i/>
      <w:iCs/>
      <w:sz w:val="18"/>
      <w:szCs w:val="18"/>
      <w:lang w:eastAsia="cs-CZ"/>
    </w:rPr>
  </w:style>
  <w:style w:type="paragraph" w:customStyle="1" w:styleId="index">
    <w:name w:val="index"/>
    <w:basedOn w:val="Normln"/>
    <w:rsid w:val="003C606D"/>
    <w:pPr>
      <w:spacing w:before="100" w:beforeAutospacing="1" w:after="100" w:afterAutospacing="1"/>
    </w:pPr>
    <w:rPr>
      <w:rFonts w:ascii="Arial Unicode MS" w:eastAsia="Arial Unicode MS" w:hAnsi="Arial Unicode MS" w:cs="Arial Unicode MS"/>
      <w:sz w:val="21"/>
      <w:szCs w:val="21"/>
      <w:lang w:eastAsia="cs-CZ"/>
    </w:rPr>
  </w:style>
  <w:style w:type="paragraph" w:customStyle="1" w:styleId="navigace">
    <w:name w:val="navigace"/>
    <w:basedOn w:val="Normln"/>
    <w:rsid w:val="003C606D"/>
    <w:pPr>
      <w:spacing w:before="100" w:beforeAutospacing="1" w:after="100" w:afterAutospacing="1"/>
      <w:jc w:val="right"/>
    </w:pPr>
    <w:rPr>
      <w:rFonts w:ascii="Arial Unicode MS" w:eastAsia="Arial Unicode MS" w:hAnsi="Arial Unicode MS" w:cs="Arial Unicode MS"/>
      <w:b/>
      <w:bCs/>
      <w:sz w:val="17"/>
      <w:szCs w:val="17"/>
      <w:lang w:eastAsia="cs-CZ"/>
    </w:rPr>
  </w:style>
  <w:style w:type="paragraph" w:customStyle="1" w:styleId="textcerny">
    <w:name w:val="text_cerny"/>
    <w:basedOn w:val="Normln"/>
    <w:rsid w:val="003C606D"/>
    <w:pPr>
      <w:spacing w:before="100" w:beforeAutospacing="1" w:after="100" w:afterAutospacing="1"/>
    </w:pPr>
    <w:rPr>
      <w:rFonts w:ascii="Verdana" w:eastAsia="Arial Unicode MS" w:hAnsi="Verdana" w:cs="Arial Unicode MS"/>
      <w:color w:val="000000"/>
      <w:sz w:val="17"/>
      <w:szCs w:val="17"/>
      <w:lang w:eastAsia="cs-CZ"/>
    </w:rPr>
  </w:style>
  <w:style w:type="character" w:customStyle="1" w:styleId="a">
    <w:name w:val="a"/>
    <w:basedOn w:val="Standardnpsmoodstavce"/>
    <w:rsid w:val="003C606D"/>
  </w:style>
  <w:style w:type="character" w:customStyle="1" w:styleId="bbtext">
    <w:name w:val="bbtext"/>
    <w:basedOn w:val="Standardnpsmoodstavce"/>
    <w:rsid w:val="003C606D"/>
  </w:style>
  <w:style w:type="paragraph" w:customStyle="1" w:styleId="Normlntun">
    <w:name w:val="Normální tučný"/>
    <w:basedOn w:val="Normln"/>
    <w:rsid w:val="003C606D"/>
    <w:pPr>
      <w:widowControl w:val="0"/>
    </w:pPr>
    <w:rPr>
      <w:rFonts w:ascii="Times New Roman" w:eastAsia="Times New Roman" w:hAnsi="Times New Roman"/>
      <w:b/>
      <w:bCs/>
      <w:sz w:val="20"/>
      <w:szCs w:val="20"/>
      <w:lang w:val="en-US" w:eastAsia="cs-CZ"/>
    </w:rPr>
  </w:style>
  <w:style w:type="paragraph" w:customStyle="1" w:styleId="Normlnkurzva">
    <w:name w:val="Normální kurzíva"/>
    <w:basedOn w:val="Normln"/>
    <w:rsid w:val="003C606D"/>
    <w:rPr>
      <w:rFonts w:ascii="Times New Roman" w:eastAsia="Times New Roman" w:hAnsi="Times New Roman"/>
      <w:i/>
      <w:iCs/>
      <w:sz w:val="20"/>
      <w:szCs w:val="20"/>
      <w:lang w:eastAsia="cs-CZ"/>
    </w:rPr>
  </w:style>
  <w:style w:type="paragraph" w:customStyle="1" w:styleId="Source">
    <w:name w:val="Source"/>
    <w:basedOn w:val="Normln"/>
    <w:link w:val="SourceCar"/>
    <w:qFormat/>
    <w:rsid w:val="003C606D"/>
    <w:rPr>
      <w:rFonts w:ascii="Times New Roman" w:eastAsia="Times New Roman" w:hAnsi="Times New Roman"/>
      <w:sz w:val="16"/>
      <w:szCs w:val="20"/>
      <w:lang w:eastAsia="cs-CZ"/>
    </w:rPr>
  </w:style>
  <w:style w:type="paragraph" w:styleId="Zkladntextodsazen">
    <w:name w:val="Body Text Indent"/>
    <w:basedOn w:val="Normln"/>
    <w:link w:val="ZkladntextodsazenChar"/>
    <w:uiPriority w:val="1"/>
    <w:rsid w:val="003C606D"/>
    <w:pPr>
      <w:spacing w:before="0"/>
      <w:ind w:left="4248" w:hanging="4245"/>
    </w:pPr>
    <w:rPr>
      <w:rFonts w:ascii="Arial" w:eastAsia="Times New Roman" w:hAnsi="Arial" w:cs="Arial"/>
      <w:sz w:val="20"/>
      <w:szCs w:val="24"/>
      <w:lang w:eastAsia="cs-CZ"/>
    </w:rPr>
  </w:style>
  <w:style w:type="character" w:customStyle="1" w:styleId="ZkladntextodsazenChar">
    <w:name w:val="Základní text odsazený Char"/>
    <w:basedOn w:val="Standardnpsmoodstavce"/>
    <w:link w:val="Zkladntextodsazen"/>
    <w:uiPriority w:val="1"/>
    <w:rsid w:val="003C606D"/>
    <w:rPr>
      <w:rFonts w:ascii="Arial" w:eastAsia="Times New Roman" w:hAnsi="Arial" w:cs="Arial"/>
      <w:szCs w:val="24"/>
      <w:lang w:val="cs-CZ" w:eastAsia="cs-CZ"/>
    </w:rPr>
  </w:style>
  <w:style w:type="paragraph" w:customStyle="1" w:styleId="Normlnsmezerou">
    <w:name w:val="Normální s mezerou"/>
    <w:basedOn w:val="Normln"/>
    <w:rsid w:val="003C606D"/>
    <w:pPr>
      <w:widowControl w:val="0"/>
      <w:autoSpaceDE w:val="0"/>
      <w:autoSpaceDN w:val="0"/>
      <w:adjustRightInd w:val="0"/>
      <w:spacing w:before="60" w:after="60"/>
      <w:ind w:firstLine="709"/>
    </w:pPr>
    <w:rPr>
      <w:rFonts w:ascii="Arial" w:eastAsia="Times New Roman" w:hAnsi="Arial" w:cs="Arial"/>
      <w:szCs w:val="24"/>
      <w:lang w:eastAsia="cs-CZ"/>
    </w:rPr>
  </w:style>
  <w:style w:type="paragraph" w:styleId="Zkladntextodsazen3">
    <w:name w:val="Body Text Indent 3"/>
    <w:basedOn w:val="Normln"/>
    <w:link w:val="Zkladntextodsazen3Char"/>
    <w:rsid w:val="003C606D"/>
    <w:pPr>
      <w:spacing w:before="0"/>
      <w:ind w:left="60"/>
    </w:pPr>
    <w:rPr>
      <w:rFonts w:ascii="Times New Roman" w:eastAsia="Times New Roman" w:hAnsi="Times New Roman"/>
      <w:sz w:val="22"/>
      <w:szCs w:val="20"/>
      <w:lang w:val="en-US" w:eastAsia="cs-CZ"/>
    </w:rPr>
  </w:style>
  <w:style w:type="character" w:customStyle="1" w:styleId="Zkladntextodsazen3Char">
    <w:name w:val="Základní text odsazený 3 Char"/>
    <w:basedOn w:val="Standardnpsmoodstavce"/>
    <w:link w:val="Zkladntextodsazen3"/>
    <w:rsid w:val="003C606D"/>
    <w:rPr>
      <w:rFonts w:ascii="Times New Roman" w:eastAsia="Times New Roman" w:hAnsi="Times New Roman"/>
      <w:sz w:val="22"/>
      <w:lang w:eastAsia="cs-CZ"/>
    </w:rPr>
  </w:style>
  <w:style w:type="paragraph" w:customStyle="1" w:styleId="Nadpes">
    <w:name w:val="Nadpes"/>
    <w:basedOn w:val="Nadpis2"/>
    <w:rsid w:val="003C606D"/>
    <w:pPr>
      <w:widowControl w:val="0"/>
      <w:numPr>
        <w:ilvl w:val="0"/>
        <w:numId w:val="5"/>
      </w:numPr>
      <w:tabs>
        <w:tab w:val="center" w:pos="1134"/>
      </w:tabs>
      <w:autoSpaceDE w:val="0"/>
      <w:autoSpaceDN w:val="0"/>
      <w:adjustRightInd w:val="0"/>
      <w:spacing w:before="360"/>
    </w:pPr>
    <w:rPr>
      <w:rFonts w:ascii="Times New Roman" w:hAnsi="Times New Roman"/>
      <w:color w:val="808000"/>
      <w:sz w:val="28"/>
      <w:szCs w:val="24"/>
      <w:lang w:val="en-US" w:eastAsia="cs-CZ"/>
    </w:rPr>
  </w:style>
  <w:style w:type="paragraph" w:customStyle="1" w:styleId="Nadpepes">
    <w:name w:val="Nadpepes"/>
    <w:basedOn w:val="Nadpis2"/>
    <w:rsid w:val="003C606D"/>
    <w:pPr>
      <w:widowControl w:val="0"/>
      <w:numPr>
        <w:numId w:val="5"/>
      </w:numPr>
      <w:tabs>
        <w:tab w:val="center" w:pos="1134"/>
      </w:tabs>
      <w:autoSpaceDE w:val="0"/>
      <w:autoSpaceDN w:val="0"/>
      <w:adjustRightInd w:val="0"/>
      <w:spacing w:before="360"/>
    </w:pPr>
    <w:rPr>
      <w:rFonts w:ascii="Times New Roman" w:hAnsi="Times New Roman"/>
      <w:i/>
      <w:iCs/>
      <w:color w:val="808000"/>
      <w:szCs w:val="24"/>
      <w:lang w:val="en-US" w:eastAsia="cs-CZ"/>
    </w:rPr>
  </w:style>
  <w:style w:type="paragraph" w:customStyle="1" w:styleId="Nadpepepes">
    <w:name w:val="Nadpepepes"/>
    <w:basedOn w:val="Nadpis4"/>
    <w:rsid w:val="003C606D"/>
    <w:pPr>
      <w:keepLines w:val="0"/>
      <w:numPr>
        <w:ilvl w:val="2"/>
        <w:numId w:val="5"/>
      </w:numPr>
      <w:tabs>
        <w:tab w:val="center" w:pos="4536"/>
        <w:tab w:val="left" w:pos="8306"/>
        <w:tab w:val="right" w:pos="10206"/>
      </w:tabs>
      <w:spacing w:before="240"/>
    </w:pPr>
    <w:rPr>
      <w:rFonts w:ascii="Times New Roman" w:hAnsi="Times New Roman"/>
      <w:i w:val="0"/>
      <w:iCs w:val="0"/>
      <w:color w:val="808000"/>
      <w:szCs w:val="20"/>
      <w:lang w:val="en-US" w:eastAsia="cs-CZ"/>
    </w:rPr>
  </w:style>
  <w:style w:type="paragraph" w:customStyle="1" w:styleId="Pedmtkomente1">
    <w:name w:val="Předmět komentáře1"/>
    <w:basedOn w:val="Textkomente"/>
    <w:next w:val="Textkomente"/>
    <w:semiHidden/>
    <w:rsid w:val="003C606D"/>
    <w:pPr>
      <w:spacing w:before="0" w:after="0"/>
      <w:jc w:val="left"/>
    </w:pPr>
    <w:rPr>
      <w:rFonts w:ascii="Times New Roman" w:eastAsia="Times New Roman" w:hAnsi="Times New Roman"/>
      <w:b/>
      <w:bCs/>
      <w:lang w:val="en-US"/>
    </w:rPr>
  </w:style>
  <w:style w:type="paragraph" w:customStyle="1" w:styleId="Textbubliny1">
    <w:name w:val="Text bubliny1"/>
    <w:basedOn w:val="Normln"/>
    <w:semiHidden/>
    <w:rsid w:val="003C606D"/>
    <w:pPr>
      <w:spacing w:before="0" w:after="0"/>
      <w:jc w:val="left"/>
    </w:pPr>
    <w:rPr>
      <w:rFonts w:ascii="Tahoma" w:eastAsia="Times New Roman" w:hAnsi="Tahoma" w:cs="Tahoma"/>
      <w:sz w:val="16"/>
      <w:szCs w:val="16"/>
      <w:lang w:val="en-US"/>
    </w:rPr>
  </w:style>
  <w:style w:type="paragraph" w:styleId="Obsah4">
    <w:name w:val="toc 4"/>
    <w:basedOn w:val="Normln"/>
    <w:next w:val="Normln"/>
    <w:autoRedefine/>
    <w:uiPriority w:val="39"/>
    <w:rsid w:val="003C606D"/>
    <w:pPr>
      <w:spacing w:before="0" w:after="0"/>
      <w:ind w:left="720"/>
      <w:jc w:val="left"/>
    </w:pPr>
    <w:rPr>
      <w:rFonts w:asciiTheme="minorHAnsi" w:hAnsiTheme="minorHAnsi"/>
      <w:sz w:val="18"/>
      <w:szCs w:val="18"/>
    </w:rPr>
  </w:style>
  <w:style w:type="paragraph" w:styleId="Obsah5">
    <w:name w:val="toc 5"/>
    <w:basedOn w:val="Normln"/>
    <w:next w:val="Normln"/>
    <w:autoRedefine/>
    <w:uiPriority w:val="39"/>
    <w:rsid w:val="003C606D"/>
    <w:pPr>
      <w:spacing w:before="0" w:after="0"/>
      <w:ind w:left="960"/>
      <w:jc w:val="left"/>
    </w:pPr>
    <w:rPr>
      <w:rFonts w:asciiTheme="minorHAnsi" w:hAnsiTheme="minorHAnsi"/>
      <w:sz w:val="18"/>
      <w:szCs w:val="18"/>
    </w:rPr>
  </w:style>
  <w:style w:type="paragraph" w:styleId="Obsah6">
    <w:name w:val="toc 6"/>
    <w:basedOn w:val="Normln"/>
    <w:next w:val="Normln"/>
    <w:autoRedefine/>
    <w:uiPriority w:val="39"/>
    <w:rsid w:val="003C606D"/>
    <w:pPr>
      <w:spacing w:before="0" w:after="0"/>
      <w:ind w:left="1200"/>
      <w:jc w:val="left"/>
    </w:pPr>
    <w:rPr>
      <w:rFonts w:asciiTheme="minorHAnsi" w:hAnsiTheme="minorHAnsi"/>
      <w:sz w:val="18"/>
      <w:szCs w:val="18"/>
    </w:rPr>
  </w:style>
  <w:style w:type="paragraph" w:styleId="Obsah7">
    <w:name w:val="toc 7"/>
    <w:basedOn w:val="Normln"/>
    <w:next w:val="Normln"/>
    <w:autoRedefine/>
    <w:uiPriority w:val="39"/>
    <w:rsid w:val="003C606D"/>
    <w:pPr>
      <w:spacing w:before="0" w:after="0"/>
      <w:ind w:left="1440"/>
      <w:jc w:val="left"/>
    </w:pPr>
    <w:rPr>
      <w:rFonts w:asciiTheme="minorHAnsi" w:hAnsiTheme="minorHAnsi"/>
      <w:sz w:val="18"/>
      <w:szCs w:val="18"/>
    </w:rPr>
  </w:style>
  <w:style w:type="paragraph" w:styleId="Obsah8">
    <w:name w:val="toc 8"/>
    <w:basedOn w:val="Normln"/>
    <w:next w:val="Normln"/>
    <w:autoRedefine/>
    <w:uiPriority w:val="39"/>
    <w:rsid w:val="003C606D"/>
    <w:pPr>
      <w:spacing w:before="0" w:after="0"/>
      <w:ind w:left="1680"/>
      <w:jc w:val="left"/>
    </w:pPr>
    <w:rPr>
      <w:rFonts w:asciiTheme="minorHAnsi" w:hAnsiTheme="minorHAnsi"/>
      <w:sz w:val="18"/>
      <w:szCs w:val="18"/>
    </w:rPr>
  </w:style>
  <w:style w:type="paragraph" w:styleId="Obsah9">
    <w:name w:val="toc 9"/>
    <w:basedOn w:val="Normln"/>
    <w:next w:val="Normln"/>
    <w:autoRedefine/>
    <w:uiPriority w:val="39"/>
    <w:rsid w:val="003C606D"/>
    <w:pPr>
      <w:spacing w:before="0" w:after="0"/>
      <w:ind w:left="1920"/>
      <w:jc w:val="left"/>
    </w:pPr>
    <w:rPr>
      <w:rFonts w:asciiTheme="minorHAnsi" w:hAnsiTheme="minorHAnsi"/>
      <w:sz w:val="18"/>
      <w:szCs w:val="18"/>
    </w:rPr>
  </w:style>
  <w:style w:type="paragraph" w:customStyle="1" w:styleId="Nadpis2Heading2FirmHeading2Firm13">
    <w:name w:val="Nadpis 2;Heading 2 Firm;Heading 2 Firm13"/>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2">
    <w:name w:val="Nadpis 2;Heading 2 Firm;Heading 2 Firm12"/>
    <w:basedOn w:val="Normln"/>
    <w:rsid w:val="003C606D"/>
    <w:pPr>
      <w:spacing w:before="0"/>
    </w:pPr>
    <w:rPr>
      <w:rFonts w:ascii="Times New Roman" w:eastAsia="Times New Roman" w:hAnsi="Times New Roman"/>
      <w:sz w:val="20"/>
      <w:szCs w:val="20"/>
      <w:lang w:eastAsia="cs-CZ"/>
    </w:rPr>
  </w:style>
  <w:style w:type="paragraph" w:customStyle="1" w:styleId="Nadpis2Heading2FirmHeading2Firm11">
    <w:name w:val="Nadpis 2;Heading 2 Firm;Heading 2 Firm11"/>
    <w:basedOn w:val="Normln"/>
    <w:rsid w:val="003C606D"/>
    <w:pPr>
      <w:spacing w:before="0"/>
    </w:pPr>
    <w:rPr>
      <w:rFonts w:ascii="Times New Roman" w:eastAsia="Times New Roman" w:hAnsi="Times New Roman"/>
      <w:sz w:val="20"/>
      <w:szCs w:val="20"/>
      <w:lang w:eastAsia="cs-CZ"/>
    </w:rPr>
  </w:style>
  <w:style w:type="character" w:customStyle="1" w:styleId="SourceChar">
    <w:name w:val="Source Char"/>
    <w:basedOn w:val="Standardnpsmoodstavce"/>
    <w:rsid w:val="003C606D"/>
    <w:rPr>
      <w:sz w:val="16"/>
      <w:lang w:val="en-GB" w:eastAsia="cs-CZ" w:bidi="ar-SA"/>
    </w:rPr>
  </w:style>
  <w:style w:type="paragraph" w:customStyle="1" w:styleId="font5">
    <w:name w:val="font5"/>
    <w:basedOn w:val="Normln"/>
    <w:rsid w:val="003C606D"/>
    <w:pPr>
      <w:spacing w:before="100" w:beforeAutospacing="1" w:after="100" w:afterAutospacing="1"/>
      <w:jc w:val="left"/>
    </w:pPr>
    <w:rPr>
      <w:rFonts w:ascii="Tahoma" w:eastAsia="Arial Unicode MS" w:hAnsi="Tahoma" w:cs="Tahoma"/>
      <w:color w:val="000000"/>
      <w:sz w:val="16"/>
      <w:szCs w:val="16"/>
      <w:lang w:eastAsia="cs-CZ"/>
    </w:rPr>
  </w:style>
  <w:style w:type="paragraph" w:customStyle="1" w:styleId="font6">
    <w:name w:val="font6"/>
    <w:basedOn w:val="Normln"/>
    <w:rsid w:val="003C606D"/>
    <w:pPr>
      <w:spacing w:before="100" w:beforeAutospacing="1" w:after="100" w:afterAutospacing="1"/>
      <w:jc w:val="left"/>
    </w:pPr>
    <w:rPr>
      <w:rFonts w:ascii="Tahoma" w:eastAsia="Arial Unicode MS" w:hAnsi="Tahoma" w:cs="Tahoma"/>
      <w:b/>
      <w:bCs/>
      <w:color w:val="000000"/>
      <w:sz w:val="16"/>
      <w:szCs w:val="16"/>
      <w:lang w:eastAsia="cs-CZ"/>
    </w:rPr>
  </w:style>
  <w:style w:type="paragraph" w:customStyle="1" w:styleId="xl24">
    <w:name w:val="xl24"/>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25">
    <w:name w:val="xl25"/>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6">
    <w:name w:val="xl26"/>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27">
    <w:name w:val="xl27"/>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8">
    <w:name w:val="xl28"/>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29">
    <w:name w:val="xl2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0">
    <w:name w:val="xl3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1">
    <w:name w:val="xl31"/>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2">
    <w:name w:val="xl32"/>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3">
    <w:name w:val="xl33"/>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5">
    <w:name w:val="xl35"/>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36">
    <w:name w:val="xl3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7">
    <w:name w:val="xl37"/>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8">
    <w:name w:val="xl3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39">
    <w:name w:val="xl39"/>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0">
    <w:name w:val="xl40"/>
    <w:basedOn w:val="Normln"/>
    <w:rsid w:val="003C606D"/>
    <w:pPr>
      <w:pBdr>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1">
    <w:name w:val="xl41"/>
    <w:basedOn w:val="Normln"/>
    <w:rsid w:val="003C606D"/>
    <w:pPr>
      <w:spacing w:before="100" w:beforeAutospacing="1" w:after="100" w:afterAutospacing="1"/>
      <w:jc w:val="left"/>
    </w:pPr>
    <w:rPr>
      <w:rFonts w:ascii="Arial" w:eastAsia="Arial Unicode MS" w:hAnsi="Arial" w:cs="Arial Unicode MS"/>
      <w:i/>
      <w:iCs/>
      <w:szCs w:val="24"/>
      <w:lang w:eastAsia="cs-CZ"/>
    </w:rPr>
  </w:style>
  <w:style w:type="paragraph" w:customStyle="1" w:styleId="xl42">
    <w:name w:val="xl42"/>
    <w:basedOn w:val="Normln"/>
    <w:rsid w:val="003C606D"/>
    <w:pPr>
      <w:pBdr>
        <w:top w:val="single" w:sz="4"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43">
    <w:name w:val="xl43"/>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4">
    <w:name w:val="xl44"/>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5">
    <w:name w:val="xl45"/>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6">
    <w:name w:val="xl4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7">
    <w:name w:val="xl4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48">
    <w:name w:val="xl4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49">
    <w:name w:val="xl49"/>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0">
    <w:name w:val="xl50"/>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1">
    <w:name w:val="xl5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52">
    <w:name w:val="xl52"/>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3">
    <w:name w:val="xl53"/>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4">
    <w:name w:val="xl5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5">
    <w:name w:val="xl55"/>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56">
    <w:name w:val="xl56"/>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57">
    <w:name w:val="xl57"/>
    <w:basedOn w:val="Normln"/>
    <w:rsid w:val="003C606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58">
    <w:name w:val="xl58"/>
    <w:basedOn w:val="Normln"/>
    <w:rsid w:val="003C606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59">
    <w:name w:val="xl59"/>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0">
    <w:name w:val="xl60"/>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61">
    <w:name w:val="xl6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2">
    <w:name w:val="xl62"/>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3">
    <w:name w:val="xl63"/>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4">
    <w:name w:val="xl64"/>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5">
    <w:name w:val="xl65"/>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6">
    <w:name w:val="xl66"/>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7">
    <w:name w:val="xl67"/>
    <w:basedOn w:val="Normln"/>
    <w:rsid w:val="003C606D"/>
    <w:pPr>
      <w:pBdr>
        <w:top w:val="single" w:sz="4" w:space="0" w:color="auto"/>
        <w:left w:val="single" w:sz="8"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68">
    <w:name w:val="xl68"/>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69">
    <w:name w:val="xl69"/>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0">
    <w:name w:val="xl70"/>
    <w:basedOn w:val="Normln"/>
    <w:rsid w:val="003C606D"/>
    <w:pPr>
      <w:pBdr>
        <w:top w:val="single" w:sz="4" w:space="0" w:color="auto"/>
        <w:lef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1">
    <w:name w:val="xl71"/>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2">
    <w:name w:val="xl72"/>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73">
    <w:name w:val="xl73"/>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4">
    <w:name w:val="xl74"/>
    <w:basedOn w:val="Normln"/>
    <w:rsid w:val="003C606D"/>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5">
    <w:name w:val="xl75"/>
    <w:basedOn w:val="Normln"/>
    <w:rsid w:val="003C606D"/>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76">
    <w:name w:val="xl76"/>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7">
    <w:name w:val="xl7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78">
    <w:name w:val="xl78"/>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79">
    <w:name w:val="xl79"/>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0">
    <w:name w:val="xl80"/>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81">
    <w:name w:val="xl81"/>
    <w:basedOn w:val="Normln"/>
    <w:rsid w:val="003C606D"/>
    <w:pPr>
      <w:pBdr>
        <w:left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82">
    <w:name w:val="xl82"/>
    <w:basedOn w:val="Normln"/>
    <w:rsid w:val="003C606D"/>
    <w:pPr>
      <w:pBdr>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3">
    <w:name w:val="xl83"/>
    <w:basedOn w:val="Normln"/>
    <w:rsid w:val="003C606D"/>
    <w:pPr>
      <w:pBdr>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4">
    <w:name w:val="xl84"/>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5">
    <w:name w:val="xl8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86">
    <w:name w:val="xl86"/>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7">
    <w:name w:val="xl8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8">
    <w:name w:val="xl88"/>
    <w:basedOn w:val="Normln"/>
    <w:rsid w:val="003C606D"/>
    <w:pPr>
      <w:pBdr>
        <w:top w:val="single" w:sz="4"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89">
    <w:name w:val="xl89"/>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0">
    <w:name w:val="xl90"/>
    <w:basedOn w:val="Normln"/>
    <w:rsid w:val="003C606D"/>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1">
    <w:name w:val="xl91"/>
    <w:basedOn w:val="Normln"/>
    <w:rsid w:val="003C606D"/>
    <w:pPr>
      <w:pBdr>
        <w:lef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2">
    <w:name w:val="xl92"/>
    <w:basedOn w:val="Normln"/>
    <w:rsid w:val="003C606D"/>
    <w:pPr>
      <w:pBdr>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3">
    <w:name w:val="xl93"/>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4">
    <w:name w:val="xl94"/>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95">
    <w:name w:val="xl95"/>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6">
    <w:name w:val="xl96"/>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7">
    <w:name w:val="xl97"/>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98">
    <w:name w:val="xl98"/>
    <w:basedOn w:val="Normln"/>
    <w:rsid w:val="003C606D"/>
    <w:pPr>
      <w:pBdr>
        <w:top w:val="single" w:sz="8" w:space="0" w:color="auto"/>
        <w:left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99">
    <w:name w:val="xl99"/>
    <w:basedOn w:val="Normln"/>
    <w:rsid w:val="003C606D"/>
    <w:pPr>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0">
    <w:name w:val="xl100"/>
    <w:basedOn w:val="Normln"/>
    <w:rsid w:val="003C606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1">
    <w:name w:val="xl101"/>
    <w:basedOn w:val="Normln"/>
    <w:rsid w:val="003C606D"/>
    <w:pPr>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02">
    <w:name w:val="xl102"/>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3">
    <w:name w:val="xl103"/>
    <w:basedOn w:val="Normln"/>
    <w:rsid w:val="003C606D"/>
    <w:pPr>
      <w:pBdr>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4">
    <w:name w:val="xl104"/>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5">
    <w:name w:val="xl10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06">
    <w:name w:val="xl106"/>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07">
    <w:name w:val="xl107"/>
    <w:basedOn w:val="Normln"/>
    <w:rsid w:val="003C606D"/>
    <w:pPr>
      <w:pBdr>
        <w:top w:val="single" w:sz="8" w:space="0" w:color="auto"/>
        <w:left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8">
    <w:name w:val="xl108"/>
    <w:basedOn w:val="Normln"/>
    <w:rsid w:val="003C606D"/>
    <w:pPr>
      <w:pBdr>
        <w:top w:val="single" w:sz="8"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09">
    <w:name w:val="xl109"/>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0">
    <w:name w:val="xl110"/>
    <w:basedOn w:val="Normln"/>
    <w:rsid w:val="003C606D"/>
    <w:pPr>
      <w:pBdr>
        <w:top w:val="single" w:sz="8"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1">
    <w:name w:val="xl111"/>
    <w:basedOn w:val="Normln"/>
    <w:rsid w:val="003C606D"/>
    <w:pPr>
      <w:pBdr>
        <w:top w:val="single" w:sz="4" w:space="0" w:color="auto"/>
        <w:left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color w:val="FF0000"/>
      <w:szCs w:val="24"/>
      <w:lang w:eastAsia="cs-CZ"/>
    </w:rPr>
  </w:style>
  <w:style w:type="paragraph" w:customStyle="1" w:styleId="xl112">
    <w:name w:val="xl112"/>
    <w:basedOn w:val="Normln"/>
    <w:rsid w:val="003C606D"/>
    <w:pPr>
      <w:pBdr>
        <w:top w:val="single" w:sz="4" w:space="0" w:color="auto"/>
        <w:bottom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3">
    <w:name w:val="xl11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4">
    <w:name w:val="xl114"/>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5">
    <w:name w:val="xl115"/>
    <w:basedOn w:val="Normln"/>
    <w:rsid w:val="003C606D"/>
    <w:pPr>
      <w:pBdr>
        <w:top w:val="single" w:sz="4"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16">
    <w:name w:val="xl116"/>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7">
    <w:name w:val="xl117"/>
    <w:basedOn w:val="Normln"/>
    <w:rsid w:val="003C606D"/>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i/>
      <w:iCs/>
      <w:szCs w:val="24"/>
      <w:lang w:eastAsia="cs-CZ"/>
    </w:rPr>
  </w:style>
  <w:style w:type="paragraph" w:customStyle="1" w:styleId="xl118">
    <w:name w:val="xl118"/>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19">
    <w:name w:val="xl119"/>
    <w:basedOn w:val="Normln"/>
    <w:rsid w:val="003C606D"/>
    <w:pPr>
      <w:pBdr>
        <w:top w:val="single" w:sz="8" w:space="0" w:color="auto"/>
        <w:left w:val="single" w:sz="4" w:space="0" w:color="auto"/>
        <w:bottom w:val="single" w:sz="8" w:space="0" w:color="auto"/>
      </w:pBdr>
      <w:spacing w:before="100" w:beforeAutospacing="1" w:after="100" w:afterAutospacing="1"/>
      <w:jc w:val="center"/>
    </w:pPr>
    <w:rPr>
      <w:rFonts w:ascii="Arial" w:eastAsia="Arial Unicode MS" w:hAnsi="Arial" w:cs="Arial Unicode MS"/>
      <w:b/>
      <w:bCs/>
      <w:szCs w:val="24"/>
      <w:lang w:eastAsia="cs-CZ"/>
    </w:rPr>
  </w:style>
  <w:style w:type="paragraph" w:customStyle="1" w:styleId="xl120">
    <w:name w:val="xl120"/>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21">
    <w:name w:val="xl121"/>
    <w:basedOn w:val="Normln"/>
    <w:rsid w:val="003C606D"/>
    <w:pPr>
      <w:pBdr>
        <w:top w:val="single" w:sz="8"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2">
    <w:name w:val="xl122"/>
    <w:basedOn w:val="Normln"/>
    <w:rsid w:val="003C606D"/>
    <w:pPr>
      <w:pBdr>
        <w:top w:val="single" w:sz="4" w:space="0" w:color="auto"/>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23">
    <w:name w:val="xl123"/>
    <w:basedOn w:val="Normln"/>
    <w:rsid w:val="003C606D"/>
    <w:pPr>
      <w:pBdr>
        <w:top w:val="single" w:sz="4" w:space="0" w:color="auto"/>
        <w:left w:val="single" w:sz="4" w:space="0" w:color="auto"/>
        <w:bottom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4">
    <w:name w:val="xl124"/>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5">
    <w:name w:val="xl125"/>
    <w:basedOn w:val="Normln"/>
    <w:rsid w:val="003C606D"/>
    <w:pPr>
      <w:pBdr>
        <w:top w:val="single" w:sz="4" w:space="0" w:color="auto"/>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6">
    <w:name w:val="xl126"/>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7">
    <w:name w:val="xl127"/>
    <w:basedOn w:val="Normln"/>
    <w:rsid w:val="003C606D"/>
    <w:pPr>
      <w:pBdr>
        <w:top w:val="single" w:sz="4" w:space="0" w:color="auto"/>
        <w:left w:val="single" w:sz="4" w:space="0" w:color="auto"/>
        <w:bottom w:val="single" w:sz="4" w:space="0" w:color="auto"/>
      </w:pBdr>
      <w:spacing w:before="100" w:beforeAutospacing="1" w:after="100" w:afterAutospacing="1"/>
      <w:jc w:val="left"/>
    </w:pPr>
    <w:rPr>
      <w:rFonts w:ascii="Arial" w:eastAsia="Arial Unicode MS" w:hAnsi="Arial" w:cs="Arial Unicode MS"/>
      <w:szCs w:val="24"/>
      <w:lang w:eastAsia="cs-CZ"/>
    </w:rPr>
  </w:style>
  <w:style w:type="paragraph" w:customStyle="1" w:styleId="xl128">
    <w:name w:val="xl128"/>
    <w:basedOn w:val="Normln"/>
    <w:rsid w:val="003C606D"/>
    <w:pPr>
      <w:pBdr>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29">
    <w:name w:val="xl129"/>
    <w:basedOn w:val="Normln"/>
    <w:rsid w:val="003C606D"/>
    <w:pPr>
      <w:pBdr>
        <w:lef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0">
    <w:name w:val="xl130"/>
    <w:basedOn w:val="Normln"/>
    <w:rsid w:val="003C606D"/>
    <w:pPr>
      <w:pBdr>
        <w:left w:val="single" w:sz="4"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1">
    <w:name w:val="xl131"/>
    <w:basedOn w:val="Normln"/>
    <w:rsid w:val="003C606D"/>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2">
    <w:name w:val="xl132"/>
    <w:basedOn w:val="Normln"/>
    <w:rsid w:val="003C606D"/>
    <w:pPr>
      <w:pBdr>
        <w:top w:val="single" w:sz="4" w:space="0" w:color="auto"/>
        <w:left w:val="single" w:sz="4" w:space="0" w:color="auto"/>
        <w:right w:val="single" w:sz="8" w:space="0" w:color="auto"/>
      </w:pBdr>
      <w:spacing w:before="100" w:beforeAutospacing="1" w:after="100" w:afterAutospacing="1"/>
      <w:jc w:val="center"/>
    </w:pPr>
    <w:rPr>
      <w:rFonts w:ascii="Arial Unicode MS" w:eastAsia="Arial Unicode MS" w:hAnsi="Arial Unicode MS" w:cs="Arial Unicode MS"/>
      <w:szCs w:val="24"/>
      <w:lang w:eastAsia="cs-CZ"/>
    </w:rPr>
  </w:style>
  <w:style w:type="paragraph" w:customStyle="1" w:styleId="xl133">
    <w:name w:val="xl133"/>
    <w:basedOn w:val="Normln"/>
    <w:rsid w:val="003C606D"/>
    <w:pPr>
      <w:pBdr>
        <w:top w:val="single" w:sz="8"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4">
    <w:name w:val="xl134"/>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35">
    <w:name w:val="xl135"/>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36">
    <w:name w:val="xl136"/>
    <w:basedOn w:val="Normln"/>
    <w:rsid w:val="003C606D"/>
    <w:pPr>
      <w:pBdr>
        <w:top w:val="single" w:sz="8" w:space="0" w:color="auto"/>
        <w:left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7">
    <w:name w:val="xl137"/>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8">
    <w:name w:val="xl13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i/>
      <w:iCs/>
      <w:szCs w:val="24"/>
      <w:lang w:eastAsia="cs-CZ"/>
    </w:rPr>
  </w:style>
  <w:style w:type="paragraph" w:customStyle="1" w:styleId="xl139">
    <w:name w:val="xl139"/>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0">
    <w:name w:val="xl140"/>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i/>
      <w:iCs/>
      <w:szCs w:val="24"/>
      <w:lang w:eastAsia="cs-CZ"/>
    </w:rPr>
  </w:style>
  <w:style w:type="paragraph" w:customStyle="1" w:styleId="xl141">
    <w:name w:val="xl141"/>
    <w:basedOn w:val="Normln"/>
    <w:rsid w:val="003C606D"/>
    <w:pPr>
      <w:pBdr>
        <w:top w:val="single" w:sz="8" w:space="0" w:color="auto"/>
        <w:bottom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2">
    <w:name w:val="xl142"/>
    <w:basedOn w:val="Normln"/>
    <w:rsid w:val="003C606D"/>
    <w:pPr>
      <w:pBdr>
        <w:top w:val="single" w:sz="8" w:space="0" w:color="auto"/>
        <w:bottom w:val="single" w:sz="8" w:space="0" w:color="auto"/>
        <w:right w:val="single" w:sz="8" w:space="0" w:color="auto"/>
      </w:pBdr>
      <w:shd w:val="clear" w:color="auto" w:fill="808000"/>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3">
    <w:name w:val="xl143"/>
    <w:basedOn w:val="Normln"/>
    <w:rsid w:val="003C606D"/>
    <w:pPr>
      <w:pBdr>
        <w:top w:val="single" w:sz="8" w:space="0" w:color="auto"/>
        <w:left w:val="single" w:sz="8" w:space="0" w:color="auto"/>
        <w:bottom w:val="single" w:sz="8" w:space="0" w:color="auto"/>
      </w:pBdr>
      <w:shd w:val="clear" w:color="auto" w:fill="808000"/>
      <w:spacing w:before="100" w:beforeAutospacing="1" w:after="100" w:afterAutospacing="1"/>
      <w:jc w:val="left"/>
    </w:pPr>
    <w:rPr>
      <w:rFonts w:ascii="Arial" w:eastAsia="Arial Unicode MS" w:hAnsi="Arial" w:cs="Arial Unicode MS"/>
      <w:b/>
      <w:bCs/>
      <w:color w:val="FFFFFF"/>
      <w:szCs w:val="24"/>
      <w:lang w:eastAsia="cs-CZ"/>
    </w:rPr>
  </w:style>
  <w:style w:type="paragraph" w:customStyle="1" w:styleId="xl144">
    <w:name w:val="xl144"/>
    <w:basedOn w:val="Normln"/>
    <w:rsid w:val="003C606D"/>
    <w:pPr>
      <w:pBdr>
        <w:top w:val="single" w:sz="4" w:space="0" w:color="auto"/>
        <w:left w:val="single" w:sz="8"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5">
    <w:name w:val="xl145"/>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6">
    <w:name w:val="xl146"/>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7">
    <w:name w:val="xl147"/>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34">
    <w:name w:val="xl34"/>
    <w:basedOn w:val="Normln"/>
    <w:rsid w:val="003C606D"/>
    <w:pPr>
      <w:pBdr>
        <w:top w:val="single" w:sz="8" w:space="0" w:color="auto"/>
      </w:pBd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xl148">
    <w:name w:val="xl148"/>
    <w:basedOn w:val="Normln"/>
    <w:rsid w:val="003C606D"/>
    <w:pPr>
      <w:pBdr>
        <w:left w:val="single" w:sz="4" w:space="0" w:color="auto"/>
        <w:bottom w:val="single" w:sz="4" w:space="0" w:color="auto"/>
        <w:right w:val="single" w:sz="4" w:space="0" w:color="auto"/>
      </w:pBdr>
      <w:spacing w:before="100" w:beforeAutospacing="1" w:after="100" w:afterAutospacing="1"/>
      <w:jc w:val="left"/>
    </w:pPr>
    <w:rPr>
      <w:rFonts w:ascii="Arial" w:eastAsia="Arial Unicode MS" w:hAnsi="Arial" w:cs="Arial Unicode MS"/>
      <w:b/>
      <w:bCs/>
      <w:szCs w:val="24"/>
      <w:lang w:eastAsia="cs-CZ"/>
    </w:rPr>
  </w:style>
  <w:style w:type="paragraph" w:customStyle="1" w:styleId="xl149">
    <w:name w:val="xl149"/>
    <w:basedOn w:val="Normln"/>
    <w:rsid w:val="003C606D"/>
    <w:pPr>
      <w:pBdr>
        <w:left w:val="single" w:sz="4" w:space="0" w:color="auto"/>
        <w:bottom w:val="single" w:sz="4" w:space="0" w:color="auto"/>
        <w:right w:val="single" w:sz="8" w:space="0" w:color="auto"/>
      </w:pBdr>
      <w:spacing w:before="100" w:beforeAutospacing="1" w:after="100" w:afterAutospacing="1"/>
      <w:jc w:val="left"/>
    </w:pPr>
    <w:rPr>
      <w:rFonts w:ascii="Arial" w:eastAsia="Arial Unicode MS" w:hAnsi="Arial" w:cs="Arial Unicode MS"/>
      <w:b/>
      <w:bCs/>
      <w:szCs w:val="24"/>
      <w:lang w:eastAsia="cs-CZ"/>
    </w:rPr>
  </w:style>
  <w:style w:type="character" w:customStyle="1" w:styleId="cun1">
    <w:name w:val="cun1"/>
    <w:basedOn w:val="Standardnpsmoodstavce"/>
    <w:rsid w:val="003C606D"/>
    <w:rPr>
      <w:sz w:val="16"/>
      <w:szCs w:val="16"/>
    </w:rPr>
  </w:style>
  <w:style w:type="character" w:customStyle="1" w:styleId="cu1">
    <w:name w:val="cu1"/>
    <w:basedOn w:val="Standardnpsmoodstavce"/>
    <w:rsid w:val="003C606D"/>
    <w:rPr>
      <w:i/>
      <w:iCs/>
      <w:sz w:val="16"/>
      <w:szCs w:val="16"/>
    </w:rPr>
  </w:style>
  <w:style w:type="paragraph" w:customStyle="1" w:styleId="source0">
    <w:name w:val="source"/>
    <w:basedOn w:val="Normln"/>
    <w:rsid w:val="003C606D"/>
    <w:pPr>
      <w:spacing w:before="0" w:after="0"/>
    </w:pPr>
    <w:rPr>
      <w:rFonts w:ascii="Times New Roman" w:eastAsia="Times New Roman" w:hAnsi="Times New Roman"/>
      <w:sz w:val="16"/>
      <w:szCs w:val="24"/>
      <w:lang w:val="en-US" w:eastAsia="cs-CZ"/>
    </w:rPr>
  </w:style>
  <w:style w:type="paragraph" w:customStyle="1" w:styleId="center">
    <w:name w:val="center"/>
    <w:basedOn w:val="Normln"/>
    <w:rsid w:val="003C606D"/>
    <w:pPr>
      <w:spacing w:before="100" w:beforeAutospacing="1" w:after="100" w:afterAutospacing="1"/>
      <w:jc w:val="center"/>
    </w:pPr>
    <w:rPr>
      <w:rFonts w:ascii="Arial Unicode MS" w:eastAsia="Arial Unicode MS" w:hAnsi="Arial Unicode MS" w:cs="Arial Unicode MS"/>
      <w:szCs w:val="24"/>
      <w:lang w:eastAsia="cs-CZ"/>
    </w:rPr>
  </w:style>
  <w:style w:type="character" w:customStyle="1" w:styleId="vtwelve1">
    <w:name w:val="vtwelve1"/>
    <w:basedOn w:val="Standardnpsmoodstavce"/>
    <w:rsid w:val="003C606D"/>
    <w:rPr>
      <w:rFonts w:ascii="Verdana" w:hAnsi="Verdana" w:hint="default"/>
      <w:sz w:val="18"/>
      <w:szCs w:val="18"/>
    </w:rPr>
  </w:style>
  <w:style w:type="character" w:customStyle="1" w:styleId="CittChar">
    <w:name w:val="Citát Char"/>
    <w:aliases w:val="EEIP_Citát Char"/>
    <w:basedOn w:val="Standardnpsmoodstavce"/>
    <w:link w:val="Citt"/>
    <w:uiPriority w:val="29"/>
    <w:qFormat/>
    <w:rsid w:val="00B80ACE"/>
    <w:rPr>
      <w:rFonts w:ascii="Garamond" w:eastAsia="Times New Roman" w:hAnsi="Garamond"/>
      <w:i/>
      <w:iCs/>
      <w:color w:val="000000"/>
      <w:sz w:val="22"/>
      <w:lang w:eastAsia="cs-CZ"/>
    </w:rPr>
  </w:style>
  <w:style w:type="character" w:customStyle="1" w:styleId="CharChar19">
    <w:name w:val="Char Char19"/>
    <w:basedOn w:val="Standardnpsmoodstavce"/>
    <w:rsid w:val="00FA7752"/>
    <w:rPr>
      <w:rFonts w:ascii="Arial" w:hAnsi="Arial"/>
      <w:b/>
      <w:bCs/>
      <w:i/>
      <w:iCs/>
      <w:sz w:val="26"/>
      <w:szCs w:val="26"/>
    </w:rPr>
  </w:style>
  <w:style w:type="character" w:customStyle="1" w:styleId="CharChar18">
    <w:name w:val="Char Char18"/>
    <w:basedOn w:val="Standardnpsmoodstavce"/>
    <w:rsid w:val="00FA7752"/>
    <w:rPr>
      <w:b/>
      <w:bCs/>
      <w:szCs w:val="22"/>
    </w:rPr>
  </w:style>
  <w:style w:type="character" w:customStyle="1" w:styleId="CharChar17">
    <w:name w:val="Char Char17"/>
    <w:basedOn w:val="Standardnpsmoodstavce"/>
    <w:rsid w:val="00FA7752"/>
    <w:rPr>
      <w:sz w:val="24"/>
      <w:szCs w:val="24"/>
    </w:rPr>
  </w:style>
  <w:style w:type="character" w:customStyle="1" w:styleId="CharChar16">
    <w:name w:val="Char Char16"/>
    <w:basedOn w:val="Standardnpsmoodstavce"/>
    <w:rsid w:val="00FA7752"/>
    <w:rPr>
      <w:i/>
      <w:iCs/>
      <w:sz w:val="24"/>
      <w:szCs w:val="24"/>
    </w:rPr>
  </w:style>
  <w:style w:type="character" w:customStyle="1" w:styleId="CharChar15">
    <w:name w:val="Char Char15"/>
    <w:basedOn w:val="Standardnpsmoodstavce"/>
    <w:rsid w:val="00FA7752"/>
    <w:rPr>
      <w:rFonts w:ascii="Arial" w:hAnsi="Arial" w:cs="Arial"/>
      <w:szCs w:val="22"/>
    </w:rPr>
  </w:style>
  <w:style w:type="character" w:customStyle="1" w:styleId="CharChar14">
    <w:name w:val="Char Char14"/>
    <w:basedOn w:val="Standardnpsmoodstavce"/>
    <w:rsid w:val="00FA7752"/>
    <w:rPr>
      <w:rFonts w:ascii="Arial" w:hAnsi="Arial"/>
      <w:szCs w:val="24"/>
      <w:lang w:val="cs-CZ" w:eastAsia="cs-CZ" w:bidi="ar-SA"/>
    </w:rPr>
  </w:style>
  <w:style w:type="character" w:customStyle="1" w:styleId="CharChar13">
    <w:name w:val="Char Char13"/>
    <w:basedOn w:val="Standardnpsmoodstavce"/>
    <w:semiHidden/>
    <w:rsid w:val="00FA7752"/>
    <w:rPr>
      <w:rFonts w:ascii="Arial" w:hAnsi="Arial"/>
      <w:sz w:val="16"/>
      <w:lang w:val="cs-CZ" w:eastAsia="cs-CZ" w:bidi="ar-SA"/>
    </w:rPr>
  </w:style>
  <w:style w:type="paragraph" w:customStyle="1" w:styleId="footnote">
    <w:name w:val="footnote"/>
    <w:basedOn w:val="Textpoznpodarou"/>
    <w:rsid w:val="00FA7752"/>
    <w:pPr>
      <w:spacing w:after="120" w:line="288" w:lineRule="auto"/>
    </w:pPr>
    <w:rPr>
      <w:rFonts w:ascii="Arial" w:hAnsi="Arial"/>
      <w:sz w:val="16"/>
    </w:rPr>
  </w:style>
  <w:style w:type="character" w:customStyle="1" w:styleId="footnoteChar">
    <w:name w:val="footnote Char"/>
    <w:rsid w:val="00FA7752"/>
    <w:rPr>
      <w:rFonts w:ascii="Arial" w:hAnsi="Arial"/>
      <w:sz w:val="16"/>
      <w:lang w:val="cs-CZ" w:eastAsia="cs-CZ" w:bidi="ar-SA"/>
    </w:rPr>
  </w:style>
  <w:style w:type="paragraph" w:customStyle="1" w:styleId="StyleHeading2Italic">
    <w:name w:val="Style Heading 2 + Italic"/>
    <w:basedOn w:val="Nadpis2"/>
    <w:rsid w:val="00FA7752"/>
    <w:pPr>
      <w:tabs>
        <w:tab w:val="num" w:pos="576"/>
      </w:tabs>
      <w:spacing w:before="0" w:line="288" w:lineRule="auto"/>
    </w:pPr>
    <w:rPr>
      <w:rFonts w:ascii="Arial" w:hAnsi="Arial" w:cs="Arial"/>
      <w:iCs/>
      <w:color w:val="000080"/>
      <w:sz w:val="20"/>
      <w:szCs w:val="28"/>
      <w:lang w:eastAsia="cs-CZ"/>
    </w:rPr>
  </w:style>
  <w:style w:type="character" w:customStyle="1" w:styleId="CharChar11">
    <w:name w:val="Char Char11"/>
    <w:basedOn w:val="Standardnpsmoodstavce"/>
    <w:rsid w:val="00FA7752"/>
    <w:rPr>
      <w:rFonts w:ascii="Arial Narrow" w:hAnsi="Arial Narrow"/>
      <w:szCs w:val="24"/>
      <w:lang w:val="cs-CZ" w:eastAsia="cs-CZ" w:bidi="ar-SA"/>
    </w:rPr>
  </w:style>
  <w:style w:type="paragraph" w:customStyle="1" w:styleId="Zdroj">
    <w:name w:val="Zdroj"/>
    <w:basedOn w:val="Normln"/>
    <w:next w:val="Normln"/>
    <w:qFormat/>
    <w:rsid w:val="00FA7752"/>
    <w:pPr>
      <w:spacing w:before="0" w:line="288" w:lineRule="auto"/>
    </w:pPr>
    <w:rPr>
      <w:rFonts w:ascii="Arial" w:eastAsia="Times New Roman" w:hAnsi="Arial"/>
      <w:sz w:val="18"/>
      <w:szCs w:val="24"/>
      <w:lang w:eastAsia="cs-CZ"/>
    </w:rPr>
  </w:style>
  <w:style w:type="character" w:customStyle="1" w:styleId="ZdrojChar">
    <w:name w:val="Zdroj Char"/>
    <w:basedOn w:val="Standardnpsmoodstavce"/>
    <w:rsid w:val="00FA7752"/>
    <w:rPr>
      <w:rFonts w:ascii="Arial" w:hAnsi="Arial"/>
      <w:sz w:val="18"/>
      <w:szCs w:val="24"/>
      <w:lang w:val="cs-CZ" w:eastAsia="cs-CZ" w:bidi="ar-SA"/>
    </w:rPr>
  </w:style>
  <w:style w:type="table" w:customStyle="1" w:styleId="TableGrid2">
    <w:name w:val="Table Grid2"/>
    <w:basedOn w:val="Normlntabulka"/>
    <w:next w:val="Mkatabulky"/>
    <w:uiPriority w:val="59"/>
    <w:rsid w:val="00FA775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x">
    <w:name w:val="Box"/>
    <w:basedOn w:val="Normln"/>
    <w:rsid w:val="00FA7752"/>
    <w:pPr>
      <w:pBdr>
        <w:top w:val="single" w:sz="12" w:space="1" w:color="808080"/>
        <w:left w:val="single" w:sz="12" w:space="4" w:color="808080"/>
        <w:bottom w:val="single" w:sz="12" w:space="1" w:color="808080"/>
        <w:right w:val="single" w:sz="12" w:space="4" w:color="808080"/>
      </w:pBdr>
      <w:spacing w:before="0" w:line="288" w:lineRule="auto"/>
    </w:pPr>
    <w:rPr>
      <w:rFonts w:ascii="Arial" w:eastAsia="Times New Roman" w:hAnsi="Arial"/>
      <w:sz w:val="20"/>
      <w:szCs w:val="24"/>
      <w:lang w:eastAsia="cs-CZ"/>
    </w:rPr>
  </w:style>
  <w:style w:type="character" w:customStyle="1" w:styleId="google-src-text">
    <w:name w:val="google-src-text"/>
    <w:basedOn w:val="Standardnpsmoodstavce"/>
    <w:rsid w:val="00FA7752"/>
  </w:style>
  <w:style w:type="character" w:customStyle="1" w:styleId="CharChar10">
    <w:name w:val="Char Char10"/>
    <w:basedOn w:val="Standardnpsmoodstavce"/>
    <w:rsid w:val="00FA7752"/>
    <w:rPr>
      <w:rFonts w:ascii="Arial" w:hAnsi="Arial"/>
      <w:lang w:val="cs-CZ" w:eastAsia="cs-CZ" w:bidi="ar-SA"/>
    </w:rPr>
  </w:style>
  <w:style w:type="character" w:customStyle="1" w:styleId="CharChar9">
    <w:name w:val="Char Char9"/>
    <w:basedOn w:val="Standardnpsmoodstavce"/>
    <w:rsid w:val="00FA7752"/>
    <w:rPr>
      <w:rFonts w:ascii="Tahoma" w:hAnsi="Tahoma" w:cs="Tahoma"/>
      <w:sz w:val="16"/>
      <w:szCs w:val="16"/>
      <w:lang w:val="cs-CZ" w:eastAsia="cs-CZ" w:bidi="ar-SA"/>
    </w:rPr>
  </w:style>
  <w:style w:type="paragraph" w:customStyle="1" w:styleId="normln0">
    <w:name w:val="normální"/>
    <w:basedOn w:val="Normln"/>
    <w:rsid w:val="00FA7752"/>
    <w:pPr>
      <w:spacing w:before="60" w:after="60" w:line="300" w:lineRule="auto"/>
    </w:pPr>
    <w:rPr>
      <w:rFonts w:ascii="Arial" w:eastAsia="Times New Roman" w:hAnsi="Arial"/>
      <w:sz w:val="20"/>
      <w:szCs w:val="20"/>
      <w:lang w:eastAsia="cs-CZ"/>
    </w:rPr>
  </w:style>
  <w:style w:type="paragraph" w:customStyle="1" w:styleId="Normln1">
    <w:name w:val="Normální 1"/>
    <w:basedOn w:val="Normln"/>
    <w:next w:val="Normln"/>
    <w:rsid w:val="00FA7752"/>
    <w:pPr>
      <w:spacing w:before="0" w:line="288" w:lineRule="auto"/>
    </w:pPr>
    <w:rPr>
      <w:rFonts w:ascii="Times New Roman" w:eastAsia="Times New Roman" w:hAnsi="Times New Roman"/>
      <w:sz w:val="22"/>
      <w:szCs w:val="20"/>
    </w:rPr>
  </w:style>
  <w:style w:type="character" w:customStyle="1" w:styleId="CharChar8">
    <w:name w:val="Char Char8"/>
    <w:basedOn w:val="CharChar10"/>
    <w:rsid w:val="00FA7752"/>
    <w:rPr>
      <w:rFonts w:ascii="Arial" w:hAnsi="Arial"/>
      <w:b/>
      <w:bCs/>
      <w:lang w:val="cs-CZ" w:eastAsia="cs-CZ" w:bidi="ar-SA"/>
    </w:rPr>
  </w:style>
  <w:style w:type="paragraph" w:customStyle="1" w:styleId="orm">
    <w:name w:val="orm"/>
    <w:basedOn w:val="Titulek"/>
    <w:rsid w:val="00FA7752"/>
    <w:pPr>
      <w:spacing w:before="0" w:line="288" w:lineRule="auto"/>
    </w:pPr>
    <w:rPr>
      <w:i/>
    </w:rPr>
  </w:style>
  <w:style w:type="character" w:customStyle="1" w:styleId="CharChar12">
    <w:name w:val="Char Char12"/>
    <w:basedOn w:val="Standardnpsmoodstavce"/>
    <w:rsid w:val="00FA7752"/>
    <w:rPr>
      <w:rFonts w:ascii="Arial" w:eastAsia="Times New Roman" w:hAnsi="Arial"/>
      <w:sz w:val="16"/>
    </w:rPr>
  </w:style>
  <w:style w:type="paragraph" w:customStyle="1" w:styleId="CM4">
    <w:name w:val="CM4"/>
    <w:basedOn w:val="Default"/>
    <w:next w:val="Default"/>
    <w:uiPriority w:val="99"/>
    <w:rsid w:val="00FA7752"/>
  </w:style>
  <w:style w:type="character" w:customStyle="1" w:styleId="CharChar7">
    <w:name w:val="Char Char7"/>
    <w:basedOn w:val="Standardnpsmoodstavce"/>
    <w:rsid w:val="00FA7752"/>
    <w:rPr>
      <w:rFonts w:ascii="Arial" w:hAnsi="Arial"/>
      <w:i/>
      <w:iCs/>
      <w:sz w:val="22"/>
      <w:szCs w:val="24"/>
      <w:lang w:val="cs-CZ" w:eastAsia="cs-CZ" w:bidi="ar-SA"/>
    </w:rPr>
  </w:style>
  <w:style w:type="character" w:customStyle="1" w:styleId="CharChar6">
    <w:name w:val="Char Char6"/>
    <w:basedOn w:val="Standardnpsmoodstavce"/>
    <w:rsid w:val="00FA7752"/>
    <w:rPr>
      <w:rFonts w:ascii="Arial" w:hAnsi="Arial"/>
      <w:sz w:val="32"/>
      <w:lang w:val="cs-CZ" w:eastAsia="cs-CZ" w:bidi="ar-SA"/>
    </w:rPr>
  </w:style>
  <w:style w:type="paragraph" w:customStyle="1" w:styleId="Nadpisobsahuaseznamu">
    <w:name w:val="Nadpis obsahu a seznamu"/>
    <w:basedOn w:val="Obsah1"/>
    <w:rsid w:val="00FA7752"/>
    <w:pPr>
      <w:spacing w:before="240" w:after="240"/>
    </w:pPr>
    <w:rPr>
      <w:rFonts w:ascii="Arial" w:eastAsia="Times New Roman" w:hAnsi="Arial" w:cs="Arial"/>
      <w:noProof/>
      <w:sz w:val="28"/>
      <w:lang w:eastAsia="cs-CZ"/>
    </w:rPr>
  </w:style>
  <w:style w:type="paragraph" w:customStyle="1" w:styleId="Zkratky">
    <w:name w:val="Zkratky"/>
    <w:basedOn w:val="Normln"/>
    <w:rsid w:val="00FA7752"/>
    <w:pPr>
      <w:tabs>
        <w:tab w:val="left" w:leader="dot" w:pos="2835"/>
      </w:tabs>
      <w:jc w:val="left"/>
    </w:pPr>
    <w:rPr>
      <w:rFonts w:ascii="Arial" w:eastAsia="Times New Roman" w:hAnsi="Arial"/>
      <w:sz w:val="22"/>
      <w:szCs w:val="24"/>
      <w:lang w:eastAsia="cs-CZ"/>
    </w:rPr>
  </w:style>
  <w:style w:type="paragraph" w:customStyle="1" w:styleId="Zhlavtabulky">
    <w:name w:val="Záhlaví tabulky"/>
    <w:basedOn w:val="Normln"/>
    <w:rsid w:val="00FA7752"/>
    <w:pPr>
      <w:jc w:val="center"/>
    </w:pPr>
    <w:rPr>
      <w:rFonts w:ascii="Arial" w:eastAsia="Times New Roman" w:hAnsi="Arial"/>
      <w:b/>
      <w:sz w:val="22"/>
      <w:szCs w:val="24"/>
      <w:lang w:eastAsia="cs-CZ"/>
    </w:rPr>
  </w:style>
  <w:style w:type="paragraph" w:customStyle="1" w:styleId="Bullet1">
    <w:name w:val="Bullet 1"/>
    <w:basedOn w:val="Normln"/>
    <w:rsid w:val="00FA7752"/>
    <w:pPr>
      <w:numPr>
        <w:numId w:val="6"/>
      </w:numPr>
      <w:jc w:val="left"/>
    </w:pPr>
    <w:rPr>
      <w:rFonts w:ascii="Arial" w:eastAsia="Times New Roman" w:hAnsi="Arial"/>
      <w:sz w:val="22"/>
      <w:szCs w:val="24"/>
      <w:lang w:eastAsia="cs-CZ"/>
    </w:rPr>
  </w:style>
  <w:style w:type="paragraph" w:customStyle="1" w:styleId="Bullet2">
    <w:name w:val="Bullet 2"/>
    <w:basedOn w:val="Normln"/>
    <w:rsid w:val="00FA7752"/>
    <w:pPr>
      <w:numPr>
        <w:numId w:val="7"/>
      </w:numPr>
      <w:tabs>
        <w:tab w:val="clear" w:pos="720"/>
        <w:tab w:val="left" w:pos="851"/>
      </w:tabs>
      <w:ind w:left="851" w:hanging="284"/>
      <w:jc w:val="left"/>
    </w:pPr>
    <w:rPr>
      <w:rFonts w:ascii="Arial" w:eastAsia="Times New Roman" w:hAnsi="Arial"/>
      <w:sz w:val="22"/>
      <w:szCs w:val="24"/>
      <w:lang w:eastAsia="cs-CZ"/>
    </w:rPr>
  </w:style>
  <w:style w:type="character" w:customStyle="1" w:styleId="CharChar5">
    <w:name w:val="Char Char5"/>
    <w:basedOn w:val="Standardnpsmoodstavce"/>
    <w:rsid w:val="00FA7752"/>
    <w:rPr>
      <w:rFonts w:ascii="Arial" w:hAnsi="Arial"/>
      <w:b/>
      <w:bCs/>
      <w:sz w:val="22"/>
      <w:szCs w:val="24"/>
      <w:lang w:val="cs-CZ" w:eastAsia="cs-CZ" w:bidi="ar-SA"/>
    </w:rPr>
  </w:style>
  <w:style w:type="character" w:customStyle="1" w:styleId="CharChar4">
    <w:name w:val="Char Char4"/>
    <w:basedOn w:val="Standardnpsmoodstavce"/>
    <w:rsid w:val="00FA7752"/>
    <w:rPr>
      <w:rFonts w:ascii="Arial" w:hAnsi="Arial"/>
      <w:sz w:val="22"/>
      <w:szCs w:val="24"/>
      <w:lang w:val="cs-CZ" w:eastAsia="cs-CZ" w:bidi="ar-SA"/>
    </w:rPr>
  </w:style>
  <w:style w:type="character" w:customStyle="1" w:styleId="textemarge">
    <w:name w:val="textemarge"/>
    <w:basedOn w:val="Standardnpsmoodstavce"/>
    <w:rsid w:val="00FA7752"/>
  </w:style>
  <w:style w:type="character" w:customStyle="1" w:styleId="CharChar3">
    <w:name w:val="Char Char3"/>
    <w:basedOn w:val="Standardnpsmoodstavce"/>
    <w:rsid w:val="00FA7752"/>
    <w:rPr>
      <w:rFonts w:ascii="Arial" w:hAnsi="Arial"/>
      <w:color w:val="FF0000"/>
      <w:sz w:val="22"/>
      <w:szCs w:val="24"/>
      <w:lang w:val="cs-CZ" w:eastAsia="cs-CZ" w:bidi="ar-SA"/>
    </w:rPr>
  </w:style>
  <w:style w:type="paragraph" w:styleId="Zkladntextodsazen2">
    <w:name w:val="Body Text Indent 2"/>
    <w:basedOn w:val="Normln"/>
    <w:link w:val="Zkladntextodsazen2Char"/>
    <w:rsid w:val="00FA7752"/>
    <w:pPr>
      <w:tabs>
        <w:tab w:val="num" w:pos="720"/>
      </w:tabs>
      <w:ind w:left="720" w:hanging="360"/>
    </w:pPr>
    <w:rPr>
      <w:rFonts w:ascii="Arial" w:eastAsia="Times New Roman" w:hAnsi="Arial"/>
      <w:color w:val="0000FF"/>
      <w:szCs w:val="24"/>
      <w:lang w:eastAsia="cs-CZ"/>
    </w:rPr>
  </w:style>
  <w:style w:type="character" w:customStyle="1" w:styleId="Zkladntextodsazen2Char">
    <w:name w:val="Základní text odsazený 2 Char"/>
    <w:basedOn w:val="Standardnpsmoodstavce"/>
    <w:link w:val="Zkladntextodsazen2"/>
    <w:rsid w:val="00FA7752"/>
    <w:rPr>
      <w:rFonts w:ascii="Arial" w:eastAsia="Times New Roman" w:hAnsi="Arial"/>
      <w:color w:val="0000FF"/>
      <w:sz w:val="24"/>
      <w:szCs w:val="24"/>
      <w:lang w:val="cs-CZ" w:eastAsia="cs-CZ"/>
    </w:rPr>
  </w:style>
  <w:style w:type="character" w:customStyle="1" w:styleId="CharChar2">
    <w:name w:val="Char Char2"/>
    <w:basedOn w:val="Standardnpsmoodstavce"/>
    <w:rsid w:val="00FA7752"/>
    <w:rPr>
      <w:rFonts w:ascii="Arial" w:hAnsi="Arial"/>
      <w:color w:val="0000FF"/>
      <w:sz w:val="24"/>
      <w:szCs w:val="24"/>
      <w:lang w:val="cs-CZ" w:eastAsia="cs-CZ" w:bidi="ar-SA"/>
    </w:rPr>
  </w:style>
  <w:style w:type="character" w:customStyle="1" w:styleId="CharChar1">
    <w:name w:val="Char Char1"/>
    <w:basedOn w:val="Standardnpsmoodstavce"/>
    <w:rsid w:val="00FA7752"/>
    <w:rPr>
      <w:b/>
      <w:bCs/>
      <w:sz w:val="24"/>
      <w:lang w:val="cs-CZ" w:eastAsia="cs-CZ" w:bidi="ar-SA"/>
    </w:rPr>
  </w:style>
  <w:style w:type="paragraph" w:styleId="Prosttext">
    <w:name w:val="Plain Text"/>
    <w:basedOn w:val="Normln"/>
    <w:link w:val="ProsttextChar"/>
    <w:uiPriority w:val="99"/>
    <w:rsid w:val="00FA7752"/>
    <w:pPr>
      <w:spacing w:before="0" w:after="0"/>
      <w:jc w:val="left"/>
    </w:pPr>
    <w:rPr>
      <w:rFonts w:ascii="Consolas" w:eastAsia="Arial Unicode MS" w:hAnsi="Consolas" w:cs="Arial Unicode MS"/>
      <w:sz w:val="21"/>
      <w:szCs w:val="21"/>
      <w:lang w:eastAsia="cs-CZ"/>
    </w:rPr>
  </w:style>
  <w:style w:type="character" w:customStyle="1" w:styleId="ProsttextChar">
    <w:name w:val="Prostý text Char"/>
    <w:basedOn w:val="Standardnpsmoodstavce"/>
    <w:link w:val="Prosttext"/>
    <w:uiPriority w:val="99"/>
    <w:rsid w:val="00FA7752"/>
    <w:rPr>
      <w:rFonts w:ascii="Consolas" w:eastAsia="Arial Unicode MS" w:hAnsi="Consolas" w:cs="Arial Unicode MS"/>
      <w:sz w:val="21"/>
      <w:szCs w:val="21"/>
      <w:lang w:val="cs-CZ" w:eastAsia="cs-CZ"/>
    </w:rPr>
  </w:style>
  <w:style w:type="character" w:customStyle="1" w:styleId="CharChar">
    <w:name w:val="Char Char"/>
    <w:basedOn w:val="Standardnpsmoodstavce"/>
    <w:rsid w:val="00FA7752"/>
    <w:rPr>
      <w:rFonts w:ascii="Consolas" w:eastAsia="Arial Unicode MS" w:hAnsi="Consolas" w:cs="Arial Unicode MS"/>
      <w:sz w:val="21"/>
      <w:szCs w:val="21"/>
      <w:lang w:val="cs-CZ" w:eastAsia="cs-CZ" w:bidi="ar-SA"/>
    </w:rPr>
  </w:style>
  <w:style w:type="paragraph" w:customStyle="1" w:styleId="Nadpisobsahu2">
    <w:name w:val="Nadpis obsahu2"/>
    <w:basedOn w:val="Nadpis1"/>
    <w:next w:val="Normln"/>
    <w:rsid w:val="00FA7752"/>
    <w:pPr>
      <w:numPr>
        <w:numId w:val="0"/>
      </w:numPr>
      <w:spacing w:line="276" w:lineRule="auto"/>
      <w:jc w:val="left"/>
      <w:outlineLvl w:val="9"/>
    </w:pPr>
    <w:rPr>
      <w:color w:val="365F91"/>
    </w:rPr>
  </w:style>
  <w:style w:type="paragraph" w:customStyle="1" w:styleId="Odstavecseseznamem2">
    <w:name w:val="Odstavec se seznamem2"/>
    <w:basedOn w:val="Normln"/>
    <w:rsid w:val="00FA7752"/>
    <w:pPr>
      <w:spacing w:before="0" w:after="200" w:line="276" w:lineRule="auto"/>
      <w:ind w:left="720"/>
      <w:contextualSpacing/>
      <w:jc w:val="left"/>
    </w:pPr>
    <w:rPr>
      <w:rFonts w:ascii="Verdana" w:hAnsi="Verdana"/>
      <w:sz w:val="18"/>
      <w:szCs w:val="18"/>
    </w:rPr>
  </w:style>
  <w:style w:type="paragraph" w:customStyle="1" w:styleId="bodytext">
    <w:name w:val="bodytext"/>
    <w:basedOn w:val="Normln"/>
    <w:uiPriority w:val="99"/>
    <w:rsid w:val="00FA7752"/>
    <w:pPr>
      <w:spacing w:before="100" w:beforeAutospacing="1" w:after="100" w:afterAutospacing="1"/>
      <w:jc w:val="left"/>
    </w:pPr>
    <w:rPr>
      <w:rFonts w:ascii="Arial Unicode MS" w:eastAsia="Arial Unicode MS" w:hAnsi="Arial Unicode MS" w:cs="Arial Unicode MS"/>
      <w:szCs w:val="24"/>
      <w:lang w:eastAsia="cs-CZ"/>
    </w:rPr>
  </w:style>
  <w:style w:type="paragraph" w:customStyle="1" w:styleId="OdrazkaIstav">
    <w:name w:val="Odrazka_I_stav"/>
    <w:basedOn w:val="Normln"/>
    <w:rsid w:val="00D91259"/>
    <w:pPr>
      <w:numPr>
        <w:numId w:val="8"/>
      </w:numPr>
      <w:tabs>
        <w:tab w:val="left" w:pos="284"/>
      </w:tabs>
      <w:spacing w:before="60" w:after="60"/>
    </w:pPr>
    <w:rPr>
      <w:rFonts w:ascii="Arial" w:eastAsia="Times New Roman" w:hAnsi="Arial" w:cs="Arial"/>
      <w:noProof/>
      <w:sz w:val="20"/>
      <w:szCs w:val="20"/>
      <w:lang w:eastAsia="cs-CZ"/>
    </w:rPr>
  </w:style>
  <w:style w:type="table" w:customStyle="1" w:styleId="TableGrid3">
    <w:name w:val="Table Grid3"/>
    <w:basedOn w:val="Normlntabulka"/>
    <w:next w:val="Mkatabulky"/>
    <w:uiPriority w:val="59"/>
    <w:rsid w:val="00D912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sion">
    <w:name w:val="Vision"/>
    <w:basedOn w:val="Normln"/>
    <w:rsid w:val="00465CC5"/>
    <w:rPr>
      <w:i/>
    </w:rPr>
  </w:style>
  <w:style w:type="paragraph" w:styleId="Nzev">
    <w:name w:val="Title"/>
    <w:aliases w:val="Heading4"/>
    <w:basedOn w:val="Normln"/>
    <w:link w:val="NzevChar"/>
    <w:uiPriority w:val="4"/>
    <w:qFormat/>
    <w:rsid w:val="008D11FE"/>
    <w:pPr>
      <w:overflowPunct w:val="0"/>
      <w:autoSpaceDE w:val="0"/>
      <w:autoSpaceDN w:val="0"/>
      <w:adjustRightInd w:val="0"/>
      <w:spacing w:after="0"/>
      <w:jc w:val="center"/>
      <w:textAlignment w:val="baseline"/>
    </w:pPr>
    <w:rPr>
      <w:rFonts w:ascii="Times New Roman" w:eastAsia="Times New Roman" w:hAnsi="Times New Roman"/>
      <w:b/>
      <w:bCs/>
      <w:i/>
      <w:iCs/>
      <w:color w:val="993366"/>
      <w:szCs w:val="20"/>
      <w:lang w:eastAsia="cs-CZ"/>
    </w:rPr>
  </w:style>
  <w:style w:type="character" w:customStyle="1" w:styleId="NzevChar">
    <w:name w:val="Název Char"/>
    <w:aliases w:val="Heading4 Char"/>
    <w:basedOn w:val="Standardnpsmoodstavce"/>
    <w:link w:val="Nzev"/>
    <w:uiPriority w:val="4"/>
    <w:rsid w:val="008D11FE"/>
    <w:rPr>
      <w:rFonts w:ascii="Times New Roman" w:eastAsia="Times New Roman" w:hAnsi="Times New Roman"/>
      <w:b/>
      <w:bCs/>
      <w:i/>
      <w:iCs/>
      <w:color w:val="993366"/>
      <w:sz w:val="24"/>
      <w:lang w:val="cs-CZ" w:eastAsia="cs-CZ"/>
    </w:rPr>
  </w:style>
  <w:style w:type="paragraph" w:customStyle="1" w:styleId="documentannotation">
    <w:name w:val="documentannotation"/>
    <w:basedOn w:val="Normln"/>
    <w:rsid w:val="00EE117B"/>
    <w:pPr>
      <w:spacing w:before="100" w:beforeAutospacing="1" w:after="100" w:afterAutospacing="1"/>
      <w:jc w:val="left"/>
    </w:pPr>
    <w:rPr>
      <w:rFonts w:ascii="Times New Roman" w:eastAsia="Times New Roman" w:hAnsi="Times New Roman"/>
      <w:szCs w:val="24"/>
      <w:lang w:val="en-US"/>
    </w:rPr>
  </w:style>
  <w:style w:type="character" w:customStyle="1" w:styleId="platne">
    <w:name w:val="platne"/>
    <w:basedOn w:val="Standardnpsmoodstavce"/>
    <w:rsid w:val="00203AD2"/>
  </w:style>
  <w:style w:type="character" w:customStyle="1" w:styleId="ZpatChar1">
    <w:name w:val="Zápatí Char1"/>
    <w:aliases w:val=" Char10 Char1,Char10 Char1"/>
    <w:basedOn w:val="Standardnpsmoodstavce"/>
    <w:link w:val="Zpat"/>
    <w:uiPriority w:val="99"/>
    <w:rsid w:val="000773A4"/>
    <w:rPr>
      <w:rFonts w:ascii="Garamond" w:hAnsi="Garamond"/>
      <w:sz w:val="24"/>
      <w:szCs w:val="22"/>
      <w:lang w:val="en-GB"/>
    </w:rPr>
  </w:style>
  <w:style w:type="character" w:customStyle="1" w:styleId="apple-converted-space">
    <w:name w:val="apple-converted-space"/>
    <w:basedOn w:val="Standardnpsmoodstavce"/>
    <w:rsid w:val="007A541D"/>
  </w:style>
  <w:style w:type="paragraph" w:customStyle="1" w:styleId="ca">
    <w:name w:val="ca"/>
    <w:basedOn w:val="Normln"/>
    <w:rsid w:val="00F124AA"/>
    <w:pPr>
      <w:spacing w:before="100" w:beforeAutospacing="1" w:after="100" w:afterAutospacing="1"/>
      <w:jc w:val="left"/>
    </w:pPr>
    <w:rPr>
      <w:rFonts w:ascii="Times New Roman" w:eastAsia="Times New Roman" w:hAnsi="Times New Roman"/>
      <w:szCs w:val="24"/>
      <w:lang w:val="en-US"/>
    </w:rPr>
  </w:style>
  <w:style w:type="character" w:customStyle="1" w:styleId="Caption1">
    <w:name w:val="Caption1"/>
    <w:basedOn w:val="Standardnpsmoodstavce"/>
    <w:rsid w:val="004812B6"/>
  </w:style>
  <w:style w:type="paragraph" w:customStyle="1" w:styleId="introduction">
    <w:name w:val="introduction"/>
    <w:basedOn w:val="Normln"/>
    <w:rsid w:val="00CD20FD"/>
    <w:pPr>
      <w:spacing w:before="100" w:beforeAutospacing="1" w:after="100" w:afterAutospacing="1"/>
      <w:jc w:val="left"/>
    </w:pPr>
    <w:rPr>
      <w:rFonts w:ascii="Times New Roman" w:eastAsia="Times New Roman" w:hAnsi="Times New Roman"/>
      <w:szCs w:val="24"/>
      <w:lang w:val="en-US"/>
    </w:rPr>
  </w:style>
  <w:style w:type="paragraph" w:customStyle="1" w:styleId="first-child">
    <w:name w:val="first-child"/>
    <w:basedOn w:val="Normln"/>
    <w:rsid w:val="00CD20FD"/>
    <w:pPr>
      <w:spacing w:before="100" w:beforeAutospacing="1" w:after="100" w:afterAutospacing="1"/>
      <w:jc w:val="left"/>
    </w:pPr>
    <w:rPr>
      <w:rFonts w:ascii="Times New Roman" w:eastAsia="Times New Roman" w:hAnsi="Times New Roman"/>
      <w:szCs w:val="24"/>
      <w:lang w:val="en-US"/>
    </w:rPr>
  </w:style>
  <w:style w:type="character" w:customStyle="1" w:styleId="quote-credit">
    <w:name w:val="quote-credit"/>
    <w:basedOn w:val="Standardnpsmoodstavce"/>
    <w:rsid w:val="00CD20FD"/>
  </w:style>
  <w:style w:type="character" w:customStyle="1" w:styleId="quote-credit-title">
    <w:name w:val="quote-credit-title"/>
    <w:basedOn w:val="Standardnpsmoodstavce"/>
    <w:rsid w:val="00CD20FD"/>
  </w:style>
  <w:style w:type="character" w:customStyle="1" w:styleId="A5">
    <w:name w:val="A5"/>
    <w:uiPriority w:val="99"/>
    <w:rsid w:val="003340FF"/>
    <w:rPr>
      <w:rFonts w:cs="Frutiger Next Pro"/>
      <w:color w:val="000000"/>
      <w:sz w:val="17"/>
      <w:szCs w:val="17"/>
    </w:rPr>
  </w:style>
  <w:style w:type="paragraph" w:customStyle="1" w:styleId="Listarrow">
    <w:name w:val="List arrow"/>
    <w:basedOn w:val="Default"/>
    <w:next w:val="Default"/>
    <w:uiPriority w:val="99"/>
    <w:rsid w:val="00186FC6"/>
    <w:rPr>
      <w:rFonts w:ascii="Wingdings" w:eastAsia="Calibri" w:hAnsi="Wingdings" w:cs="Times New Roman"/>
      <w:color w:val="auto"/>
    </w:rPr>
  </w:style>
  <w:style w:type="paragraph" w:customStyle="1" w:styleId="Listeapuces">
    <w:name w:val="Liste a puces"/>
    <w:basedOn w:val="Default"/>
    <w:next w:val="Default"/>
    <w:uiPriority w:val="99"/>
    <w:rsid w:val="00F975CA"/>
    <w:rPr>
      <w:rFonts w:ascii="Arial" w:eastAsia="Calibri" w:hAnsi="Arial" w:cs="Arial"/>
      <w:color w:val="auto"/>
    </w:rPr>
  </w:style>
  <w:style w:type="paragraph" w:customStyle="1" w:styleId="Titre3">
    <w:name w:val="Titre 3"/>
    <w:basedOn w:val="Default"/>
    <w:next w:val="Default"/>
    <w:uiPriority w:val="99"/>
    <w:rsid w:val="00E94C41"/>
    <w:rPr>
      <w:rFonts w:ascii="Arial" w:eastAsia="Calibri" w:hAnsi="Arial" w:cs="Arial"/>
      <w:color w:val="auto"/>
    </w:rPr>
  </w:style>
  <w:style w:type="paragraph" w:customStyle="1" w:styleId="Example">
    <w:name w:val="Example"/>
    <w:basedOn w:val="Default"/>
    <w:next w:val="Default"/>
    <w:uiPriority w:val="99"/>
    <w:rsid w:val="00E94C41"/>
    <w:rPr>
      <w:rFonts w:ascii="Arial" w:eastAsia="Calibri" w:hAnsi="Arial" w:cs="Arial"/>
      <w:color w:val="auto"/>
    </w:rPr>
  </w:style>
  <w:style w:type="character" w:customStyle="1" w:styleId="Appelnotedebasdep">
    <w:name w:val="Appel note de bas de p."/>
    <w:uiPriority w:val="99"/>
    <w:rsid w:val="00E94C41"/>
    <w:rPr>
      <w:color w:val="000000"/>
    </w:rPr>
  </w:style>
  <w:style w:type="paragraph" w:customStyle="1" w:styleId="Titre2">
    <w:name w:val="Titre 2"/>
    <w:basedOn w:val="Default"/>
    <w:next w:val="Default"/>
    <w:uiPriority w:val="99"/>
    <w:rsid w:val="005C327C"/>
    <w:rPr>
      <w:rFonts w:ascii="Arial" w:eastAsia="Calibri" w:hAnsi="Arial" w:cs="Arial"/>
      <w:color w:val="auto"/>
    </w:rPr>
  </w:style>
  <w:style w:type="paragraph" w:customStyle="1" w:styleId="Titre4">
    <w:name w:val="Titre 4"/>
    <w:basedOn w:val="Default"/>
    <w:next w:val="Default"/>
    <w:uiPriority w:val="99"/>
    <w:rsid w:val="005C327C"/>
    <w:rPr>
      <w:rFonts w:ascii="Arial" w:eastAsia="Calibri" w:hAnsi="Arial" w:cs="Arial"/>
      <w:color w:val="auto"/>
    </w:rPr>
  </w:style>
  <w:style w:type="paragraph" w:customStyle="1" w:styleId="detail-odstavec">
    <w:name w:val="detail-odstavec"/>
    <w:basedOn w:val="Normln"/>
    <w:rsid w:val="006C37E3"/>
    <w:pPr>
      <w:spacing w:before="100" w:beforeAutospacing="1" w:after="100" w:afterAutospacing="1"/>
      <w:jc w:val="left"/>
    </w:pPr>
    <w:rPr>
      <w:rFonts w:ascii="Times New Roman" w:eastAsia="Times New Roman" w:hAnsi="Times New Roman"/>
      <w:szCs w:val="24"/>
      <w:lang w:val="en-US"/>
    </w:rPr>
  </w:style>
  <w:style w:type="character" w:customStyle="1" w:styleId="zde">
    <w:name w:val="zde"/>
    <w:basedOn w:val="Standardnpsmoodstavce"/>
    <w:rsid w:val="00F87098"/>
  </w:style>
  <w:style w:type="paragraph" w:customStyle="1" w:styleId="CM1">
    <w:name w:val="CM1"/>
    <w:basedOn w:val="Default"/>
    <w:next w:val="Default"/>
    <w:uiPriority w:val="99"/>
    <w:rsid w:val="00E4652C"/>
    <w:pPr>
      <w:widowControl w:val="0"/>
    </w:pPr>
    <w:rPr>
      <w:rFonts w:ascii="CMSSB X 10" w:eastAsia="Times New Roman" w:hAnsi="CMSSB X 10" w:cs="Times New Roman"/>
      <w:color w:val="auto"/>
    </w:rPr>
  </w:style>
  <w:style w:type="paragraph" w:customStyle="1" w:styleId="CM24">
    <w:name w:val="CM24"/>
    <w:basedOn w:val="Default"/>
    <w:next w:val="Default"/>
    <w:uiPriority w:val="99"/>
    <w:rsid w:val="00E4652C"/>
    <w:pPr>
      <w:widowControl w:val="0"/>
    </w:pPr>
    <w:rPr>
      <w:rFonts w:ascii="CMSSB X 10" w:eastAsia="Times New Roman" w:hAnsi="CMSSB X 10" w:cs="Times New Roman"/>
      <w:color w:val="auto"/>
    </w:rPr>
  </w:style>
  <w:style w:type="paragraph" w:customStyle="1" w:styleId="CM2">
    <w:name w:val="CM2"/>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25">
    <w:name w:val="CM25"/>
    <w:basedOn w:val="Default"/>
    <w:next w:val="Default"/>
    <w:uiPriority w:val="99"/>
    <w:rsid w:val="00E4652C"/>
    <w:pPr>
      <w:widowControl w:val="0"/>
    </w:pPr>
    <w:rPr>
      <w:rFonts w:ascii="CMSSB X 10" w:eastAsia="Times New Roman" w:hAnsi="CMSSB X 10" w:cs="Times New Roman"/>
      <w:color w:val="auto"/>
    </w:rPr>
  </w:style>
  <w:style w:type="paragraph" w:customStyle="1" w:styleId="CM3">
    <w:name w:val="CM3"/>
    <w:basedOn w:val="Default"/>
    <w:next w:val="Default"/>
    <w:uiPriority w:val="99"/>
    <w:rsid w:val="00E4652C"/>
    <w:pPr>
      <w:widowControl w:val="0"/>
      <w:spacing w:line="451" w:lineRule="atLeast"/>
    </w:pPr>
    <w:rPr>
      <w:rFonts w:ascii="CMSSB X 10" w:eastAsia="Times New Roman" w:hAnsi="CMSSB X 10" w:cs="Times New Roman"/>
      <w:color w:val="auto"/>
    </w:rPr>
  </w:style>
  <w:style w:type="paragraph" w:customStyle="1" w:styleId="CM5">
    <w:name w:val="CM5"/>
    <w:basedOn w:val="Default"/>
    <w:next w:val="Default"/>
    <w:uiPriority w:val="99"/>
    <w:rsid w:val="00E4652C"/>
    <w:pPr>
      <w:widowControl w:val="0"/>
      <w:spacing w:line="360" w:lineRule="atLeast"/>
    </w:pPr>
    <w:rPr>
      <w:rFonts w:ascii="CMSSB X 10" w:eastAsia="Times New Roman" w:hAnsi="CMSSB X 10" w:cs="Times New Roman"/>
      <w:color w:val="auto"/>
    </w:rPr>
  </w:style>
  <w:style w:type="paragraph" w:customStyle="1" w:styleId="CM6">
    <w:name w:val="CM6"/>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6">
    <w:name w:val="CM26"/>
    <w:basedOn w:val="Default"/>
    <w:next w:val="Default"/>
    <w:uiPriority w:val="99"/>
    <w:rsid w:val="00E4652C"/>
    <w:pPr>
      <w:widowControl w:val="0"/>
    </w:pPr>
    <w:rPr>
      <w:rFonts w:ascii="CMSSB X 10" w:eastAsia="Times New Roman" w:hAnsi="CMSSB X 10" w:cs="Times New Roman"/>
      <w:color w:val="auto"/>
    </w:rPr>
  </w:style>
  <w:style w:type="paragraph" w:customStyle="1" w:styleId="CM27">
    <w:name w:val="CM27"/>
    <w:basedOn w:val="Default"/>
    <w:next w:val="Default"/>
    <w:uiPriority w:val="99"/>
    <w:rsid w:val="00E4652C"/>
    <w:pPr>
      <w:widowControl w:val="0"/>
    </w:pPr>
    <w:rPr>
      <w:rFonts w:ascii="CMSSB X 10" w:eastAsia="Times New Roman" w:hAnsi="CMSSB X 10" w:cs="Times New Roman"/>
      <w:color w:val="auto"/>
    </w:rPr>
  </w:style>
  <w:style w:type="paragraph" w:customStyle="1" w:styleId="CM28">
    <w:name w:val="CM28"/>
    <w:basedOn w:val="Default"/>
    <w:next w:val="Default"/>
    <w:uiPriority w:val="99"/>
    <w:rsid w:val="00E4652C"/>
    <w:pPr>
      <w:widowControl w:val="0"/>
    </w:pPr>
    <w:rPr>
      <w:rFonts w:ascii="CMSSB X 10" w:eastAsia="Times New Roman" w:hAnsi="CMSSB X 10" w:cs="Times New Roman"/>
      <w:color w:val="auto"/>
    </w:rPr>
  </w:style>
  <w:style w:type="paragraph" w:customStyle="1" w:styleId="CM29">
    <w:name w:val="CM29"/>
    <w:basedOn w:val="Default"/>
    <w:next w:val="Default"/>
    <w:uiPriority w:val="99"/>
    <w:rsid w:val="00E4652C"/>
    <w:pPr>
      <w:widowControl w:val="0"/>
    </w:pPr>
    <w:rPr>
      <w:rFonts w:ascii="CMSSB X 10" w:eastAsia="Times New Roman" w:hAnsi="CMSSB X 10" w:cs="Times New Roman"/>
      <w:color w:val="auto"/>
    </w:rPr>
  </w:style>
  <w:style w:type="paragraph" w:customStyle="1" w:styleId="CM7">
    <w:name w:val="CM7"/>
    <w:basedOn w:val="Default"/>
    <w:next w:val="Default"/>
    <w:uiPriority w:val="99"/>
    <w:rsid w:val="00E4652C"/>
    <w:pPr>
      <w:widowControl w:val="0"/>
    </w:pPr>
    <w:rPr>
      <w:rFonts w:ascii="CMSSB X 10" w:eastAsia="Times New Roman" w:hAnsi="CMSSB X 10" w:cs="Times New Roman"/>
      <w:color w:val="auto"/>
    </w:rPr>
  </w:style>
  <w:style w:type="paragraph" w:customStyle="1" w:styleId="CM8">
    <w:name w:val="CM8"/>
    <w:basedOn w:val="Default"/>
    <w:next w:val="Default"/>
    <w:uiPriority w:val="99"/>
    <w:rsid w:val="00E4652C"/>
    <w:pPr>
      <w:widowControl w:val="0"/>
    </w:pPr>
    <w:rPr>
      <w:rFonts w:ascii="CMSSB X 10" w:eastAsia="Times New Roman" w:hAnsi="CMSSB X 10" w:cs="Times New Roman"/>
      <w:color w:val="auto"/>
    </w:rPr>
  </w:style>
  <w:style w:type="paragraph" w:customStyle="1" w:styleId="CM9">
    <w:name w:val="CM9"/>
    <w:basedOn w:val="Default"/>
    <w:next w:val="Default"/>
    <w:uiPriority w:val="99"/>
    <w:rsid w:val="00E4652C"/>
    <w:pPr>
      <w:widowControl w:val="0"/>
    </w:pPr>
    <w:rPr>
      <w:rFonts w:ascii="CMSSB X 10" w:eastAsia="Times New Roman" w:hAnsi="CMSSB X 10" w:cs="Times New Roman"/>
      <w:color w:val="auto"/>
    </w:rPr>
  </w:style>
  <w:style w:type="paragraph" w:customStyle="1" w:styleId="CM30">
    <w:name w:val="CM30"/>
    <w:basedOn w:val="Default"/>
    <w:next w:val="Default"/>
    <w:uiPriority w:val="99"/>
    <w:rsid w:val="00E4652C"/>
    <w:pPr>
      <w:widowControl w:val="0"/>
    </w:pPr>
    <w:rPr>
      <w:rFonts w:ascii="CMSSB X 10" w:eastAsia="Times New Roman" w:hAnsi="CMSSB X 10" w:cs="Times New Roman"/>
      <w:color w:val="auto"/>
    </w:rPr>
  </w:style>
  <w:style w:type="paragraph" w:customStyle="1" w:styleId="CM31">
    <w:name w:val="CM31"/>
    <w:basedOn w:val="Default"/>
    <w:next w:val="Default"/>
    <w:uiPriority w:val="99"/>
    <w:rsid w:val="00E4652C"/>
    <w:pPr>
      <w:widowControl w:val="0"/>
    </w:pPr>
    <w:rPr>
      <w:rFonts w:ascii="CMSSB X 10" w:eastAsia="Times New Roman" w:hAnsi="CMSSB X 10" w:cs="Times New Roman"/>
      <w:color w:val="auto"/>
    </w:rPr>
  </w:style>
  <w:style w:type="paragraph" w:customStyle="1" w:styleId="CM32">
    <w:name w:val="CM32"/>
    <w:basedOn w:val="Default"/>
    <w:next w:val="Default"/>
    <w:uiPriority w:val="99"/>
    <w:rsid w:val="00E4652C"/>
    <w:pPr>
      <w:widowControl w:val="0"/>
    </w:pPr>
    <w:rPr>
      <w:rFonts w:ascii="CMSSB X 10" w:eastAsia="Times New Roman" w:hAnsi="CMSSB X 10" w:cs="Times New Roman"/>
      <w:color w:val="auto"/>
    </w:rPr>
  </w:style>
  <w:style w:type="paragraph" w:customStyle="1" w:styleId="CM33">
    <w:name w:val="CM33"/>
    <w:basedOn w:val="Default"/>
    <w:next w:val="Default"/>
    <w:uiPriority w:val="99"/>
    <w:rsid w:val="00E4652C"/>
    <w:pPr>
      <w:widowControl w:val="0"/>
    </w:pPr>
    <w:rPr>
      <w:rFonts w:ascii="CMSSB X 10" w:eastAsia="Times New Roman" w:hAnsi="CMSSB X 10" w:cs="Times New Roman"/>
      <w:color w:val="auto"/>
    </w:rPr>
  </w:style>
  <w:style w:type="paragraph" w:customStyle="1" w:styleId="CM12">
    <w:name w:val="CM12"/>
    <w:basedOn w:val="Default"/>
    <w:next w:val="Default"/>
    <w:uiPriority w:val="99"/>
    <w:rsid w:val="00E4652C"/>
    <w:pPr>
      <w:widowControl w:val="0"/>
    </w:pPr>
    <w:rPr>
      <w:rFonts w:ascii="CMSSB X 10" w:eastAsia="Times New Roman" w:hAnsi="CMSSB X 10" w:cs="Times New Roman"/>
      <w:color w:val="auto"/>
    </w:rPr>
  </w:style>
  <w:style w:type="paragraph" w:customStyle="1" w:styleId="CM34">
    <w:name w:val="CM34"/>
    <w:basedOn w:val="Default"/>
    <w:next w:val="Default"/>
    <w:uiPriority w:val="99"/>
    <w:rsid w:val="00E4652C"/>
    <w:pPr>
      <w:widowControl w:val="0"/>
    </w:pPr>
    <w:rPr>
      <w:rFonts w:ascii="CMSSB X 10" w:eastAsia="Times New Roman" w:hAnsi="CMSSB X 10" w:cs="Times New Roman"/>
      <w:color w:val="auto"/>
    </w:rPr>
  </w:style>
  <w:style w:type="paragraph" w:customStyle="1" w:styleId="CM35">
    <w:name w:val="CM35"/>
    <w:basedOn w:val="Default"/>
    <w:next w:val="Default"/>
    <w:uiPriority w:val="99"/>
    <w:rsid w:val="00E4652C"/>
    <w:pPr>
      <w:widowControl w:val="0"/>
    </w:pPr>
    <w:rPr>
      <w:rFonts w:ascii="CMSSB X 10" w:eastAsia="Times New Roman" w:hAnsi="CMSSB X 10" w:cs="Times New Roman"/>
      <w:color w:val="auto"/>
    </w:rPr>
  </w:style>
  <w:style w:type="paragraph" w:customStyle="1" w:styleId="CM14">
    <w:name w:val="CM14"/>
    <w:basedOn w:val="Default"/>
    <w:next w:val="Default"/>
    <w:uiPriority w:val="99"/>
    <w:rsid w:val="00E4652C"/>
    <w:pPr>
      <w:widowControl w:val="0"/>
    </w:pPr>
    <w:rPr>
      <w:rFonts w:ascii="CMSSB X 10" w:eastAsia="Times New Roman" w:hAnsi="CMSSB X 10" w:cs="Times New Roman"/>
      <w:color w:val="auto"/>
    </w:rPr>
  </w:style>
  <w:style w:type="paragraph" w:customStyle="1" w:styleId="CM36">
    <w:name w:val="CM36"/>
    <w:basedOn w:val="Default"/>
    <w:next w:val="Default"/>
    <w:uiPriority w:val="99"/>
    <w:rsid w:val="00E4652C"/>
    <w:pPr>
      <w:widowControl w:val="0"/>
    </w:pPr>
    <w:rPr>
      <w:rFonts w:ascii="CMSSB X 10" w:eastAsia="Times New Roman" w:hAnsi="CMSSB X 10" w:cs="Times New Roman"/>
      <w:color w:val="auto"/>
    </w:rPr>
  </w:style>
  <w:style w:type="paragraph" w:customStyle="1" w:styleId="CM17">
    <w:name w:val="CM17"/>
    <w:basedOn w:val="Default"/>
    <w:next w:val="Default"/>
    <w:uiPriority w:val="99"/>
    <w:rsid w:val="00E4652C"/>
    <w:pPr>
      <w:widowControl w:val="0"/>
    </w:pPr>
    <w:rPr>
      <w:rFonts w:ascii="CMSSB X 10" w:eastAsia="Times New Roman" w:hAnsi="CMSSB X 10" w:cs="Times New Roman"/>
      <w:color w:val="auto"/>
    </w:rPr>
  </w:style>
  <w:style w:type="paragraph" w:customStyle="1" w:styleId="CM19">
    <w:name w:val="CM19"/>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0">
    <w:name w:val="CM20"/>
    <w:basedOn w:val="Default"/>
    <w:next w:val="Default"/>
    <w:uiPriority w:val="99"/>
    <w:rsid w:val="00E4652C"/>
    <w:pPr>
      <w:widowControl w:val="0"/>
      <w:spacing w:line="358" w:lineRule="atLeast"/>
    </w:pPr>
    <w:rPr>
      <w:rFonts w:ascii="CMSSB X 10" w:eastAsia="Times New Roman" w:hAnsi="CMSSB X 10" w:cs="Times New Roman"/>
      <w:color w:val="auto"/>
    </w:rPr>
  </w:style>
  <w:style w:type="paragraph" w:customStyle="1" w:styleId="CM21">
    <w:name w:val="CM21"/>
    <w:basedOn w:val="Default"/>
    <w:next w:val="Default"/>
    <w:uiPriority w:val="99"/>
    <w:rsid w:val="00E4652C"/>
    <w:pPr>
      <w:widowControl w:val="0"/>
      <w:spacing w:line="1140" w:lineRule="atLeast"/>
    </w:pPr>
    <w:rPr>
      <w:rFonts w:ascii="CMSSB X 10" w:eastAsia="Times New Roman" w:hAnsi="CMSSB X 10" w:cs="Times New Roman"/>
      <w:color w:val="auto"/>
    </w:rPr>
  </w:style>
  <w:style w:type="paragraph" w:customStyle="1" w:styleId="CM22">
    <w:name w:val="CM22"/>
    <w:basedOn w:val="Default"/>
    <w:next w:val="Default"/>
    <w:uiPriority w:val="99"/>
    <w:rsid w:val="00E4652C"/>
    <w:pPr>
      <w:widowControl w:val="0"/>
      <w:spacing w:line="358" w:lineRule="atLeast"/>
    </w:pPr>
    <w:rPr>
      <w:rFonts w:ascii="CMSSB X 10" w:eastAsia="Times New Roman" w:hAnsi="CMSSB X 10" w:cs="Times New Roman"/>
      <w:color w:val="auto"/>
    </w:rPr>
  </w:style>
  <w:style w:type="character" w:customStyle="1" w:styleId="ZhlavChar1">
    <w:name w:val="Záhlaví Char1"/>
    <w:aliases w:val="Záhlaví a zápatí Char1"/>
    <w:basedOn w:val="Standardnpsmoodstavce"/>
    <w:link w:val="Zhlav"/>
    <w:uiPriority w:val="99"/>
    <w:rsid w:val="00E4652C"/>
    <w:rPr>
      <w:rFonts w:ascii="Garamond" w:hAnsi="Garamond"/>
      <w:sz w:val="24"/>
      <w:szCs w:val="22"/>
      <w:lang w:val="en-GB"/>
    </w:rPr>
  </w:style>
  <w:style w:type="character" w:customStyle="1" w:styleId="Nadpis3Char1">
    <w:name w:val="Nadpis 3 Char1"/>
    <w:aliases w:val="1.1.1 Heading 3 Char,3 Char1,ASAPHeading 3 Char1,Arial 12 Fett Char,Dipl3 Char1,H3 Char1,H31 Char1,Heading 3 - old Char1,Heading 3 CFMU Char,Heading 3 Char Char Char1,Headline Char1,Headline 3 Char1,Mi Char1,Minor Char1,Nadpis 3 Z Char1"/>
    <w:basedOn w:val="Standardnpsmoodstavce"/>
    <w:link w:val="Nadpis3"/>
    <w:rsid w:val="00FE1B21"/>
    <w:rPr>
      <w:rFonts w:ascii="Cambria" w:eastAsia="Times New Roman" w:hAnsi="Cambria"/>
      <w:b/>
      <w:bCs/>
      <w:sz w:val="24"/>
      <w:szCs w:val="22"/>
    </w:rPr>
  </w:style>
  <w:style w:type="character" w:customStyle="1" w:styleId="Nadpis4Char1">
    <w:name w:val="Nadpis 4 Char1"/>
    <w:aliases w:val="1-1 Char,4 Char1,4heading Char1,FigureHead Char,Figures Only Char1,H4 Char1,Header 4 Char1,Heading 4 - SBC Char1,Heading 4 CFMU Char1,Level 2 - a Char,Map Title Char1,Nadpis 4 Z Char1,Numbered 4 (SBC) Char1,RFQ3 Char1,Subhead C Char"/>
    <w:basedOn w:val="Standardnpsmoodstavce"/>
    <w:link w:val="Nadpis4"/>
    <w:uiPriority w:val="99"/>
    <w:rsid w:val="00F52A18"/>
    <w:rPr>
      <w:rFonts w:ascii="Cambria" w:eastAsia="Times New Roman" w:hAnsi="Cambria"/>
      <w:b/>
      <w:bCs/>
      <w:i/>
      <w:iCs/>
      <w:color w:val="AC9B02"/>
      <w:sz w:val="22"/>
      <w:szCs w:val="22"/>
    </w:rPr>
  </w:style>
  <w:style w:type="paragraph" w:customStyle="1" w:styleId="Note">
    <w:name w:val="Note"/>
    <w:basedOn w:val="Titulek"/>
    <w:link w:val="NoteChar"/>
    <w:qFormat/>
    <w:rsid w:val="00E4652C"/>
    <w:pPr>
      <w:spacing w:before="0" w:line="360" w:lineRule="auto"/>
      <w:ind w:left="1440"/>
    </w:pPr>
    <w:rPr>
      <w:rFonts w:ascii="Times New Roman" w:hAnsi="Times New Roman"/>
    </w:rPr>
  </w:style>
  <w:style w:type="paragraph" w:customStyle="1" w:styleId="Text0">
    <w:name w:val="Text"/>
    <w:basedOn w:val="Default"/>
    <w:link w:val="TextChar"/>
    <w:rsid w:val="00E4652C"/>
    <w:pPr>
      <w:widowControl w:val="0"/>
      <w:spacing w:line="538" w:lineRule="atLeast"/>
    </w:pPr>
    <w:rPr>
      <w:rFonts w:ascii="Times New Roman" w:eastAsia="Times New Roman" w:hAnsi="Times New Roman"/>
    </w:rPr>
  </w:style>
  <w:style w:type="character" w:customStyle="1" w:styleId="TitulekChar">
    <w:name w:val="Titulek Char"/>
    <w:aliases w:val=" Char Char Char,Beschriftung_tab Char,EEIP_Titulek Char,Figure Caption Char,Figure Caption + Avant : 14 pt Char,Motif : Transparente (Gris - 15 %) Char,TF Char,Tabulka Char,Tabulka-PK Char,Tabulka_nadpis Char,Title for table Char,graph Char"/>
    <w:basedOn w:val="Standardnpsmoodstavce"/>
    <w:link w:val="Titulek"/>
    <w:uiPriority w:val="35"/>
    <w:qFormat/>
    <w:rsid w:val="00EC3868"/>
    <w:rPr>
      <w:rFonts w:ascii="Garamond" w:eastAsia="Times New Roman" w:hAnsi="Garamond"/>
      <w:b/>
      <w:bCs/>
      <w:color w:val="000000"/>
      <w:sz w:val="22"/>
      <w:lang w:eastAsia="cs-CZ"/>
    </w:rPr>
  </w:style>
  <w:style w:type="character" w:customStyle="1" w:styleId="NoteChar">
    <w:name w:val="Note Char"/>
    <w:basedOn w:val="TitulekChar"/>
    <w:link w:val="Note"/>
    <w:rsid w:val="00E4652C"/>
    <w:rPr>
      <w:rFonts w:ascii="Times New Roman" w:eastAsia="Times New Roman" w:hAnsi="Times New Roman"/>
      <w:b/>
      <w:bCs/>
      <w:i w:val="0"/>
      <w:color w:val="000000"/>
      <w:sz w:val="24"/>
      <w:szCs w:val="18"/>
      <w:lang w:val="en-GB" w:eastAsia="cs-CZ"/>
    </w:rPr>
  </w:style>
  <w:style w:type="character" w:customStyle="1" w:styleId="DefaultChar">
    <w:name w:val="Default Char"/>
    <w:basedOn w:val="Standardnpsmoodstavce"/>
    <w:link w:val="Default"/>
    <w:rsid w:val="00E4652C"/>
    <w:rPr>
      <w:rFonts w:eastAsia="MS Mincho" w:cs="Calibri"/>
      <w:color w:val="000000"/>
      <w:sz w:val="24"/>
      <w:szCs w:val="24"/>
    </w:rPr>
  </w:style>
  <w:style w:type="character" w:customStyle="1" w:styleId="TextChar">
    <w:name w:val="Text Char"/>
    <w:basedOn w:val="DefaultChar"/>
    <w:link w:val="Text0"/>
    <w:rsid w:val="00E4652C"/>
    <w:rPr>
      <w:rFonts w:ascii="Times New Roman" w:eastAsia="Times New Roman" w:hAnsi="Times New Roman" w:cs="Calibri"/>
      <w:color w:val="000000"/>
      <w:sz w:val="24"/>
      <w:szCs w:val="24"/>
    </w:rPr>
  </w:style>
  <w:style w:type="character" w:styleId="slodku">
    <w:name w:val="line number"/>
    <w:basedOn w:val="Standardnpsmoodstavce"/>
    <w:uiPriority w:val="99"/>
    <w:semiHidden/>
    <w:unhideWhenUsed/>
    <w:rsid w:val="00E4652C"/>
  </w:style>
  <w:style w:type="character" w:customStyle="1" w:styleId="Nadpis5Char1">
    <w:name w:val="Nadpis 5 Char1"/>
    <w:aliases w:val="nadpis 5 Char1"/>
    <w:basedOn w:val="Standardnpsmoodstavce"/>
    <w:link w:val="Nadpis5"/>
    <w:uiPriority w:val="9"/>
    <w:rsid w:val="00F52A18"/>
    <w:rPr>
      <w:rFonts w:eastAsia="Times New Roman"/>
      <w:b/>
      <w:bCs/>
      <w:i/>
      <w:iCs/>
      <w:sz w:val="22"/>
      <w:szCs w:val="26"/>
    </w:rPr>
  </w:style>
  <w:style w:type="character" w:customStyle="1" w:styleId="Nadpis6Char1">
    <w:name w:val="Nadpis 6 Char1"/>
    <w:basedOn w:val="Standardnpsmoodstavce"/>
    <w:link w:val="Nadpis6"/>
    <w:uiPriority w:val="9"/>
    <w:rsid w:val="00D4266B"/>
    <w:rPr>
      <w:rFonts w:eastAsia="Times New Roman"/>
      <w:bCs/>
      <w:sz w:val="22"/>
      <w:szCs w:val="22"/>
      <w:u w:val="single"/>
    </w:rPr>
  </w:style>
  <w:style w:type="character" w:customStyle="1" w:styleId="Nadpis7Char1">
    <w:name w:val="Nadpis 7 Char1"/>
    <w:basedOn w:val="Standardnpsmoodstavce"/>
    <w:link w:val="Nadpis7"/>
    <w:uiPriority w:val="9"/>
    <w:rsid w:val="00E4652C"/>
    <w:rPr>
      <w:rFonts w:eastAsia="Times New Roman"/>
      <w:sz w:val="24"/>
      <w:szCs w:val="24"/>
    </w:rPr>
  </w:style>
  <w:style w:type="character" w:customStyle="1" w:styleId="Nadpis8Char1">
    <w:name w:val="Nadpis 8 Char1"/>
    <w:basedOn w:val="Standardnpsmoodstavce"/>
    <w:link w:val="Nadpis8"/>
    <w:uiPriority w:val="9"/>
    <w:rsid w:val="00E4652C"/>
    <w:rPr>
      <w:rFonts w:eastAsia="Times New Roman"/>
      <w:i/>
      <w:iCs/>
      <w:sz w:val="24"/>
      <w:szCs w:val="24"/>
    </w:rPr>
  </w:style>
  <w:style w:type="character" w:customStyle="1" w:styleId="Nadpis9Char1">
    <w:name w:val="Nadpis 9 Char1"/>
    <w:basedOn w:val="Standardnpsmoodstavce"/>
    <w:link w:val="Nadpis9"/>
    <w:uiPriority w:val="9"/>
    <w:rsid w:val="00E4652C"/>
    <w:rPr>
      <w:rFonts w:ascii="Cambria" w:eastAsia="Times New Roman" w:hAnsi="Cambria"/>
      <w:sz w:val="24"/>
      <w:szCs w:val="22"/>
    </w:rPr>
  </w:style>
  <w:style w:type="character" w:customStyle="1" w:styleId="TextkomenteChar1">
    <w:name w:val="Text komentáře Char1"/>
    <w:aliases w:val="Text poznámky Char1"/>
    <w:basedOn w:val="Standardnpsmoodstavce"/>
    <w:link w:val="Textkomente"/>
    <w:uiPriority w:val="99"/>
    <w:rsid w:val="00E4652C"/>
    <w:rPr>
      <w:rFonts w:ascii="Garamond" w:hAnsi="Garamond"/>
      <w:lang w:val="en-GB"/>
    </w:rPr>
  </w:style>
  <w:style w:type="paragraph" w:styleId="Hlavikaobsahu">
    <w:name w:val="toa heading"/>
    <w:basedOn w:val="Normln"/>
    <w:next w:val="Normln"/>
    <w:uiPriority w:val="99"/>
    <w:semiHidden/>
    <w:unhideWhenUsed/>
    <w:rsid w:val="00E4652C"/>
    <w:pPr>
      <w:autoSpaceDE w:val="0"/>
      <w:autoSpaceDN w:val="0"/>
      <w:adjustRightInd w:val="0"/>
      <w:spacing w:after="200" w:line="360" w:lineRule="auto"/>
      <w:jc w:val="left"/>
    </w:pPr>
    <w:rPr>
      <w:rFonts w:asciiTheme="majorHAnsi" w:eastAsiaTheme="majorEastAsia" w:hAnsiTheme="majorHAnsi" w:cstheme="majorBidi"/>
      <w:b/>
      <w:bCs/>
      <w:szCs w:val="24"/>
      <w:lang w:val="en-US"/>
    </w:rPr>
  </w:style>
  <w:style w:type="paragraph" w:styleId="Seznamcitac">
    <w:name w:val="table of authorities"/>
    <w:basedOn w:val="Normln"/>
    <w:next w:val="Normln"/>
    <w:uiPriority w:val="99"/>
    <w:semiHidden/>
    <w:unhideWhenUsed/>
    <w:rsid w:val="00E4652C"/>
    <w:pPr>
      <w:autoSpaceDE w:val="0"/>
      <w:autoSpaceDN w:val="0"/>
      <w:adjustRightInd w:val="0"/>
      <w:spacing w:after="0" w:line="360" w:lineRule="auto"/>
      <w:ind w:left="240" w:hanging="240"/>
      <w:jc w:val="left"/>
    </w:pPr>
    <w:rPr>
      <w:rFonts w:ascii="Times New Roman" w:eastAsiaTheme="minorHAnsi" w:hAnsi="Times New Roman" w:cs="Times-Roman"/>
      <w:szCs w:val="20"/>
      <w:lang w:val="en-US"/>
    </w:rPr>
  </w:style>
  <w:style w:type="paragraph" w:customStyle="1" w:styleId="free">
    <w:name w:val="free"/>
    <w:basedOn w:val="Normln"/>
    <w:rsid w:val="00E4652C"/>
    <w:pPr>
      <w:spacing w:before="100" w:beforeAutospacing="1" w:after="100" w:afterAutospacing="1"/>
      <w:jc w:val="left"/>
    </w:pPr>
    <w:rPr>
      <w:rFonts w:ascii="Times New Roman" w:eastAsia="Times New Roman" w:hAnsi="Times New Roman"/>
      <w:szCs w:val="24"/>
      <w:lang w:eastAsia="cs-CZ"/>
    </w:rPr>
  </w:style>
  <w:style w:type="character" w:customStyle="1" w:styleId="PedmtkomenteChar1">
    <w:name w:val="Předmět komentáře Char1"/>
    <w:basedOn w:val="TextkomenteChar1"/>
    <w:link w:val="Pedmtkomente"/>
    <w:uiPriority w:val="99"/>
    <w:rsid w:val="00E4652C"/>
    <w:rPr>
      <w:rFonts w:ascii="Garamond" w:hAnsi="Garamond"/>
      <w:b/>
      <w:bCs/>
      <w:lang w:val="en-GB"/>
    </w:rPr>
  </w:style>
  <w:style w:type="paragraph" w:customStyle="1" w:styleId="definicetext">
    <w:name w:val="definice text"/>
    <w:basedOn w:val="Normln"/>
    <w:link w:val="definicetextChar"/>
    <w:rsid w:val="00E4652C"/>
    <w:pPr>
      <w:spacing w:after="0" w:line="360" w:lineRule="auto"/>
      <w:ind w:left="720" w:right="567"/>
    </w:pPr>
    <w:rPr>
      <w:rFonts w:ascii="Times New Roman" w:eastAsia="Times New Roman" w:hAnsi="Times New Roman"/>
      <w:i/>
      <w:color w:val="000000" w:themeColor="text1"/>
      <w:szCs w:val="24"/>
      <w:lang w:val="en-US"/>
    </w:rPr>
  </w:style>
  <w:style w:type="paragraph" w:customStyle="1" w:styleId="definicenadpis">
    <w:name w:val="definice nadpis"/>
    <w:basedOn w:val="Normln"/>
    <w:link w:val="definicenadpisChar"/>
    <w:rsid w:val="00E4652C"/>
    <w:pPr>
      <w:spacing w:after="0" w:line="360" w:lineRule="auto"/>
      <w:ind w:left="720"/>
    </w:pPr>
    <w:rPr>
      <w:rFonts w:ascii="Times New Roman" w:eastAsia="Times New Roman" w:hAnsi="Times New Roman"/>
      <w:b/>
      <w:i/>
      <w:lang w:val="en-US"/>
    </w:rPr>
  </w:style>
  <w:style w:type="character" w:customStyle="1" w:styleId="definicetextChar">
    <w:name w:val="definice text Char"/>
    <w:basedOn w:val="Standardnpsmoodstavce"/>
    <w:link w:val="definicetext"/>
    <w:rsid w:val="00E4652C"/>
    <w:rPr>
      <w:rFonts w:ascii="Times New Roman" w:eastAsia="Times New Roman" w:hAnsi="Times New Roman"/>
      <w:i/>
      <w:color w:val="000000" w:themeColor="text1"/>
      <w:sz w:val="24"/>
      <w:szCs w:val="24"/>
    </w:rPr>
  </w:style>
  <w:style w:type="paragraph" w:customStyle="1" w:styleId="vpis">
    <w:name w:val="výpis"/>
    <w:basedOn w:val="Odstavecseseznamem"/>
    <w:link w:val="vpisChar"/>
    <w:rsid w:val="00E4652C"/>
    <w:pPr>
      <w:numPr>
        <w:numId w:val="10"/>
      </w:numPr>
      <w:autoSpaceDE w:val="0"/>
      <w:autoSpaceDN w:val="0"/>
      <w:adjustRightInd w:val="0"/>
      <w:spacing w:after="0" w:line="360" w:lineRule="auto"/>
      <w:outlineLvl w:val="0"/>
    </w:pPr>
    <w:rPr>
      <w:rFonts w:ascii="Times New Roman" w:eastAsia="Times New Roman" w:hAnsi="Times New Roman"/>
      <w:b/>
      <w:i/>
      <w:szCs w:val="24"/>
    </w:rPr>
  </w:style>
  <w:style w:type="character" w:customStyle="1" w:styleId="definicenadpisChar">
    <w:name w:val="definice nadpis Char"/>
    <w:basedOn w:val="Standardnpsmoodstavce"/>
    <w:link w:val="definicenadpis"/>
    <w:rsid w:val="00E4652C"/>
    <w:rPr>
      <w:rFonts w:ascii="Times New Roman" w:eastAsia="Times New Roman" w:hAnsi="Times New Roman"/>
      <w:b/>
      <w:i/>
      <w:sz w:val="24"/>
      <w:szCs w:val="22"/>
    </w:rPr>
  </w:style>
  <w:style w:type="paragraph" w:customStyle="1" w:styleId="citace">
    <w:name w:val="citace"/>
    <w:basedOn w:val="Normlnweb"/>
    <w:link w:val="citaceChar0"/>
    <w:rsid w:val="00E4652C"/>
    <w:rPr>
      <w:noProof/>
    </w:rPr>
  </w:style>
  <w:style w:type="character" w:customStyle="1" w:styleId="OdstavecseseznamemChar">
    <w:name w:val="Odstavec se seznamem Char"/>
    <w:aliases w:val="A-Odrážky1 Char,List Paragraph2 Char,Nad Char,Nad1 Char,Nad2 Char,Odstavec cíl se seznamem Char,Odstavec1 Char,Odstavec_muj Char,Odstavec_muj1 Char,Odstavec_muj2 Char,Odstavec_muj3 Char,Odstavec_muj4 Char,Odstavec_muj5 Char"/>
    <w:basedOn w:val="Standardnpsmoodstavce"/>
    <w:link w:val="Odstavecseseznamem"/>
    <w:uiPriority w:val="34"/>
    <w:qFormat/>
    <w:rsid w:val="00E4652C"/>
    <w:rPr>
      <w:rFonts w:ascii="Garamond" w:hAnsi="Garamond"/>
      <w:sz w:val="24"/>
      <w:szCs w:val="22"/>
      <w:lang w:val="en-GB"/>
    </w:rPr>
  </w:style>
  <w:style w:type="character" w:customStyle="1" w:styleId="vpisChar">
    <w:name w:val="výpis Char"/>
    <w:basedOn w:val="OdstavecseseznamemChar"/>
    <w:link w:val="vpis"/>
    <w:rsid w:val="00E4652C"/>
    <w:rPr>
      <w:rFonts w:ascii="Times New Roman" w:eastAsia="Times New Roman" w:hAnsi="Times New Roman"/>
      <w:b/>
      <w:i/>
      <w:sz w:val="24"/>
      <w:szCs w:val="24"/>
      <w:lang w:val="en-GB"/>
    </w:rPr>
  </w:style>
  <w:style w:type="character" w:customStyle="1" w:styleId="NormlnwebChar">
    <w:name w:val="Normální (web) Char"/>
    <w:basedOn w:val="Standardnpsmoodstavce"/>
    <w:link w:val="Normlnweb"/>
    <w:uiPriority w:val="99"/>
    <w:rsid w:val="00022391"/>
    <w:rPr>
      <w:rFonts w:ascii="Garamond" w:hAnsi="Garamond"/>
      <w:sz w:val="24"/>
      <w:szCs w:val="22"/>
    </w:rPr>
  </w:style>
  <w:style w:type="character" w:customStyle="1" w:styleId="citaceChar0">
    <w:name w:val="citace Char"/>
    <w:basedOn w:val="NormlnwebChar"/>
    <w:link w:val="citace"/>
    <w:rsid w:val="00E4652C"/>
    <w:rPr>
      <w:rFonts w:ascii="Times New Roman" w:eastAsia="Times New Roman" w:hAnsi="Times New Roman"/>
      <w:noProof/>
      <w:sz w:val="24"/>
      <w:szCs w:val="24"/>
      <w:lang w:val="en-GB" w:eastAsia="cs-CZ"/>
    </w:rPr>
  </w:style>
  <w:style w:type="paragraph" w:customStyle="1" w:styleId="poznpodarou">
    <w:name w:val="pozn. pod čarou"/>
    <w:basedOn w:val="Normln"/>
    <w:link w:val="poznpodarouChar"/>
    <w:rsid w:val="00E4652C"/>
    <w:pPr>
      <w:spacing w:line="276" w:lineRule="auto"/>
    </w:pPr>
    <w:rPr>
      <w:rFonts w:ascii="Times New Roman" w:eastAsia="Times New Roman" w:hAnsi="Times New Roman"/>
      <w:sz w:val="20"/>
      <w:lang w:val="en-US"/>
    </w:rPr>
  </w:style>
  <w:style w:type="character" w:customStyle="1" w:styleId="poznpodarouChar">
    <w:name w:val="pozn. pod čarou Char"/>
    <w:basedOn w:val="Standardnpsmoodstavce"/>
    <w:link w:val="poznpodarou"/>
    <w:rsid w:val="00E4652C"/>
    <w:rPr>
      <w:rFonts w:ascii="Times New Roman" w:eastAsia="Times New Roman" w:hAnsi="Times New Roman"/>
      <w:szCs w:val="22"/>
    </w:rPr>
  </w:style>
  <w:style w:type="character" w:customStyle="1" w:styleId="bold">
    <w:name w:val="bold"/>
    <w:basedOn w:val="Standardnpsmoodstavce"/>
    <w:rsid w:val="00E4652C"/>
  </w:style>
  <w:style w:type="character" w:customStyle="1" w:styleId="webname">
    <w:name w:val="webname"/>
    <w:basedOn w:val="Standardnpsmoodstavce"/>
    <w:rsid w:val="00E4652C"/>
  </w:style>
  <w:style w:type="paragraph" w:styleId="Textvysvtlivek">
    <w:name w:val="endnote text"/>
    <w:basedOn w:val="Normln"/>
    <w:link w:val="TextvysvtlivekChar"/>
    <w:semiHidden/>
    <w:unhideWhenUsed/>
    <w:rsid w:val="00E4652C"/>
    <w:pPr>
      <w:spacing w:before="0" w:after="0"/>
    </w:pPr>
    <w:rPr>
      <w:rFonts w:ascii="Times New Roman" w:eastAsia="Times New Roman" w:hAnsi="Times New Roman"/>
      <w:sz w:val="20"/>
      <w:szCs w:val="20"/>
      <w:lang w:val="en-US"/>
    </w:rPr>
  </w:style>
  <w:style w:type="character" w:customStyle="1" w:styleId="TextvysvtlivekChar">
    <w:name w:val="Text vysvětlivek Char"/>
    <w:basedOn w:val="Standardnpsmoodstavce"/>
    <w:link w:val="Textvysvtlivek"/>
    <w:semiHidden/>
    <w:rsid w:val="00E4652C"/>
    <w:rPr>
      <w:rFonts w:ascii="Times New Roman" w:eastAsia="Times New Roman" w:hAnsi="Times New Roman"/>
    </w:rPr>
  </w:style>
  <w:style w:type="character" w:styleId="Odkaznavysvtlivky">
    <w:name w:val="endnote reference"/>
    <w:basedOn w:val="Standardnpsmoodstavce"/>
    <w:semiHidden/>
    <w:unhideWhenUsed/>
    <w:rsid w:val="00E4652C"/>
    <w:rPr>
      <w:vertAlign w:val="superscript"/>
    </w:rPr>
  </w:style>
  <w:style w:type="character" w:customStyle="1" w:styleId="reference-accessdate">
    <w:name w:val="reference-accessdate"/>
    <w:basedOn w:val="Standardnpsmoodstavce"/>
    <w:rsid w:val="00E4652C"/>
  </w:style>
  <w:style w:type="character" w:customStyle="1" w:styleId="articledate">
    <w:name w:val="articledate"/>
    <w:basedOn w:val="Standardnpsmoodstavce"/>
    <w:rsid w:val="001F65F9"/>
  </w:style>
  <w:style w:type="character" w:customStyle="1" w:styleId="goog-trans-section">
    <w:name w:val="goog-trans-section"/>
    <w:basedOn w:val="Standardnpsmoodstavce"/>
    <w:rsid w:val="001F65F9"/>
  </w:style>
  <w:style w:type="character" w:customStyle="1" w:styleId="Datum1">
    <w:name w:val="Datum1"/>
    <w:basedOn w:val="Standardnpsmoodstavce"/>
    <w:rsid w:val="00A207C1"/>
  </w:style>
  <w:style w:type="character" w:customStyle="1" w:styleId="sep">
    <w:name w:val="sep"/>
    <w:basedOn w:val="Standardnpsmoodstavce"/>
    <w:rsid w:val="00A207C1"/>
  </w:style>
  <w:style w:type="table" w:customStyle="1" w:styleId="TableGrid4">
    <w:name w:val="Table Grid4"/>
    <w:basedOn w:val="Normlntabulka"/>
    <w:next w:val="Mkatabulky"/>
    <w:uiPriority w:val="59"/>
    <w:rsid w:val="00F1317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A5B8D0E64CA4985BBFCEFDF165F36CC">
    <w:name w:val="3A5B8D0E64CA4985BBFCEFDF165F36CC"/>
    <w:rsid w:val="00F1317B"/>
    <w:pPr>
      <w:spacing w:after="200" w:line="276" w:lineRule="auto"/>
    </w:pPr>
    <w:rPr>
      <w:rFonts w:eastAsia="Times New Roman"/>
      <w:sz w:val="22"/>
      <w:szCs w:val="22"/>
    </w:rPr>
  </w:style>
  <w:style w:type="character" w:customStyle="1" w:styleId="BezmezerChar">
    <w:name w:val="Bez mezer Char"/>
    <w:aliases w:val="podtrženo Char"/>
    <w:basedOn w:val="Standardnpsmoodstavce"/>
    <w:link w:val="Bezmezer"/>
    <w:uiPriority w:val="1"/>
    <w:rsid w:val="00F1317B"/>
    <w:rPr>
      <w:rFonts w:ascii="Garamond" w:hAnsi="Garamond"/>
      <w:sz w:val="24"/>
      <w:szCs w:val="22"/>
      <w:lang w:val="cs-CZ"/>
    </w:rPr>
  </w:style>
  <w:style w:type="paragraph" w:customStyle="1" w:styleId="TITULNISTRANKA">
    <w:name w:val="TITULNI STRANKA"/>
    <w:basedOn w:val="Normln"/>
    <w:next w:val="Normln"/>
    <w:rsid w:val="00F1317B"/>
    <w:pPr>
      <w:spacing w:before="0" w:after="0" w:line="360" w:lineRule="auto"/>
      <w:jc w:val="center"/>
    </w:pPr>
    <w:rPr>
      <w:rFonts w:ascii="Arial" w:eastAsia="Times New Roman" w:hAnsi="Arial" w:cs="Arial"/>
      <w:b/>
      <w:smallCaps/>
      <w:sz w:val="36"/>
      <w:szCs w:val="36"/>
      <w:lang w:eastAsia="cs-CZ"/>
    </w:rPr>
  </w:style>
  <w:style w:type="paragraph" w:customStyle="1" w:styleId="Char4CharCharChar">
    <w:name w:val="Char4 Char Char Char"/>
    <w:basedOn w:val="Normln"/>
    <w:rsid w:val="00F1317B"/>
    <w:pPr>
      <w:spacing w:before="0" w:after="160" w:line="240" w:lineRule="exact"/>
      <w:jc w:val="left"/>
    </w:pPr>
    <w:rPr>
      <w:rFonts w:ascii="Times New Roman Bold" w:eastAsia="Times New Roman" w:hAnsi="Times New Roman Bold"/>
      <w:sz w:val="22"/>
      <w:szCs w:val="26"/>
      <w:lang w:val="sk-SK"/>
    </w:rPr>
  </w:style>
  <w:style w:type="paragraph" w:customStyle="1" w:styleId="Char4CharCharChar2">
    <w:name w:val="Char4 Char Char Char2"/>
    <w:basedOn w:val="Normln"/>
    <w:rsid w:val="000C17C0"/>
    <w:pPr>
      <w:spacing w:before="0" w:after="160" w:line="240" w:lineRule="exact"/>
      <w:jc w:val="left"/>
    </w:pPr>
    <w:rPr>
      <w:rFonts w:ascii="Times New Roman Bold" w:eastAsia="Times New Roman" w:hAnsi="Times New Roman Bold"/>
      <w:sz w:val="22"/>
      <w:szCs w:val="26"/>
      <w:lang w:val="sk-SK"/>
    </w:rPr>
  </w:style>
  <w:style w:type="character" w:styleId="Nzevknihy">
    <w:name w:val="Book Title"/>
    <w:basedOn w:val="Standardnpsmoodstavce"/>
    <w:uiPriority w:val="33"/>
    <w:qFormat/>
    <w:rsid w:val="00C608DF"/>
    <w:rPr>
      <w:b/>
      <w:bCs/>
      <w:smallCaps/>
      <w:spacing w:val="5"/>
    </w:rPr>
  </w:style>
  <w:style w:type="character" w:styleId="Zdraznnintenzivn">
    <w:name w:val="Intense Emphasis"/>
    <w:basedOn w:val="Standardnpsmoodstavce"/>
    <w:uiPriority w:val="21"/>
    <w:qFormat/>
    <w:rsid w:val="00D90EF8"/>
    <w:rPr>
      <w:b/>
      <w:bCs/>
      <w:i/>
      <w:iCs/>
      <w:color w:val="B6B002" w:themeColor="accent1"/>
    </w:rPr>
  </w:style>
  <w:style w:type="paragraph" w:customStyle="1" w:styleId="Char4CharCharChar1">
    <w:name w:val="Char4 Char Char Char1"/>
    <w:basedOn w:val="Normln"/>
    <w:rsid w:val="00DA287E"/>
    <w:pPr>
      <w:spacing w:before="0" w:after="160" w:line="240" w:lineRule="exact"/>
      <w:jc w:val="left"/>
    </w:pPr>
    <w:rPr>
      <w:rFonts w:ascii="Times New Roman Bold" w:eastAsia="Times New Roman" w:hAnsi="Times New Roman Bold"/>
      <w:sz w:val="22"/>
      <w:szCs w:val="26"/>
      <w:lang w:val="sk-SK"/>
    </w:rPr>
  </w:style>
  <w:style w:type="paragraph" w:customStyle="1" w:styleId="Rfrenceinstitutionelle">
    <w:name w:val="Référence institutionelle"/>
    <w:basedOn w:val="Normln"/>
    <w:next w:val="Normln"/>
    <w:rsid w:val="00CF3D53"/>
    <w:pPr>
      <w:spacing w:before="0" w:after="240"/>
      <w:ind w:left="5103"/>
      <w:jc w:val="left"/>
    </w:pPr>
    <w:rPr>
      <w:rFonts w:ascii="Times New Roman" w:eastAsia="Times New Roman" w:hAnsi="Times New Roman"/>
      <w:szCs w:val="20"/>
      <w:lang w:eastAsia="en-GB"/>
    </w:rPr>
  </w:style>
  <w:style w:type="paragraph" w:customStyle="1" w:styleId="Typedudocument">
    <w:name w:val="Type du document"/>
    <w:basedOn w:val="Normln"/>
    <w:next w:val="Normln"/>
    <w:link w:val="TypedudocumentChar"/>
    <w:rsid w:val="00CF3D53"/>
    <w:pPr>
      <w:spacing w:before="360" w:after="0"/>
      <w:jc w:val="center"/>
    </w:pPr>
    <w:rPr>
      <w:rFonts w:ascii="Times New Roman" w:eastAsia="Times New Roman" w:hAnsi="Times New Roman"/>
      <w:b/>
      <w:szCs w:val="20"/>
      <w:lang w:eastAsia="en-GB"/>
    </w:rPr>
  </w:style>
  <w:style w:type="paragraph" w:customStyle="1" w:styleId="Confidentialit">
    <w:name w:val="Confidentialité"/>
    <w:basedOn w:val="Normln"/>
    <w:next w:val="Normln"/>
    <w:rsid w:val="00CF3D53"/>
    <w:pPr>
      <w:spacing w:before="240" w:after="240"/>
      <w:ind w:left="5103"/>
    </w:pPr>
    <w:rPr>
      <w:rFonts w:ascii="Times New Roman" w:eastAsia="Times New Roman" w:hAnsi="Times New Roman"/>
      <w:szCs w:val="20"/>
      <w:u w:val="single"/>
      <w:lang w:eastAsia="en-GB"/>
    </w:rPr>
  </w:style>
  <w:style w:type="character" w:customStyle="1" w:styleId="tw4winMark">
    <w:name w:val="tw4winMark"/>
    <w:rsid w:val="00FC2B27"/>
    <w:rPr>
      <w:vanish/>
      <w:color w:val="800080"/>
      <w:vertAlign w:val="subscript"/>
    </w:rPr>
  </w:style>
  <w:style w:type="paragraph" w:customStyle="1" w:styleId="odst">
    <w:name w:val="odst"/>
    <w:basedOn w:val="Normln"/>
    <w:rsid w:val="00163D9D"/>
    <w:pPr>
      <w:spacing w:before="100" w:beforeAutospacing="1" w:after="100" w:afterAutospacing="1"/>
      <w:jc w:val="left"/>
    </w:pPr>
    <w:rPr>
      <w:rFonts w:ascii="Times New Roman" w:eastAsia="Times New Roman" w:hAnsi="Times New Roman"/>
      <w:szCs w:val="24"/>
      <w:lang w:eastAsia="cs-CZ"/>
    </w:rPr>
  </w:style>
  <w:style w:type="character" w:customStyle="1" w:styleId="d-b">
    <w:name w:val="d-b"/>
    <w:basedOn w:val="Standardnpsmoodstavce"/>
    <w:rsid w:val="00846D63"/>
  </w:style>
  <w:style w:type="character" w:customStyle="1" w:styleId="fs-12">
    <w:name w:val="fs-12"/>
    <w:basedOn w:val="Standardnpsmoodstavce"/>
    <w:rsid w:val="00846D63"/>
  </w:style>
  <w:style w:type="character" w:customStyle="1" w:styleId="fs-11">
    <w:name w:val="fs-11"/>
    <w:basedOn w:val="Standardnpsmoodstavce"/>
    <w:rsid w:val="00846D63"/>
  </w:style>
  <w:style w:type="paragraph" w:customStyle="1" w:styleId="Barevnseznamzvraznn11">
    <w:name w:val="Barevný seznam – zvýraznění 11"/>
    <w:basedOn w:val="Normln"/>
    <w:link w:val="Barevnseznamzvraznn1Char"/>
    <w:uiPriority w:val="99"/>
    <w:rsid w:val="00745EFC"/>
    <w:pPr>
      <w:spacing w:before="0" w:after="0"/>
      <w:ind w:left="720"/>
      <w:contextualSpacing/>
      <w:jc w:val="left"/>
    </w:pPr>
    <w:rPr>
      <w:rFonts w:ascii="Times New Roman" w:eastAsia="Times New Roman" w:hAnsi="Times New Roman"/>
      <w:sz w:val="20"/>
      <w:szCs w:val="20"/>
      <w:lang w:eastAsia="cs-CZ"/>
    </w:rPr>
  </w:style>
  <w:style w:type="paragraph" w:customStyle="1" w:styleId="Normodsaz">
    <w:name w:val="Norm.odsaz."/>
    <w:basedOn w:val="Normln"/>
    <w:uiPriority w:val="99"/>
    <w:rsid w:val="00745EFC"/>
    <w:pPr>
      <w:autoSpaceDE w:val="0"/>
      <w:autoSpaceDN w:val="0"/>
    </w:pPr>
    <w:rPr>
      <w:rFonts w:ascii="Times New Roman" w:hAnsi="Times New Roman"/>
      <w:szCs w:val="24"/>
      <w:lang w:eastAsia="cs-CZ"/>
    </w:rPr>
  </w:style>
  <w:style w:type="character" w:customStyle="1" w:styleId="Barevnseznamzvraznn1Char">
    <w:name w:val="Barevný seznam – zvýraznění 1 Char"/>
    <w:link w:val="Barevnseznamzvraznn11"/>
    <w:uiPriority w:val="99"/>
    <w:rsid w:val="00745EFC"/>
    <w:rPr>
      <w:rFonts w:ascii="Times New Roman" w:eastAsia="Times New Roman" w:hAnsi="Times New Roman"/>
      <w:lang w:val="cs-CZ" w:eastAsia="cs-CZ"/>
    </w:rPr>
  </w:style>
  <w:style w:type="paragraph" w:customStyle="1" w:styleId="odrky1">
    <w:name w:val="odrážky1"/>
    <w:basedOn w:val="Normln"/>
    <w:uiPriority w:val="99"/>
    <w:rsid w:val="00D0793B"/>
    <w:pPr>
      <w:widowControl w:val="0"/>
      <w:numPr>
        <w:numId w:val="12"/>
      </w:numPr>
      <w:autoSpaceDE w:val="0"/>
      <w:autoSpaceDN w:val="0"/>
      <w:adjustRightInd w:val="0"/>
      <w:spacing w:before="0" w:line="288" w:lineRule="auto"/>
      <w:contextualSpacing/>
    </w:pPr>
    <w:rPr>
      <w:rFonts w:ascii="Arial" w:eastAsia="Times New Roman" w:hAnsi="Arial" w:cs="Arial"/>
      <w:szCs w:val="24"/>
      <w:lang w:eastAsia="cs-CZ"/>
    </w:rPr>
  </w:style>
  <w:style w:type="paragraph" w:customStyle="1" w:styleId="Nadpis10">
    <w:name w:val="Nadpis (1)"/>
    <w:basedOn w:val="Nadpis1"/>
    <w:link w:val="Nadpis1Char0"/>
    <w:qFormat/>
    <w:rsid w:val="006B26AF"/>
    <w:pPr>
      <w:numPr>
        <w:numId w:val="69"/>
      </w:numPr>
      <w:ind w:left="357" w:hanging="357"/>
    </w:pPr>
  </w:style>
  <w:style w:type="paragraph" w:customStyle="1" w:styleId="Nadpis20">
    <w:name w:val="Nadpis (2)"/>
    <w:basedOn w:val="Odstavecseseznamem"/>
    <w:link w:val="Nadpis2Char0"/>
    <w:qFormat/>
    <w:rsid w:val="007D2FF3"/>
    <w:pPr>
      <w:keepNext/>
      <w:numPr>
        <w:ilvl w:val="1"/>
        <w:numId w:val="36"/>
      </w:numPr>
      <w:contextualSpacing w:val="0"/>
      <w:outlineLvl w:val="2"/>
    </w:pPr>
    <w:rPr>
      <w:rFonts w:ascii="Cambria" w:eastAsia="Times New Roman" w:hAnsi="Cambria"/>
      <w:b/>
      <w:bCs/>
      <w:vanish/>
      <w:color w:val="B6B002"/>
      <w:sz w:val="26"/>
    </w:rPr>
  </w:style>
  <w:style w:type="character" w:customStyle="1" w:styleId="Nadpis1Char0">
    <w:name w:val="Nadpis (1) Char"/>
    <w:basedOn w:val="Nadpis1Char1"/>
    <w:link w:val="Nadpis10"/>
    <w:rsid w:val="006B26AF"/>
    <w:rPr>
      <w:rFonts w:ascii="Cambria" w:eastAsia="Times New Roman" w:hAnsi="Cambria"/>
      <w:b/>
      <w:bCs/>
      <w:sz w:val="28"/>
      <w:szCs w:val="28"/>
    </w:rPr>
  </w:style>
  <w:style w:type="paragraph" w:customStyle="1" w:styleId="Nadpis30">
    <w:name w:val="Nadpis (3)"/>
    <w:basedOn w:val="Nadpis3"/>
    <w:link w:val="Nadpis3Char0"/>
    <w:qFormat/>
    <w:rsid w:val="0092040A"/>
  </w:style>
  <w:style w:type="character" w:customStyle="1" w:styleId="Nadpis2Char0">
    <w:name w:val="Nadpis (2) Char"/>
    <w:basedOn w:val="Nadpis2Char1"/>
    <w:link w:val="Nadpis20"/>
    <w:rsid w:val="007D2FF3"/>
    <w:rPr>
      <w:rFonts w:ascii="Cambria" w:eastAsia="Times New Roman" w:hAnsi="Cambria"/>
      <w:b/>
      <w:bCs/>
      <w:vanish/>
      <w:color w:val="B6B002"/>
      <w:sz w:val="26"/>
      <w:szCs w:val="22"/>
    </w:rPr>
  </w:style>
  <w:style w:type="paragraph" w:customStyle="1" w:styleId="Text-Normaln">
    <w:name w:val="Text - Normalní"/>
    <w:basedOn w:val="Normln"/>
    <w:link w:val="Text-NormalnChar"/>
    <w:qFormat/>
    <w:rsid w:val="007B072B"/>
    <w:rPr>
      <w:rFonts w:ascii="Cambria" w:hAnsi="Cambria"/>
    </w:rPr>
  </w:style>
  <w:style w:type="character" w:customStyle="1" w:styleId="Nadpis3Char0">
    <w:name w:val="Nadpis (3) Char"/>
    <w:basedOn w:val="Nadpis3Char1"/>
    <w:link w:val="Nadpis30"/>
    <w:rsid w:val="0092040A"/>
    <w:rPr>
      <w:rFonts w:ascii="Cambria" w:eastAsia="Times New Roman" w:hAnsi="Cambria"/>
      <w:b/>
      <w:bCs/>
      <w:color w:val="B6B002"/>
      <w:sz w:val="24"/>
      <w:szCs w:val="22"/>
    </w:rPr>
  </w:style>
  <w:style w:type="paragraph" w:customStyle="1" w:styleId="Odraky1">
    <w:name w:val="Odražky (1)"/>
    <w:basedOn w:val="Odstavecseseznamem"/>
    <w:link w:val="Odraky1Char"/>
    <w:qFormat/>
    <w:rsid w:val="009679AD"/>
    <w:pPr>
      <w:numPr>
        <w:numId w:val="13"/>
      </w:numPr>
    </w:pPr>
  </w:style>
  <w:style w:type="character" w:customStyle="1" w:styleId="Text-NormalnChar">
    <w:name w:val="Text - Normalní Char"/>
    <w:basedOn w:val="Standardnpsmoodstavce"/>
    <w:link w:val="Text-Normaln"/>
    <w:rsid w:val="007B072B"/>
    <w:rPr>
      <w:rFonts w:ascii="Cambria" w:hAnsi="Cambria"/>
      <w:sz w:val="24"/>
      <w:szCs w:val="22"/>
    </w:rPr>
  </w:style>
  <w:style w:type="paragraph" w:customStyle="1" w:styleId="Text-Tabulka">
    <w:name w:val="Text - Tabulka"/>
    <w:basedOn w:val="Normln"/>
    <w:link w:val="Text-TabulkaChar"/>
    <w:qFormat/>
    <w:rsid w:val="009679AD"/>
    <w:pPr>
      <w:jc w:val="left"/>
    </w:pPr>
    <w:rPr>
      <w:rFonts w:eastAsia="MS Mincho"/>
      <w:sz w:val="20"/>
      <w:szCs w:val="20"/>
    </w:rPr>
  </w:style>
  <w:style w:type="character" w:customStyle="1" w:styleId="Odraky1Char">
    <w:name w:val="Odražky (1) Char"/>
    <w:basedOn w:val="OdstavecseseznamemChar"/>
    <w:link w:val="Odraky1"/>
    <w:rsid w:val="009679AD"/>
    <w:rPr>
      <w:rFonts w:ascii="Garamond" w:hAnsi="Garamond"/>
      <w:sz w:val="24"/>
      <w:szCs w:val="22"/>
      <w:lang w:val="en-GB"/>
    </w:rPr>
  </w:style>
  <w:style w:type="paragraph" w:customStyle="1" w:styleId="Quote1">
    <w:name w:val="Quote1"/>
    <w:basedOn w:val="Normln"/>
    <w:next w:val="Normln"/>
    <w:link w:val="QuoteChar"/>
    <w:rsid w:val="006529AC"/>
    <w:pPr>
      <w:spacing w:before="0" w:after="0"/>
    </w:pPr>
    <w:rPr>
      <w:rFonts w:eastAsia="Times New Roman"/>
      <w:i/>
      <w:iCs/>
      <w:color w:val="000000"/>
      <w:sz w:val="20"/>
      <w:szCs w:val="20"/>
      <w:lang w:eastAsia="cs-CZ"/>
    </w:rPr>
  </w:style>
  <w:style w:type="character" w:customStyle="1" w:styleId="Text-TabulkaChar">
    <w:name w:val="Text - Tabulka Char"/>
    <w:basedOn w:val="Standardnpsmoodstavce"/>
    <w:link w:val="Text-Tabulka"/>
    <w:rsid w:val="009679AD"/>
    <w:rPr>
      <w:rFonts w:ascii="Garamond" w:eastAsia="MS Mincho" w:hAnsi="Garamond"/>
      <w:lang w:val="cs-CZ"/>
    </w:rPr>
  </w:style>
  <w:style w:type="character" w:customStyle="1" w:styleId="QuoteChar">
    <w:name w:val="Quote Char"/>
    <w:link w:val="Quote1"/>
    <w:locked/>
    <w:rsid w:val="006529AC"/>
    <w:rPr>
      <w:rFonts w:ascii="Garamond" w:eastAsia="Times New Roman" w:hAnsi="Garamond"/>
      <w:i/>
      <w:iCs/>
      <w:color w:val="000000"/>
      <w:lang w:val="cs-CZ" w:eastAsia="cs-CZ"/>
    </w:rPr>
  </w:style>
  <w:style w:type="paragraph" w:customStyle="1" w:styleId="Zdroj1">
    <w:name w:val="Zdroj (1)"/>
    <w:basedOn w:val="Normln"/>
    <w:link w:val="Zdroj1Char"/>
    <w:qFormat/>
    <w:rsid w:val="003918D9"/>
    <w:pPr>
      <w:widowControl w:val="0"/>
      <w:spacing w:before="0" w:after="0"/>
    </w:pPr>
    <w:rPr>
      <w:rFonts w:eastAsia="Times New Roman"/>
      <w:i/>
      <w:iCs/>
      <w:color w:val="000000"/>
      <w:sz w:val="20"/>
      <w:szCs w:val="20"/>
      <w:lang w:eastAsia="cs-CZ"/>
    </w:rPr>
  </w:style>
  <w:style w:type="paragraph" w:customStyle="1" w:styleId="Nadpis2a">
    <w:name w:val="Nadpis (2a)"/>
    <w:basedOn w:val="Nadpis2"/>
    <w:link w:val="Nadpis2aChar"/>
    <w:qFormat/>
    <w:rsid w:val="007B072B"/>
    <w:pPr>
      <w:keepNext w:val="0"/>
      <w:numPr>
        <w:numId w:val="14"/>
      </w:numPr>
    </w:pPr>
    <w:rPr>
      <w:rFonts w:eastAsia="Calibri"/>
      <w:smallCaps/>
      <w:szCs w:val="24"/>
      <w:u w:val="single"/>
    </w:rPr>
  </w:style>
  <w:style w:type="character" w:customStyle="1" w:styleId="Zdroj1Char">
    <w:name w:val="Zdroj (1) Char"/>
    <w:basedOn w:val="Standardnpsmoodstavce"/>
    <w:link w:val="Zdroj1"/>
    <w:rsid w:val="003918D9"/>
    <w:rPr>
      <w:rFonts w:ascii="Garamond" w:eastAsia="Times New Roman" w:hAnsi="Garamond"/>
      <w:i/>
      <w:iCs/>
      <w:color w:val="000000"/>
      <w:lang w:eastAsia="cs-CZ"/>
    </w:rPr>
  </w:style>
  <w:style w:type="character" w:customStyle="1" w:styleId="Nadpis2aChar">
    <w:name w:val="Nadpis (2a) Char"/>
    <w:basedOn w:val="Nadpis2Char1"/>
    <w:link w:val="Nadpis2a"/>
    <w:rsid w:val="007B072B"/>
    <w:rPr>
      <w:rFonts w:ascii="Cambria" w:eastAsia="Times New Roman" w:hAnsi="Cambria"/>
      <w:b/>
      <w:bCs/>
      <w:smallCaps/>
      <w:color w:val="B6B002"/>
      <w:sz w:val="26"/>
      <w:szCs w:val="24"/>
      <w:u w:val="single"/>
    </w:rPr>
  </w:style>
  <w:style w:type="paragraph" w:customStyle="1" w:styleId="Odraky2">
    <w:name w:val="Odražky (2)"/>
    <w:basedOn w:val="Odstavecseseznamem"/>
    <w:link w:val="Odraky2Char"/>
    <w:qFormat/>
    <w:rsid w:val="00A40982"/>
    <w:pPr>
      <w:numPr>
        <w:numId w:val="11"/>
      </w:numPr>
      <w:ind w:left="1134" w:hanging="425"/>
    </w:pPr>
  </w:style>
  <w:style w:type="character" w:customStyle="1" w:styleId="Odraky2Char">
    <w:name w:val="Odražky (2) Char"/>
    <w:basedOn w:val="OdstavecseseznamemChar"/>
    <w:link w:val="Odraky2"/>
    <w:rsid w:val="00A40982"/>
    <w:rPr>
      <w:rFonts w:ascii="Garamond" w:hAnsi="Garamond"/>
      <w:sz w:val="24"/>
      <w:szCs w:val="22"/>
      <w:lang w:val="en-GB"/>
    </w:rPr>
  </w:style>
  <w:style w:type="paragraph" w:styleId="Rejstk5">
    <w:name w:val="index 5"/>
    <w:basedOn w:val="Normln"/>
    <w:next w:val="Normln"/>
    <w:autoRedefine/>
    <w:uiPriority w:val="99"/>
    <w:semiHidden/>
    <w:unhideWhenUsed/>
    <w:rsid w:val="00A57C40"/>
    <w:pPr>
      <w:spacing w:before="0" w:after="0"/>
      <w:ind w:left="1200" w:hanging="240"/>
    </w:pPr>
  </w:style>
  <w:style w:type="paragraph" w:customStyle="1" w:styleId="Styl14bTunzarovnnnasted">
    <w:name w:val="Styl 14 b. Tučné zarovnání na střed"/>
    <w:basedOn w:val="Normln"/>
    <w:rsid w:val="00513D3A"/>
    <w:pPr>
      <w:spacing w:before="0" w:after="80"/>
      <w:jc w:val="left"/>
    </w:pPr>
    <w:rPr>
      <w:rFonts w:ascii="Calibri" w:eastAsia="MS Mincho" w:hAnsi="Calibri"/>
      <w:bCs/>
      <w:szCs w:val="20"/>
      <w:lang w:eastAsia="ja-JP"/>
    </w:rPr>
  </w:style>
  <w:style w:type="paragraph" w:customStyle="1" w:styleId="Nadpis3a">
    <w:name w:val="Nadpis (3a)"/>
    <w:basedOn w:val="Text-Normaln"/>
    <w:link w:val="Nadpis3aChar"/>
    <w:qFormat/>
    <w:rsid w:val="00F8483B"/>
    <w:pPr>
      <w:numPr>
        <w:ilvl w:val="2"/>
        <w:numId w:val="15"/>
      </w:numPr>
      <w:ind w:left="720"/>
    </w:pPr>
    <w:rPr>
      <w:b/>
    </w:rPr>
  </w:style>
  <w:style w:type="character" w:customStyle="1" w:styleId="Nadpis3aChar">
    <w:name w:val="Nadpis (3a) Char"/>
    <w:basedOn w:val="Text-NormalnChar"/>
    <w:link w:val="Nadpis3a"/>
    <w:rsid w:val="00F8483B"/>
    <w:rPr>
      <w:rFonts w:ascii="Cambria" w:hAnsi="Cambria"/>
      <w:b/>
      <w:sz w:val="24"/>
      <w:szCs w:val="22"/>
    </w:rPr>
  </w:style>
  <w:style w:type="paragraph" w:customStyle="1" w:styleId="Normln-tun">
    <w:name w:val="Normální - tučné"/>
    <w:basedOn w:val="Normln"/>
    <w:uiPriority w:val="99"/>
    <w:qFormat/>
    <w:rsid w:val="00482307"/>
    <w:rPr>
      <w:rFonts w:ascii="Cambria" w:hAnsi="Cambria"/>
    </w:rPr>
  </w:style>
  <w:style w:type="character" w:customStyle="1" w:styleId="Zdraznnjemn1">
    <w:name w:val="Zdůraznění – jemné1"/>
    <w:aliases w:val="Heading6"/>
    <w:basedOn w:val="Standardnpsmoodstavce"/>
    <w:uiPriority w:val="19"/>
    <w:qFormat/>
    <w:rsid w:val="00FB5427"/>
    <w:rPr>
      <w:rFonts w:ascii="Times New Roman" w:hAnsi="Times New Roman"/>
      <w:b/>
      <w:i/>
      <w:iCs/>
      <w:color w:val="auto"/>
      <w:sz w:val="24"/>
    </w:rPr>
  </w:style>
  <w:style w:type="paragraph" w:styleId="FormtovanvHTML">
    <w:name w:val="HTML Preformatted"/>
    <w:basedOn w:val="Normln"/>
    <w:link w:val="FormtovanvHTMLChar"/>
    <w:uiPriority w:val="99"/>
    <w:rsid w:val="00FB54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rsid w:val="00FB5427"/>
    <w:rPr>
      <w:rFonts w:ascii="Courier New" w:eastAsia="Times New Roman" w:hAnsi="Courier New" w:cs="Courier New"/>
      <w:lang w:eastAsia="cs-CZ"/>
    </w:rPr>
  </w:style>
  <w:style w:type="paragraph" w:customStyle="1" w:styleId="Point1">
    <w:name w:val="Point 1"/>
    <w:basedOn w:val="Normln"/>
    <w:uiPriority w:val="99"/>
    <w:rsid w:val="00FB5427"/>
    <w:pPr>
      <w:widowControl w:val="0"/>
      <w:ind w:left="1418" w:hanging="567"/>
    </w:pPr>
    <w:rPr>
      <w:rFonts w:ascii="Times New Roman" w:eastAsia="Times New Roman" w:hAnsi="Times New Roman"/>
      <w:szCs w:val="20"/>
      <w:lang w:eastAsia="cs-CZ"/>
    </w:rPr>
  </w:style>
  <w:style w:type="character" w:customStyle="1" w:styleId="apple-style-span">
    <w:name w:val="apple-style-span"/>
    <w:basedOn w:val="Standardnpsmoodstavce"/>
    <w:rsid w:val="00FB5427"/>
  </w:style>
  <w:style w:type="paragraph" w:customStyle="1" w:styleId="1">
    <w:name w:val="1"/>
    <w:basedOn w:val="Normln"/>
    <w:next w:val="Normln"/>
    <w:link w:val="CitaceChar1"/>
    <w:uiPriority w:val="29"/>
    <w:qFormat/>
    <w:rsid w:val="00FB5427"/>
    <w:pPr>
      <w:widowControl w:val="0"/>
    </w:pPr>
    <w:rPr>
      <w:rFonts w:ascii="Times New Roman" w:eastAsia="Times New Roman" w:hAnsi="Times New Roman"/>
      <w:i/>
      <w:iCs/>
      <w:color w:val="000000"/>
      <w:szCs w:val="20"/>
    </w:rPr>
  </w:style>
  <w:style w:type="character" w:customStyle="1" w:styleId="CitaceChar2">
    <w:name w:val="Citace Char2"/>
    <w:basedOn w:val="Standardnpsmoodstavce"/>
    <w:uiPriority w:val="29"/>
    <w:rsid w:val="00FB5427"/>
    <w:rPr>
      <w:i/>
      <w:iCs/>
      <w:color w:val="000000"/>
      <w:sz w:val="24"/>
    </w:rPr>
  </w:style>
  <w:style w:type="character" w:styleId="Odkazintenzivn">
    <w:name w:val="Intense Reference"/>
    <w:basedOn w:val="Standardnpsmoodstavce"/>
    <w:uiPriority w:val="24"/>
    <w:qFormat/>
    <w:rsid w:val="00FB5427"/>
    <w:rPr>
      <w:b/>
      <w:bCs/>
      <w:smallCaps/>
      <w:color w:val="C0504D"/>
      <w:spacing w:val="5"/>
      <w:u w:val="single"/>
    </w:rPr>
  </w:style>
  <w:style w:type="paragraph" w:customStyle="1" w:styleId="ManualConsidrant">
    <w:name w:val="Manual Considérant"/>
    <w:basedOn w:val="Normln"/>
    <w:rsid w:val="00FB5427"/>
    <w:pPr>
      <w:spacing w:line="360" w:lineRule="auto"/>
      <w:ind w:left="850" w:hanging="850"/>
      <w:jc w:val="left"/>
    </w:pPr>
    <w:rPr>
      <w:rFonts w:ascii="Times New Roman" w:eastAsia="Times New Roman" w:hAnsi="Times New Roman"/>
      <w:szCs w:val="20"/>
    </w:rPr>
  </w:style>
  <w:style w:type="paragraph" w:customStyle="1" w:styleId="Point2">
    <w:name w:val="Point 2"/>
    <w:basedOn w:val="Normln"/>
    <w:link w:val="Point2Char"/>
    <w:rsid w:val="00FB5427"/>
    <w:pPr>
      <w:spacing w:line="360" w:lineRule="auto"/>
      <w:ind w:left="1984" w:hanging="567"/>
      <w:jc w:val="left"/>
    </w:pPr>
    <w:rPr>
      <w:rFonts w:ascii="Times New Roman" w:eastAsia="Times New Roman" w:hAnsi="Times New Roman"/>
      <w:szCs w:val="20"/>
    </w:rPr>
  </w:style>
  <w:style w:type="character" w:customStyle="1" w:styleId="Point2Char">
    <w:name w:val="Point 2 Char"/>
    <w:basedOn w:val="Standardnpsmoodstavce"/>
    <w:link w:val="Point2"/>
    <w:rsid w:val="00FB5427"/>
    <w:rPr>
      <w:rFonts w:ascii="Times New Roman" w:eastAsia="Times New Roman" w:hAnsi="Times New Roman"/>
      <w:sz w:val="24"/>
    </w:rPr>
  </w:style>
  <w:style w:type="paragraph" w:customStyle="1" w:styleId="Point3">
    <w:name w:val="Point 3"/>
    <w:basedOn w:val="Normln"/>
    <w:rsid w:val="00FB5427"/>
    <w:pPr>
      <w:spacing w:line="360" w:lineRule="auto"/>
      <w:ind w:left="2551" w:hanging="567"/>
      <w:jc w:val="left"/>
    </w:pPr>
    <w:rPr>
      <w:rFonts w:ascii="Times New Roman" w:eastAsia="Times New Roman" w:hAnsi="Times New Roman"/>
      <w:szCs w:val="20"/>
    </w:rPr>
  </w:style>
  <w:style w:type="paragraph" w:customStyle="1" w:styleId="Nzavtabulky">
    <w:name w:val="Názav tabulky"/>
    <w:basedOn w:val="Normln"/>
    <w:next w:val="Normln"/>
    <w:qFormat/>
    <w:rsid w:val="009221E2"/>
    <w:pPr>
      <w:keepNext/>
      <w:tabs>
        <w:tab w:val="left" w:pos="1531"/>
      </w:tabs>
      <w:spacing w:before="140" w:after="60" w:line="276" w:lineRule="auto"/>
      <w:ind w:left="1531" w:hanging="1531"/>
      <w:jc w:val="left"/>
    </w:pPr>
    <w:rPr>
      <w:rFonts w:ascii="Arial" w:hAnsi="Arial"/>
      <w:b/>
      <w:color w:val="000000"/>
      <w:sz w:val="22"/>
    </w:rPr>
  </w:style>
  <w:style w:type="character" w:customStyle="1" w:styleId="FootnoteTextChar">
    <w:name w:val="Footnote Text Char"/>
    <w:basedOn w:val="Standardnpsmoodstavce"/>
    <w:uiPriority w:val="99"/>
    <w:semiHidden/>
    <w:rsid w:val="0054475B"/>
    <w:rPr>
      <w:sz w:val="20"/>
      <w:szCs w:val="20"/>
    </w:rPr>
  </w:style>
  <w:style w:type="paragraph" w:customStyle="1" w:styleId="st">
    <w:name w:val="část"/>
    <w:basedOn w:val="Normln"/>
    <w:next w:val="Normln"/>
    <w:rsid w:val="00C32F4B"/>
    <w:pPr>
      <w:keepNext/>
      <w:spacing w:before="360" w:after="0"/>
      <w:jc w:val="center"/>
      <w:outlineLvl w:val="0"/>
    </w:pPr>
    <w:rPr>
      <w:rFonts w:ascii="Times New Roman" w:eastAsia="Times New Roman" w:hAnsi="Times New Roman"/>
      <w:caps/>
      <w:szCs w:val="24"/>
      <w:lang w:eastAsia="cs-CZ"/>
    </w:rPr>
  </w:style>
  <w:style w:type="paragraph" w:customStyle="1" w:styleId="hlava">
    <w:name w:val="hlava"/>
    <w:basedOn w:val="Normln"/>
    <w:next w:val="Normln"/>
    <w:rsid w:val="00C32F4B"/>
    <w:pPr>
      <w:keepNext/>
      <w:spacing w:before="240" w:after="0"/>
      <w:jc w:val="center"/>
      <w:outlineLvl w:val="1"/>
    </w:pPr>
    <w:rPr>
      <w:rFonts w:ascii="Times New Roman" w:eastAsia="Times New Roman" w:hAnsi="Times New Roman"/>
      <w:szCs w:val="24"/>
      <w:lang w:eastAsia="cs-CZ"/>
    </w:rPr>
  </w:style>
  <w:style w:type="paragraph" w:customStyle="1" w:styleId="zkon-nadpis">
    <w:name w:val="zákon - nadpis"/>
    <w:basedOn w:val="Normln"/>
    <w:rsid w:val="00C32F4B"/>
    <w:pPr>
      <w:spacing w:before="0"/>
      <w:jc w:val="center"/>
    </w:pPr>
    <w:rPr>
      <w:rFonts w:ascii="Times New Roman" w:eastAsia="Times New Roman" w:hAnsi="Times New Roman"/>
      <w:b/>
      <w:szCs w:val="24"/>
      <w:lang w:val="en-US" w:eastAsia="cs-CZ"/>
    </w:rPr>
  </w:style>
  <w:style w:type="paragraph" w:customStyle="1" w:styleId="dl">
    <w:name w:val="díl"/>
    <w:basedOn w:val="Normln"/>
    <w:next w:val="Normln"/>
    <w:rsid w:val="00C32F4B"/>
    <w:pPr>
      <w:keepNext/>
      <w:spacing w:before="240" w:after="0"/>
      <w:jc w:val="center"/>
      <w:outlineLvl w:val="2"/>
    </w:pPr>
    <w:rPr>
      <w:rFonts w:ascii="Times New Roman" w:eastAsia="Times New Roman" w:hAnsi="Times New Roman"/>
      <w:szCs w:val="24"/>
      <w:lang w:eastAsia="cs-CZ"/>
    </w:rPr>
  </w:style>
  <w:style w:type="paragraph" w:customStyle="1" w:styleId="oddl">
    <w:name w:val="oddíl"/>
    <w:basedOn w:val="Normln"/>
    <w:next w:val="Normln"/>
    <w:rsid w:val="00C32F4B"/>
    <w:pPr>
      <w:keepNext/>
      <w:spacing w:before="240" w:after="0"/>
      <w:jc w:val="center"/>
      <w:outlineLvl w:val="3"/>
    </w:pPr>
    <w:rPr>
      <w:rFonts w:ascii="Times New Roman" w:eastAsia="Times New Roman" w:hAnsi="Times New Roman"/>
      <w:szCs w:val="24"/>
      <w:lang w:eastAsia="cs-CZ"/>
    </w:rPr>
  </w:style>
  <w:style w:type="paragraph" w:customStyle="1" w:styleId="pododdl">
    <w:name w:val="pododdíl"/>
    <w:basedOn w:val="Normln"/>
    <w:next w:val="Normln"/>
    <w:rsid w:val="00C32F4B"/>
    <w:pPr>
      <w:keepNext/>
      <w:spacing w:before="240" w:after="0"/>
      <w:jc w:val="center"/>
      <w:outlineLvl w:val="4"/>
    </w:pPr>
    <w:rPr>
      <w:rFonts w:ascii="Times New Roman" w:eastAsia="Times New Roman" w:hAnsi="Times New Roman"/>
      <w:szCs w:val="24"/>
      <w:lang w:eastAsia="cs-CZ"/>
    </w:rPr>
  </w:style>
  <w:style w:type="paragraph" w:customStyle="1" w:styleId="paragraf">
    <w:name w:val="paragraf"/>
    <w:basedOn w:val="Normln"/>
    <w:next w:val="odstavec"/>
    <w:rsid w:val="00C32F4B"/>
    <w:pPr>
      <w:keepNext/>
      <w:spacing w:before="240" w:after="0"/>
      <w:jc w:val="center"/>
    </w:pPr>
    <w:rPr>
      <w:rFonts w:ascii="Times New Roman" w:eastAsia="Times New Roman" w:hAnsi="Times New Roman"/>
      <w:szCs w:val="24"/>
      <w:lang w:eastAsia="cs-CZ"/>
    </w:rPr>
  </w:style>
  <w:style w:type="paragraph" w:customStyle="1" w:styleId="odstavec">
    <w:name w:val="odstavec"/>
    <w:basedOn w:val="Normln"/>
    <w:rsid w:val="00C32F4B"/>
    <w:pPr>
      <w:spacing w:after="0"/>
      <w:ind w:firstLine="482"/>
    </w:pPr>
    <w:rPr>
      <w:rFonts w:ascii="Times New Roman" w:eastAsia="Times New Roman" w:hAnsi="Times New Roman"/>
      <w:szCs w:val="24"/>
      <w:lang w:eastAsia="cs-CZ"/>
    </w:rPr>
  </w:style>
  <w:style w:type="paragraph" w:customStyle="1" w:styleId="parlament">
    <w:name w:val="parlament"/>
    <w:basedOn w:val="Normln"/>
    <w:rsid w:val="00C32F4B"/>
    <w:pPr>
      <w:spacing w:before="0" w:after="0"/>
      <w:jc w:val="left"/>
    </w:pPr>
    <w:rPr>
      <w:rFonts w:ascii="Times New Roman" w:eastAsia="Times New Roman" w:hAnsi="Times New Roman"/>
      <w:szCs w:val="24"/>
      <w:lang w:eastAsia="cs-CZ"/>
    </w:rPr>
  </w:style>
  <w:style w:type="paragraph" w:customStyle="1" w:styleId="bod">
    <w:name w:val="bod"/>
    <w:basedOn w:val="slovanseznam2"/>
    <w:rsid w:val="00C32F4B"/>
    <w:pPr>
      <w:numPr>
        <w:numId w:val="0"/>
      </w:numPr>
      <w:tabs>
        <w:tab w:val="left" w:pos="357"/>
      </w:tabs>
      <w:spacing w:before="0"/>
      <w:ind w:left="714" w:hanging="357"/>
    </w:pPr>
  </w:style>
  <w:style w:type="paragraph" w:styleId="slovanseznam2">
    <w:name w:val="List Number 2"/>
    <w:aliases w:val="Číslovaný seznam A 2,číslovaný seznam 2"/>
    <w:basedOn w:val="odsazentext2"/>
    <w:uiPriority w:val="15"/>
    <w:qFormat/>
    <w:rsid w:val="00C32F4B"/>
    <w:pPr>
      <w:numPr>
        <w:numId w:val="22"/>
      </w:numPr>
    </w:pPr>
  </w:style>
  <w:style w:type="paragraph" w:customStyle="1" w:styleId="odsazentext2">
    <w:name w:val="odsazený text 2"/>
    <w:basedOn w:val="Normln"/>
    <w:rsid w:val="00C32F4B"/>
    <w:pPr>
      <w:spacing w:after="0"/>
      <w:ind w:left="720"/>
    </w:pPr>
    <w:rPr>
      <w:rFonts w:ascii="Times New Roman" w:eastAsia="Times New Roman" w:hAnsi="Times New Roman"/>
      <w:szCs w:val="24"/>
      <w:lang w:eastAsia="cs-CZ"/>
    </w:rPr>
  </w:style>
  <w:style w:type="paragraph" w:customStyle="1" w:styleId="psmeno">
    <w:name w:val="písmeno"/>
    <w:basedOn w:val="slovanseznam"/>
    <w:rsid w:val="00C32F4B"/>
    <w:pPr>
      <w:numPr>
        <w:numId w:val="0"/>
      </w:numPr>
      <w:tabs>
        <w:tab w:val="left" w:pos="357"/>
      </w:tabs>
      <w:spacing w:before="0"/>
      <w:ind w:left="357" w:hanging="357"/>
    </w:pPr>
  </w:style>
  <w:style w:type="paragraph" w:styleId="slovanseznam">
    <w:name w:val="List Number"/>
    <w:aliases w:val="Číslovaný seznam A,číslovaný seznam 1"/>
    <w:basedOn w:val="odsazentext1"/>
    <w:uiPriority w:val="15"/>
    <w:qFormat/>
    <w:rsid w:val="00C32F4B"/>
    <w:pPr>
      <w:numPr>
        <w:numId w:val="21"/>
      </w:numPr>
      <w:ind w:left="360" w:hanging="360"/>
    </w:pPr>
    <w:rPr>
      <w:lang w:val="en-US"/>
    </w:rPr>
  </w:style>
  <w:style w:type="paragraph" w:customStyle="1" w:styleId="odsazentext1">
    <w:name w:val="odsazený text 1"/>
    <w:basedOn w:val="Normln"/>
    <w:rsid w:val="00C32F4B"/>
    <w:pPr>
      <w:spacing w:after="0"/>
      <w:ind w:left="360"/>
    </w:pPr>
    <w:rPr>
      <w:rFonts w:ascii="Times New Roman" w:eastAsia="Times New Roman" w:hAnsi="Times New Roman"/>
      <w:szCs w:val="24"/>
      <w:lang w:eastAsia="cs-CZ"/>
    </w:rPr>
  </w:style>
  <w:style w:type="paragraph" w:customStyle="1" w:styleId="skupinovnadpis">
    <w:name w:val="skupinový nadpis"/>
    <w:basedOn w:val="Normln"/>
    <w:rsid w:val="00C32F4B"/>
    <w:pPr>
      <w:keepNext/>
      <w:spacing w:before="240" w:after="0"/>
      <w:jc w:val="center"/>
    </w:pPr>
    <w:rPr>
      <w:rFonts w:ascii="Times New Roman" w:eastAsia="Times New Roman" w:hAnsi="Times New Roman"/>
      <w:b/>
      <w:szCs w:val="24"/>
      <w:lang w:eastAsia="cs-CZ"/>
    </w:rPr>
  </w:style>
  <w:style w:type="paragraph" w:customStyle="1" w:styleId="zkon">
    <w:name w:val="zákon"/>
    <w:basedOn w:val="Normln"/>
    <w:rsid w:val="00C32F4B"/>
    <w:pPr>
      <w:keepNext/>
      <w:spacing w:before="0" w:after="240"/>
      <w:jc w:val="center"/>
    </w:pPr>
    <w:rPr>
      <w:rFonts w:ascii="Times New Roman" w:eastAsia="Times New Roman" w:hAnsi="Times New Roman"/>
      <w:caps/>
      <w:szCs w:val="24"/>
      <w:lang w:eastAsia="cs-CZ"/>
    </w:rPr>
  </w:style>
  <w:style w:type="paragraph" w:customStyle="1" w:styleId="varianta">
    <w:name w:val="varianta"/>
    <w:basedOn w:val="Normln"/>
    <w:rsid w:val="00C32F4B"/>
    <w:pPr>
      <w:spacing w:before="240" w:after="0"/>
      <w:jc w:val="left"/>
    </w:pPr>
    <w:rPr>
      <w:rFonts w:ascii="Times New Roman" w:eastAsia="Times New Roman" w:hAnsi="Times New Roman"/>
      <w:caps/>
      <w:szCs w:val="24"/>
      <w:lang w:eastAsia="cs-CZ"/>
    </w:rPr>
  </w:style>
  <w:style w:type="paragraph" w:customStyle="1" w:styleId="zdvodnn">
    <w:name w:val="zdůvodnění"/>
    <w:basedOn w:val="Normln"/>
    <w:next w:val="text"/>
    <w:rsid w:val="00C32F4B"/>
    <w:pPr>
      <w:keepNext/>
      <w:spacing w:before="240"/>
      <w:jc w:val="left"/>
    </w:pPr>
    <w:rPr>
      <w:rFonts w:ascii="Times New Roman" w:eastAsia="Times New Roman" w:hAnsi="Times New Roman"/>
      <w:b/>
      <w:szCs w:val="24"/>
      <w:lang w:eastAsia="cs-CZ"/>
    </w:rPr>
  </w:style>
  <w:style w:type="paragraph" w:customStyle="1" w:styleId="slovanseznam30">
    <w:name w:val="číslovaný seznam 3"/>
    <w:basedOn w:val="odsazentext3"/>
    <w:rsid w:val="00C32F4B"/>
    <w:pPr>
      <w:numPr>
        <w:numId w:val="23"/>
      </w:numPr>
      <w:tabs>
        <w:tab w:val="clear" w:pos="1072"/>
        <w:tab w:val="num" w:pos="360"/>
        <w:tab w:val="num" w:pos="720"/>
      </w:tabs>
      <w:ind w:left="1071" w:hanging="357"/>
    </w:pPr>
  </w:style>
  <w:style w:type="paragraph" w:customStyle="1" w:styleId="odsazentext3">
    <w:name w:val="odsazený text 3"/>
    <w:basedOn w:val="Normln"/>
    <w:link w:val="odsazentext3Char"/>
    <w:rsid w:val="00C32F4B"/>
    <w:pPr>
      <w:spacing w:after="0"/>
      <w:ind w:left="1066"/>
    </w:pPr>
    <w:rPr>
      <w:rFonts w:ascii="Times New Roman" w:eastAsia="Times New Roman" w:hAnsi="Times New Roman"/>
      <w:szCs w:val="24"/>
      <w:lang w:eastAsia="cs-CZ"/>
    </w:rPr>
  </w:style>
  <w:style w:type="character" w:customStyle="1" w:styleId="odsazentext3Char">
    <w:name w:val="odsazený text 3 Char"/>
    <w:link w:val="odsazentext3"/>
    <w:rsid w:val="00C32F4B"/>
    <w:rPr>
      <w:rFonts w:ascii="Times New Roman" w:eastAsia="Times New Roman" w:hAnsi="Times New Roman"/>
      <w:sz w:val="24"/>
      <w:szCs w:val="24"/>
      <w:lang w:eastAsia="cs-CZ"/>
    </w:rPr>
  </w:style>
  <w:style w:type="paragraph" w:customStyle="1" w:styleId="slovanseznam4">
    <w:name w:val="číslovaný seznam 4"/>
    <w:basedOn w:val="odsazentext4"/>
    <w:rsid w:val="00C32F4B"/>
    <w:pPr>
      <w:numPr>
        <w:numId w:val="24"/>
      </w:numPr>
      <w:tabs>
        <w:tab w:val="clear" w:pos="1429"/>
        <w:tab w:val="num" w:pos="360"/>
        <w:tab w:val="num" w:pos="388"/>
      </w:tabs>
      <w:ind w:left="1426" w:firstLine="0"/>
    </w:pPr>
  </w:style>
  <w:style w:type="paragraph" w:customStyle="1" w:styleId="odsazentext4">
    <w:name w:val="odsazený text 4"/>
    <w:basedOn w:val="Normln"/>
    <w:link w:val="odsazentext4CharChar"/>
    <w:rsid w:val="00C32F4B"/>
    <w:pPr>
      <w:spacing w:after="0"/>
      <w:ind w:left="1426"/>
    </w:pPr>
    <w:rPr>
      <w:rFonts w:ascii="Times New Roman" w:eastAsia="Times New Roman" w:hAnsi="Times New Roman"/>
      <w:szCs w:val="24"/>
      <w:lang w:eastAsia="cs-CZ"/>
    </w:rPr>
  </w:style>
  <w:style w:type="character" w:customStyle="1" w:styleId="odsazentext4CharChar">
    <w:name w:val="odsazený text 4 Char Char"/>
    <w:link w:val="odsazentext4"/>
    <w:rsid w:val="00C32F4B"/>
    <w:rPr>
      <w:rFonts w:ascii="Times New Roman" w:eastAsia="Times New Roman" w:hAnsi="Times New Roman"/>
      <w:sz w:val="24"/>
      <w:szCs w:val="24"/>
      <w:lang w:eastAsia="cs-CZ"/>
    </w:rPr>
  </w:style>
  <w:style w:type="character" w:customStyle="1" w:styleId="tituleknadpisu">
    <w:name w:val="titulek nadpisu"/>
    <w:rsid w:val="00C32F4B"/>
    <w:rPr>
      <w:b/>
    </w:rPr>
  </w:style>
  <w:style w:type="paragraph" w:customStyle="1" w:styleId="neslovanseznam1">
    <w:name w:val="nečíslovaný seznam 1"/>
    <w:basedOn w:val="slovanseznam"/>
    <w:rsid w:val="00C32F4B"/>
    <w:pPr>
      <w:numPr>
        <w:numId w:val="17"/>
      </w:numPr>
    </w:pPr>
  </w:style>
  <w:style w:type="paragraph" w:customStyle="1" w:styleId="neslovanseznam2">
    <w:name w:val="nečíslovaný seznam 2"/>
    <w:basedOn w:val="slovanseznam2"/>
    <w:rsid w:val="00C32F4B"/>
    <w:pPr>
      <w:numPr>
        <w:numId w:val="18"/>
      </w:numPr>
    </w:pPr>
    <w:rPr>
      <w:lang w:val="en-US"/>
    </w:rPr>
  </w:style>
  <w:style w:type="paragraph" w:customStyle="1" w:styleId="neslovanseznam3">
    <w:name w:val="nečíslovaný seznam 3"/>
    <w:basedOn w:val="slovanseznam30"/>
    <w:rsid w:val="00C32F4B"/>
    <w:pPr>
      <w:numPr>
        <w:numId w:val="19"/>
      </w:numPr>
      <w:tabs>
        <w:tab w:val="clear" w:pos="1074"/>
        <w:tab w:val="num" w:pos="720"/>
        <w:tab w:val="num" w:pos="786"/>
      </w:tabs>
      <w:ind w:left="1" w:firstLine="425"/>
    </w:pPr>
    <w:rPr>
      <w:lang w:val="en-US"/>
    </w:rPr>
  </w:style>
  <w:style w:type="paragraph" w:customStyle="1" w:styleId="neslovanseznam4">
    <w:name w:val="nečíslovaný seznam 4"/>
    <w:basedOn w:val="slovanseznam4"/>
    <w:rsid w:val="00C32F4B"/>
    <w:pPr>
      <w:numPr>
        <w:numId w:val="20"/>
      </w:numPr>
      <w:tabs>
        <w:tab w:val="clear" w:pos="1432"/>
        <w:tab w:val="num" w:pos="360"/>
        <w:tab w:val="num" w:pos="388"/>
      </w:tabs>
      <w:ind w:left="360"/>
    </w:pPr>
    <w:rPr>
      <w:lang w:val="en-US"/>
    </w:rPr>
  </w:style>
  <w:style w:type="character" w:customStyle="1" w:styleId="poznmkapodarou">
    <w:name w:val="poznámka pod čarou"/>
    <w:rsid w:val="00C32F4B"/>
    <w:rPr>
      <w:vertAlign w:val="superscript"/>
    </w:rPr>
  </w:style>
  <w:style w:type="paragraph" w:customStyle="1" w:styleId="novelizanbod">
    <w:name w:val="novelizační bod"/>
    <w:basedOn w:val="Normln"/>
    <w:rsid w:val="00C32F4B"/>
    <w:pPr>
      <w:tabs>
        <w:tab w:val="left" w:pos="357"/>
      </w:tabs>
      <w:spacing w:after="0"/>
      <w:jc w:val="left"/>
    </w:pPr>
    <w:rPr>
      <w:rFonts w:ascii="Times New Roman" w:eastAsia="Times New Roman" w:hAnsi="Times New Roman"/>
      <w:szCs w:val="24"/>
      <w:lang w:eastAsia="cs-CZ"/>
    </w:rPr>
  </w:style>
  <w:style w:type="paragraph" w:customStyle="1" w:styleId="textnovelizanhobodu">
    <w:name w:val="text novelizačního bodu"/>
    <w:basedOn w:val="Normln"/>
    <w:next w:val="novelizanbod"/>
    <w:rsid w:val="00C32F4B"/>
    <w:pPr>
      <w:spacing w:after="0"/>
      <w:ind w:left="357"/>
      <w:jc w:val="left"/>
    </w:pPr>
    <w:rPr>
      <w:rFonts w:ascii="Times New Roman" w:eastAsia="Times New Roman" w:hAnsi="Times New Roman"/>
      <w:szCs w:val="24"/>
      <w:lang w:eastAsia="cs-CZ"/>
    </w:rPr>
  </w:style>
  <w:style w:type="paragraph" w:customStyle="1" w:styleId="odsazentext0">
    <w:name w:val="odsazený text 0"/>
    <w:basedOn w:val="Normln"/>
    <w:next w:val="oddl"/>
    <w:rsid w:val="00C32F4B"/>
    <w:pPr>
      <w:spacing w:after="0"/>
    </w:pPr>
    <w:rPr>
      <w:rFonts w:ascii="Times New Roman" w:eastAsia="Times New Roman" w:hAnsi="Times New Roman"/>
      <w:szCs w:val="24"/>
      <w:lang w:eastAsia="cs-CZ"/>
    </w:rPr>
  </w:style>
  <w:style w:type="paragraph" w:customStyle="1" w:styleId="citacepoznmky">
    <w:name w:val="citace poznámky"/>
    <w:basedOn w:val="Normln"/>
    <w:rsid w:val="00C32F4B"/>
    <w:pPr>
      <w:pBdr>
        <w:top w:val="single" w:sz="4" w:space="4" w:color="auto"/>
      </w:pBdr>
      <w:tabs>
        <w:tab w:val="left" w:pos="357"/>
      </w:tabs>
      <w:spacing w:after="0"/>
    </w:pPr>
    <w:rPr>
      <w:rFonts w:ascii="Times New Roman" w:eastAsia="Times New Roman" w:hAnsi="Times New Roman"/>
      <w:szCs w:val="24"/>
      <w:lang w:val="en-US" w:eastAsia="cs-CZ"/>
    </w:rPr>
  </w:style>
  <w:style w:type="paragraph" w:customStyle="1" w:styleId="celex">
    <w:name w:val="celex"/>
    <w:basedOn w:val="Normln"/>
    <w:qFormat/>
    <w:rsid w:val="00C32F4B"/>
    <w:pPr>
      <w:spacing w:after="0"/>
      <w:jc w:val="left"/>
    </w:pPr>
    <w:rPr>
      <w:rFonts w:ascii="Times New Roman" w:eastAsia="Times New Roman" w:hAnsi="Times New Roman"/>
      <w:i/>
      <w:sz w:val="20"/>
      <w:szCs w:val="24"/>
      <w:lang w:eastAsia="cs-CZ"/>
    </w:rPr>
  </w:style>
  <w:style w:type="character" w:customStyle="1" w:styleId="zvraznncelexu">
    <w:name w:val="zvýraznění celexu"/>
    <w:qFormat/>
    <w:rsid w:val="00C32F4B"/>
    <w:rPr>
      <w:u w:val="single"/>
    </w:rPr>
  </w:style>
  <w:style w:type="table" w:customStyle="1" w:styleId="tabulka">
    <w:name w:val="tabulka"/>
    <w:basedOn w:val="Mkatabulky"/>
    <w:rsid w:val="00C32F4B"/>
    <w:rPr>
      <w:rFonts w:eastAsia="Times New Roman"/>
      <w:lang w:eastAsia="cs-CZ"/>
    </w:rPr>
    <w:tblPr/>
    <w:tcPr>
      <w:tcMar>
        <w:top w:w="57" w:type="dxa"/>
        <w:bottom w:w="57" w:type="dxa"/>
      </w:tcMar>
    </w:tcPr>
  </w:style>
  <w:style w:type="paragraph" w:customStyle="1" w:styleId="bukatabulky">
    <w:name w:val="buňka tabulky"/>
    <w:basedOn w:val="Normln"/>
    <w:qFormat/>
    <w:rsid w:val="00C32F4B"/>
    <w:rPr>
      <w:rFonts w:ascii="Times New Roman" w:eastAsia="Times New Roman" w:hAnsi="Times New Roman"/>
      <w:szCs w:val="24"/>
      <w:lang w:eastAsia="cs-CZ"/>
    </w:rPr>
  </w:style>
  <w:style w:type="paragraph" w:customStyle="1" w:styleId="Normln-zdroj">
    <w:name w:val="Normální - zdroj"/>
    <w:basedOn w:val="Normln"/>
    <w:rsid w:val="00C32F4B"/>
    <w:rPr>
      <w:rFonts w:eastAsia="Times New Roman"/>
      <w:sz w:val="20"/>
      <w:szCs w:val="20"/>
      <w:lang w:eastAsia="cs-CZ"/>
    </w:rPr>
  </w:style>
  <w:style w:type="paragraph" w:customStyle="1" w:styleId="mojeodra">
    <w:name w:val="moje odra"/>
    <w:basedOn w:val="Normln"/>
    <w:rsid w:val="00C32F4B"/>
    <w:pPr>
      <w:tabs>
        <w:tab w:val="num" w:pos="709"/>
      </w:tabs>
      <w:ind w:left="709" w:hanging="425"/>
    </w:pPr>
    <w:rPr>
      <w:rFonts w:eastAsia="Times New Roman"/>
      <w:szCs w:val="20"/>
      <w:lang w:eastAsia="cs-CZ"/>
    </w:rPr>
  </w:style>
  <w:style w:type="paragraph" w:customStyle="1" w:styleId="Revision1">
    <w:name w:val="Revision1"/>
    <w:hidden/>
    <w:semiHidden/>
    <w:rsid w:val="00C32F4B"/>
    <w:rPr>
      <w:rFonts w:ascii="Times New Roman" w:eastAsia="Times New Roman" w:hAnsi="Times New Roman"/>
      <w:sz w:val="24"/>
      <w:lang w:eastAsia="cs-CZ"/>
    </w:rPr>
  </w:style>
  <w:style w:type="paragraph" w:customStyle="1" w:styleId="Nadpis3-erven">
    <w:name w:val="Nadpis 3- červený"/>
    <w:basedOn w:val="Normln"/>
    <w:rsid w:val="00C32F4B"/>
    <w:pPr>
      <w:tabs>
        <w:tab w:val="num" w:pos="720"/>
      </w:tabs>
    </w:pPr>
    <w:rPr>
      <w:rFonts w:eastAsia="Times New Roman"/>
      <w:szCs w:val="20"/>
      <w:lang w:eastAsia="cs-CZ"/>
    </w:rPr>
  </w:style>
  <w:style w:type="paragraph" w:customStyle="1" w:styleId="Pes1">
    <w:name w:val="Pes1"/>
    <w:basedOn w:val="Normln"/>
    <w:uiPriority w:val="99"/>
    <w:rsid w:val="00C32F4B"/>
    <w:rPr>
      <w:rFonts w:eastAsia="Times New Roman"/>
      <w:b/>
      <w:szCs w:val="20"/>
      <w:u w:val="single"/>
      <w:lang w:eastAsia="cs-CZ"/>
    </w:rPr>
  </w:style>
  <w:style w:type="paragraph" w:customStyle="1" w:styleId="Pes2">
    <w:name w:val="Pes2"/>
    <w:basedOn w:val="Normln"/>
    <w:rsid w:val="00C32F4B"/>
    <w:rPr>
      <w:rFonts w:eastAsia="Times New Roman"/>
      <w:b/>
      <w:i/>
      <w:szCs w:val="20"/>
      <w:lang w:eastAsia="cs-CZ"/>
    </w:rPr>
  </w:style>
  <w:style w:type="character" w:customStyle="1" w:styleId="Pes1Char">
    <w:name w:val="Pes1 Char"/>
    <w:rsid w:val="00C32F4B"/>
    <w:rPr>
      <w:rFonts w:cs="Times New Roman"/>
      <w:b/>
      <w:sz w:val="24"/>
      <w:u w:val="single"/>
      <w:lang w:val="cs-CZ" w:eastAsia="cs-CZ"/>
    </w:rPr>
  </w:style>
  <w:style w:type="paragraph" w:customStyle="1" w:styleId="TOCHeading1">
    <w:name w:val="TOC Heading1"/>
    <w:basedOn w:val="Nadpis1"/>
    <w:next w:val="Normln"/>
    <w:rsid w:val="00C32F4B"/>
    <w:pPr>
      <w:keepNext/>
      <w:keepLines/>
      <w:widowControl/>
      <w:numPr>
        <w:numId w:val="0"/>
      </w:numPr>
      <w:spacing w:before="480" w:after="0" w:line="276" w:lineRule="auto"/>
      <w:outlineLvl w:val="9"/>
    </w:pPr>
    <w:rPr>
      <w:color w:val="365F91"/>
      <w:lang w:val="en-US"/>
    </w:rPr>
  </w:style>
  <w:style w:type="character" w:customStyle="1" w:styleId="Pes2Char">
    <w:name w:val="Pes2 Char"/>
    <w:rsid w:val="00C32F4B"/>
    <w:rPr>
      <w:rFonts w:cs="Times New Roman"/>
      <w:b/>
      <w:i/>
      <w:sz w:val="24"/>
      <w:lang w:val="cs-CZ" w:eastAsia="cs-CZ"/>
    </w:rPr>
  </w:style>
  <w:style w:type="paragraph" w:customStyle="1" w:styleId="nzevsti">
    <w:name w:val="nzevsti"/>
    <w:basedOn w:val="Normln"/>
    <w:rsid w:val="00C32F4B"/>
    <w:pPr>
      <w:spacing w:before="40" w:after="40"/>
    </w:pPr>
    <w:rPr>
      <w:rFonts w:eastAsia="Times New Roman"/>
      <w:szCs w:val="24"/>
      <w:lang w:val="en-US"/>
    </w:rPr>
  </w:style>
  <w:style w:type="paragraph" w:customStyle="1" w:styleId="textparagrafu">
    <w:name w:val="textparagrafu"/>
    <w:basedOn w:val="Normln"/>
    <w:rsid w:val="00C32F4B"/>
    <w:pPr>
      <w:spacing w:before="40" w:after="40"/>
    </w:pPr>
    <w:rPr>
      <w:rFonts w:eastAsia="Times New Roman"/>
      <w:szCs w:val="24"/>
      <w:lang w:val="en-US"/>
    </w:rPr>
  </w:style>
  <w:style w:type="paragraph" w:customStyle="1" w:styleId="psmeno0">
    <w:name w:val="psmeno"/>
    <w:basedOn w:val="Normln"/>
    <w:rsid w:val="00C32F4B"/>
    <w:pPr>
      <w:spacing w:before="40" w:after="40"/>
    </w:pPr>
    <w:rPr>
      <w:rFonts w:eastAsia="Times New Roman"/>
      <w:szCs w:val="24"/>
      <w:lang w:val="en-US"/>
    </w:rPr>
  </w:style>
  <w:style w:type="paragraph" w:customStyle="1" w:styleId="ploha">
    <w:name w:val="ploha"/>
    <w:basedOn w:val="Normln"/>
    <w:rsid w:val="00C32F4B"/>
    <w:pPr>
      <w:spacing w:before="40" w:after="40"/>
    </w:pPr>
    <w:rPr>
      <w:rFonts w:eastAsia="Times New Roman"/>
      <w:szCs w:val="24"/>
      <w:lang w:val="en-US"/>
    </w:rPr>
  </w:style>
  <w:style w:type="character" w:customStyle="1" w:styleId="SubtleReference2">
    <w:name w:val="Subtle Reference2"/>
    <w:rsid w:val="00C32F4B"/>
    <w:rPr>
      <w:rFonts w:cs="Times New Roman"/>
      <w:smallCaps/>
      <w:color w:val="C0504D"/>
      <w:u w:val="single"/>
    </w:rPr>
  </w:style>
  <w:style w:type="paragraph" w:customStyle="1" w:styleId="ListParagraph1">
    <w:name w:val="List Paragraph1"/>
    <w:basedOn w:val="Normln"/>
    <w:rsid w:val="00C32F4B"/>
    <w:pPr>
      <w:ind w:left="720"/>
    </w:pPr>
    <w:rPr>
      <w:rFonts w:eastAsia="Times New Roman"/>
      <w:szCs w:val="20"/>
      <w:lang w:eastAsia="cs-CZ"/>
    </w:rPr>
  </w:style>
  <w:style w:type="paragraph" w:customStyle="1" w:styleId="Styl">
    <w:name w:val="Styl"/>
    <w:uiPriority w:val="99"/>
    <w:rsid w:val="00C32F4B"/>
    <w:pPr>
      <w:widowControl w:val="0"/>
      <w:autoSpaceDE w:val="0"/>
      <w:autoSpaceDN w:val="0"/>
      <w:adjustRightInd w:val="0"/>
    </w:pPr>
    <w:rPr>
      <w:rFonts w:ascii="Arial" w:eastAsia="Times New Roman" w:hAnsi="Arial" w:cs="Arial"/>
      <w:sz w:val="24"/>
      <w:szCs w:val="24"/>
      <w:lang w:eastAsia="cs-CZ"/>
    </w:rPr>
  </w:style>
  <w:style w:type="character" w:customStyle="1" w:styleId="SubtleEmphasis1">
    <w:name w:val="Subtle Emphasis1"/>
    <w:rsid w:val="00C32F4B"/>
    <w:rPr>
      <w:rFonts w:cs="Times New Roman"/>
      <w:i/>
      <w:iCs/>
      <w:color w:val="808080"/>
    </w:rPr>
  </w:style>
  <w:style w:type="paragraph" w:customStyle="1" w:styleId="BodyText31">
    <w:name w:val="Body Text 31"/>
    <w:basedOn w:val="Normln"/>
    <w:rsid w:val="00C32F4B"/>
    <w:pPr>
      <w:spacing w:before="0" w:after="0"/>
      <w:jc w:val="center"/>
    </w:pPr>
    <w:rPr>
      <w:rFonts w:eastAsia="Times New Roman"/>
      <w:b/>
      <w:szCs w:val="20"/>
      <w:lang w:eastAsia="cs-CZ"/>
    </w:rPr>
  </w:style>
  <w:style w:type="paragraph" w:customStyle="1" w:styleId="odsazeny">
    <w:name w:val="odsazeny"/>
    <w:basedOn w:val="Normln"/>
    <w:rsid w:val="00C32F4B"/>
    <w:pPr>
      <w:widowControl w:val="0"/>
      <w:spacing w:before="0" w:after="0"/>
      <w:ind w:firstLine="170"/>
      <w:jc w:val="left"/>
    </w:pPr>
    <w:rPr>
      <w:rFonts w:eastAsia="Times New Roman"/>
      <w:sz w:val="18"/>
      <w:szCs w:val="20"/>
      <w:lang w:eastAsia="cs-CZ"/>
    </w:rPr>
  </w:style>
  <w:style w:type="character" w:customStyle="1" w:styleId="SubtleReference1">
    <w:name w:val="Subtle Reference1"/>
    <w:rsid w:val="00C32F4B"/>
    <w:rPr>
      <w:rFonts w:cs="Times New Roman"/>
      <w:smallCaps/>
      <w:color w:val="C0504D"/>
      <w:u w:val="single"/>
    </w:rPr>
  </w:style>
  <w:style w:type="paragraph" w:customStyle="1" w:styleId="KUMS-text">
    <w:name w:val="KUMS-text"/>
    <w:basedOn w:val="Zkladntext"/>
    <w:rsid w:val="00C32F4B"/>
    <w:pPr>
      <w:spacing w:before="0" w:after="280" w:line="280" w:lineRule="exact"/>
    </w:pPr>
    <w:rPr>
      <w:rFonts w:ascii="Tahoma" w:eastAsia="Times New Roman" w:hAnsi="Tahoma" w:cs="Tahoma"/>
      <w:noProof/>
      <w:sz w:val="20"/>
      <w:szCs w:val="20"/>
      <w:lang w:eastAsia="cs-CZ"/>
    </w:rPr>
  </w:style>
  <w:style w:type="character" w:customStyle="1" w:styleId="platne1">
    <w:name w:val="platne1"/>
    <w:rsid w:val="00C32F4B"/>
    <w:rPr>
      <w:rFonts w:cs="Times New Roman"/>
    </w:rPr>
  </w:style>
  <w:style w:type="character" w:customStyle="1" w:styleId="prefixicons">
    <w:name w:val="prefix icons"/>
    <w:rsid w:val="00C32F4B"/>
    <w:rPr>
      <w:rFonts w:cs="Times New Roman"/>
    </w:rPr>
  </w:style>
  <w:style w:type="character" w:customStyle="1" w:styleId="firstname">
    <w:name w:val="first_name"/>
    <w:rsid w:val="00C32F4B"/>
    <w:rPr>
      <w:rFonts w:cs="Times New Roman"/>
    </w:rPr>
  </w:style>
  <w:style w:type="character" w:customStyle="1" w:styleId="lastname">
    <w:name w:val="last_name"/>
    <w:rsid w:val="00C32F4B"/>
    <w:rPr>
      <w:rFonts w:cs="Times New Roman"/>
    </w:rPr>
  </w:style>
  <w:style w:type="paragraph" w:customStyle="1" w:styleId="rok">
    <w:name w:val="rok"/>
    <w:basedOn w:val="Normln"/>
    <w:rsid w:val="00C32F4B"/>
    <w:pPr>
      <w:spacing w:before="100" w:beforeAutospacing="1" w:after="100" w:afterAutospacing="1"/>
      <w:jc w:val="left"/>
    </w:pPr>
    <w:rPr>
      <w:rFonts w:ascii="Times New Roman" w:eastAsia="Times New Roman" w:hAnsi="Times New Roman"/>
      <w:szCs w:val="24"/>
      <w:lang w:eastAsia="cs-CZ"/>
    </w:rPr>
  </w:style>
  <w:style w:type="paragraph" w:customStyle="1" w:styleId="StylD">
    <w:name w:val="StylD"/>
    <w:basedOn w:val="Normln"/>
    <w:rsid w:val="00C32F4B"/>
    <w:pPr>
      <w:spacing w:before="0" w:after="0" w:line="360" w:lineRule="auto"/>
    </w:pPr>
    <w:rPr>
      <w:rFonts w:ascii="Arial" w:eastAsia="Times New Roman" w:hAnsi="Arial"/>
      <w:szCs w:val="20"/>
      <w:lang w:eastAsia="cs-CZ"/>
    </w:rPr>
  </w:style>
  <w:style w:type="paragraph" w:customStyle="1" w:styleId="zelen">
    <w:name w:val="zelená"/>
    <w:basedOn w:val="Text-Normaln"/>
    <w:link w:val="zelenChar"/>
    <w:qFormat/>
    <w:rsid w:val="00CB7505"/>
    <w:pPr>
      <w:numPr>
        <w:numId w:val="26"/>
      </w:numPr>
    </w:pPr>
    <w:rPr>
      <w:b/>
    </w:rPr>
  </w:style>
  <w:style w:type="character" w:customStyle="1" w:styleId="zelenChar">
    <w:name w:val="zelená Char"/>
    <w:basedOn w:val="Nadpis1Char"/>
    <w:link w:val="zelen"/>
    <w:rsid w:val="00CB7505"/>
    <w:rPr>
      <w:rFonts w:ascii="Cambria" w:eastAsia="Times New Roman" w:hAnsi="Cambria"/>
      <w:b/>
      <w:bCs w:val="0"/>
      <w:color w:val="B6B002"/>
      <w:sz w:val="24"/>
      <w:szCs w:val="22"/>
      <w:lang w:eastAsia="en-US"/>
    </w:rPr>
  </w:style>
  <w:style w:type="table" w:customStyle="1" w:styleId="Svtltabulkasmkou11">
    <w:name w:val="Světlá tabulka s mřížkou 11"/>
    <w:basedOn w:val="Normlntabulka"/>
    <w:uiPriority w:val="46"/>
    <w:rsid w:val="00C32F4B"/>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Znakypropoznmkupodarou">
    <w:name w:val="Znaky pro poznámku pod ?arou"/>
    <w:rsid w:val="00C32F4B"/>
  </w:style>
  <w:style w:type="character" w:customStyle="1" w:styleId="WW-Znakypropoznmkupodarou">
    <w:name w:val="WW-Znaky pro poznámku pod ?arou"/>
    <w:rsid w:val="00C32F4B"/>
    <w:rPr>
      <w:vertAlign w:val="superscript"/>
    </w:rPr>
  </w:style>
  <w:style w:type="character" w:customStyle="1" w:styleId="WW-Znakypropoznmkupodarou12345678910111213141516">
    <w:name w:val="WW-Znaky pro poznámku pod ?arou12345678910111213141516"/>
    <w:rsid w:val="00C32F4B"/>
    <w:rPr>
      <w:vertAlign w:val="superscript"/>
    </w:rPr>
  </w:style>
  <w:style w:type="character" w:customStyle="1" w:styleId="WW-Znakypropoznmkupodarou12345678910111213141516171819202122232425">
    <w:name w:val="WW-Znaky pro poznámku pod ?arou12345678910111213141516171819202122232425"/>
    <w:rsid w:val="00C32F4B"/>
    <w:rPr>
      <w:vertAlign w:val="superscript"/>
    </w:rPr>
  </w:style>
  <w:style w:type="character" w:customStyle="1" w:styleId="WW-Znakypropoznmkupodarou12345678910111213141516171819202122232425262728">
    <w:name w:val="WW-Znaky pro poznámku pod ?arou12345678910111213141516171819202122232425262728"/>
    <w:rsid w:val="00C32F4B"/>
    <w:rPr>
      <w:vertAlign w:val="superscript"/>
    </w:rPr>
  </w:style>
  <w:style w:type="character" w:customStyle="1" w:styleId="normaltextrun">
    <w:name w:val="normaltextrun"/>
    <w:rsid w:val="00EC6F2E"/>
  </w:style>
  <w:style w:type="paragraph" w:customStyle="1" w:styleId="sti-art">
    <w:name w:val="sti-art"/>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Normln10">
    <w:name w:val="Normální1"/>
    <w:basedOn w:val="Normln"/>
    <w:rsid w:val="00713CE8"/>
    <w:pPr>
      <w:spacing w:before="100" w:beforeAutospacing="1" w:after="100" w:afterAutospacing="1"/>
      <w:jc w:val="left"/>
    </w:pPr>
    <w:rPr>
      <w:rFonts w:ascii="Times New Roman" w:eastAsia="Times New Roman" w:hAnsi="Times New Roman"/>
      <w:szCs w:val="24"/>
      <w:lang w:eastAsia="cs-CZ"/>
    </w:rPr>
  </w:style>
  <w:style w:type="paragraph" w:customStyle="1" w:styleId="ti-art">
    <w:name w:val="ti-art"/>
    <w:basedOn w:val="Normln"/>
    <w:rsid w:val="00713CE8"/>
    <w:pPr>
      <w:spacing w:before="100" w:beforeAutospacing="1" w:after="100" w:afterAutospacing="1"/>
      <w:jc w:val="left"/>
    </w:pPr>
    <w:rPr>
      <w:rFonts w:ascii="Times New Roman" w:eastAsia="Times New Roman" w:hAnsi="Times New Roman"/>
      <w:szCs w:val="24"/>
      <w:lang w:eastAsia="cs-CZ"/>
    </w:rPr>
  </w:style>
  <w:style w:type="character" w:customStyle="1" w:styleId="negrita">
    <w:name w:val="negrita"/>
    <w:basedOn w:val="Standardnpsmoodstavce"/>
    <w:rsid w:val="00805193"/>
  </w:style>
  <w:style w:type="paragraph" w:customStyle="1" w:styleId="go">
    <w:name w:val="go"/>
    <w:basedOn w:val="Normln"/>
    <w:rsid w:val="00E338DA"/>
    <w:pPr>
      <w:spacing w:before="100" w:beforeAutospacing="1" w:after="100" w:afterAutospacing="1"/>
      <w:jc w:val="left"/>
    </w:pPr>
    <w:rPr>
      <w:rFonts w:ascii="Times New Roman" w:eastAsia="Times New Roman" w:hAnsi="Times New Roman"/>
      <w:szCs w:val="24"/>
      <w:lang w:eastAsia="cs-CZ"/>
    </w:rPr>
  </w:style>
  <w:style w:type="character" w:styleId="PromnnHTML">
    <w:name w:val="HTML Variable"/>
    <w:basedOn w:val="Standardnpsmoodstavce"/>
    <w:uiPriority w:val="99"/>
    <w:semiHidden/>
    <w:unhideWhenUsed/>
    <w:rsid w:val="00E338DA"/>
    <w:rPr>
      <w:i/>
      <w:iCs/>
    </w:rPr>
  </w:style>
  <w:style w:type="table" w:customStyle="1" w:styleId="TableNormal0">
    <w:name w:val="Table Normal_0"/>
    <w:uiPriority w:val="2"/>
    <w:semiHidden/>
    <w:unhideWhenUsed/>
    <w:qFormat/>
    <w:rsid w:val="00A340B4"/>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ln"/>
    <w:uiPriority w:val="1"/>
    <w:qFormat/>
    <w:rsid w:val="00A340B4"/>
    <w:pPr>
      <w:widowControl w:val="0"/>
      <w:autoSpaceDE w:val="0"/>
      <w:autoSpaceDN w:val="0"/>
      <w:spacing w:before="0" w:after="0"/>
      <w:jc w:val="right"/>
    </w:pPr>
    <w:rPr>
      <w:rFonts w:ascii="Calibri" w:hAnsi="Calibri" w:cs="Calibri"/>
      <w:sz w:val="22"/>
      <w:lang w:eastAsia="cs-CZ" w:bidi="cs-CZ"/>
    </w:rPr>
  </w:style>
  <w:style w:type="paragraph" w:styleId="Seznamsodrkami">
    <w:name w:val="List Bullet"/>
    <w:aliases w:val="Seznam s odrážkami A"/>
    <w:basedOn w:val="Normln"/>
    <w:autoRedefine/>
    <w:uiPriority w:val="10"/>
    <w:qFormat/>
    <w:rsid w:val="00271B14"/>
    <w:pPr>
      <w:numPr>
        <w:numId w:val="27"/>
      </w:numPr>
      <w:spacing w:before="0" w:after="0"/>
    </w:pPr>
    <w:rPr>
      <w:rFonts w:ascii="Times New Roman" w:hAnsi="Times New Roman" w:cstheme="minorBidi"/>
      <w:szCs w:val="24"/>
    </w:rPr>
  </w:style>
  <w:style w:type="table" w:customStyle="1" w:styleId="Barevntabulkaseznamu6zvraznn51">
    <w:name w:val="Barevná tabulka seznamu 6 – zvýraznění 51"/>
    <w:basedOn w:val="Normlntabulka"/>
    <w:uiPriority w:val="51"/>
    <w:rsid w:val="00E63FF0"/>
    <w:rPr>
      <w:color w:val="1C1C1C" w:themeColor="accent5" w:themeShade="BF"/>
    </w:rPr>
    <w:tblPr>
      <w:tblStyleRowBandSize w:val="1"/>
      <w:tblStyleColBandSize w:val="1"/>
      <w:tblBorders>
        <w:top w:val="single" w:sz="4" w:space="0" w:color="262626" w:themeColor="accent5"/>
        <w:bottom w:val="single" w:sz="4" w:space="0" w:color="262626" w:themeColor="accent5"/>
      </w:tblBorders>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customStyle="1" w:styleId="StylEEIP">
    <w:name w:val="StylEEIP"/>
    <w:basedOn w:val="Normlntabulka"/>
    <w:uiPriority w:val="99"/>
    <w:rsid w:val="00E63FF0"/>
    <w:tblPr/>
  </w:style>
  <w:style w:type="paragraph" w:customStyle="1" w:styleId="msonormal0">
    <w:name w:val="msonormal"/>
    <w:basedOn w:val="Normln"/>
    <w:rsid w:val="00AD28F1"/>
    <w:pPr>
      <w:spacing w:before="100" w:beforeAutospacing="1" w:after="100" w:afterAutospacing="1"/>
      <w:jc w:val="left"/>
    </w:pPr>
    <w:rPr>
      <w:rFonts w:ascii="Times New Roman" w:eastAsia="Times New Roman" w:hAnsi="Times New Roman"/>
      <w:szCs w:val="24"/>
      <w:lang w:eastAsia="cs-CZ"/>
    </w:rPr>
  </w:style>
  <w:style w:type="paragraph" w:customStyle="1" w:styleId="xl22824">
    <w:name w:val="xl22824"/>
    <w:basedOn w:val="Normln"/>
    <w:rsid w:val="00AD28F1"/>
    <w:pPr>
      <w:spacing w:before="100" w:beforeAutospacing="1" w:after="100" w:afterAutospacing="1"/>
      <w:jc w:val="left"/>
    </w:pPr>
    <w:rPr>
      <w:rFonts w:ascii="Times New Roman" w:eastAsia="Times New Roman" w:hAnsi="Times New Roman"/>
      <w:szCs w:val="24"/>
      <w:lang w:eastAsia="cs-CZ"/>
    </w:rPr>
  </w:style>
  <w:style w:type="table" w:styleId="Svtlseznamzvraznn2">
    <w:name w:val="Light List Accent 2"/>
    <w:basedOn w:val="Normlntabulka"/>
    <w:uiPriority w:val="61"/>
    <w:rsid w:val="0050396A"/>
    <w:rPr>
      <w:lang w:eastAsia="cs-CZ"/>
    </w:rPr>
    <w:tblPr>
      <w:tblStyleRowBandSize w:val="1"/>
      <w:tblStyleColBandSize w:val="1"/>
      <w:tblBorders>
        <w:top w:val="single" w:sz="8" w:space="0" w:color="7F7F7F" w:themeColor="accent2"/>
        <w:left w:val="single" w:sz="8" w:space="0" w:color="7F7F7F" w:themeColor="accent2"/>
        <w:bottom w:val="single" w:sz="8" w:space="0" w:color="7F7F7F" w:themeColor="accent2"/>
        <w:right w:val="single" w:sz="8" w:space="0" w:color="7F7F7F" w:themeColor="accent2"/>
      </w:tblBorders>
    </w:tblPr>
    <w:tblStylePr w:type="firstRow">
      <w:pPr>
        <w:spacing w:before="0" w:after="0" w:line="240" w:lineRule="auto"/>
      </w:pPr>
      <w:rPr>
        <w:b/>
        <w:bCs/>
        <w:color w:val="FFFFFF" w:themeColor="background1"/>
      </w:rPr>
      <w:tblPr/>
      <w:tcPr>
        <w:shd w:val="clear" w:color="auto" w:fill="7F7F7F" w:themeFill="accent2"/>
      </w:tcPr>
    </w:tblStylePr>
    <w:tblStylePr w:type="lastRow">
      <w:pPr>
        <w:spacing w:before="0" w:after="0" w:line="240" w:lineRule="auto"/>
      </w:pPr>
      <w:rPr>
        <w:b/>
        <w:bCs/>
      </w:rPr>
      <w:tblPr/>
      <w:tcPr>
        <w:tcBorders>
          <w:top w:val="double" w:sz="6" w:space="0" w:color="7F7F7F" w:themeColor="accent2"/>
          <w:left w:val="single" w:sz="8" w:space="0" w:color="7F7F7F" w:themeColor="accent2"/>
          <w:bottom w:val="single" w:sz="8" w:space="0" w:color="7F7F7F" w:themeColor="accent2"/>
          <w:right w:val="single" w:sz="8" w:space="0" w:color="7F7F7F" w:themeColor="accent2"/>
        </w:tcBorders>
      </w:tcPr>
    </w:tblStylePr>
    <w:tblStylePr w:type="firstCol">
      <w:rPr>
        <w:b/>
        <w:bCs/>
      </w:rPr>
    </w:tblStylePr>
    <w:tblStylePr w:type="lastCol">
      <w:rPr>
        <w:b/>
        <w:bCs/>
      </w:rPr>
    </w:tblStylePr>
    <w:tblStylePr w:type="band1Vert">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tblStylePr w:type="band1Horz">
      <w:tblPr/>
      <w:tcPr>
        <w:tcBorders>
          <w:top w:val="single" w:sz="8" w:space="0" w:color="7F7F7F" w:themeColor="accent2"/>
          <w:left w:val="single" w:sz="8" w:space="0" w:color="7F7F7F" w:themeColor="accent2"/>
          <w:bottom w:val="single" w:sz="8" w:space="0" w:color="7F7F7F" w:themeColor="accent2"/>
          <w:right w:val="single" w:sz="8" w:space="0" w:color="7F7F7F" w:themeColor="accent2"/>
        </w:tcBorders>
      </w:tcPr>
    </w:tblStylePr>
  </w:style>
  <w:style w:type="paragraph" w:customStyle="1" w:styleId="norm">
    <w:name w:val="norm"/>
    <w:basedOn w:val="Normln"/>
    <w:rsid w:val="0050396A"/>
    <w:pPr>
      <w:spacing w:before="240" w:after="240" w:line="276" w:lineRule="auto"/>
    </w:pPr>
    <w:rPr>
      <w:rFonts w:ascii="Times New Roman" w:eastAsia="MS Mincho" w:hAnsi="Times New Roman"/>
      <w:szCs w:val="24"/>
      <w:lang w:eastAsia="ja-JP"/>
    </w:rPr>
  </w:style>
  <w:style w:type="character" w:customStyle="1" w:styleId="N6normlnChar">
    <w:name w:val="N6_normální Char"/>
    <w:link w:val="N6normln"/>
    <w:locked/>
    <w:rsid w:val="0050396A"/>
    <w:rPr>
      <w:rFonts w:ascii="Times New Roman" w:eastAsia="Constantia" w:hAnsi="Times New Roman"/>
      <w:sz w:val="24"/>
    </w:rPr>
  </w:style>
  <w:style w:type="paragraph" w:customStyle="1" w:styleId="N6normln">
    <w:name w:val="N6_normální"/>
    <w:basedOn w:val="Normln"/>
    <w:link w:val="N6normlnChar"/>
    <w:rsid w:val="0050396A"/>
    <w:pPr>
      <w:spacing w:after="0"/>
      <w:ind w:firstLine="709"/>
    </w:pPr>
    <w:rPr>
      <w:rFonts w:ascii="Times New Roman" w:eastAsia="Constantia" w:hAnsi="Times New Roman"/>
      <w:szCs w:val="20"/>
    </w:rPr>
  </w:style>
  <w:style w:type="character" w:styleId="Zdraznnjemn">
    <w:name w:val="Subtle Emphasis"/>
    <w:basedOn w:val="Standardnpsmoodstavce"/>
    <w:uiPriority w:val="19"/>
    <w:qFormat/>
    <w:rsid w:val="0050396A"/>
    <w:rPr>
      <w:rFonts w:ascii="Segoe UI" w:hAnsi="Segoe UI"/>
      <w:b/>
      <w:i w:val="0"/>
      <w:iCs/>
      <w:color w:val="auto"/>
      <w:sz w:val="20"/>
    </w:rPr>
  </w:style>
  <w:style w:type="paragraph" w:customStyle="1" w:styleId="Tab">
    <w:name w:val="Tab"/>
    <w:basedOn w:val="Normln"/>
    <w:link w:val="TabChar"/>
    <w:qFormat/>
    <w:rsid w:val="0050396A"/>
    <w:pPr>
      <w:spacing w:after="0"/>
      <w:jc w:val="center"/>
    </w:pPr>
    <w:rPr>
      <w:rFonts w:ascii="Segoe UI" w:eastAsia="Times New Roman" w:hAnsi="Segoe UI"/>
      <w:color w:val="000000"/>
      <w:sz w:val="18"/>
      <w:lang w:eastAsia="cs-CZ"/>
    </w:rPr>
  </w:style>
  <w:style w:type="character" w:customStyle="1" w:styleId="TabChar">
    <w:name w:val="Tab Char"/>
    <w:basedOn w:val="Standardnpsmoodstavce"/>
    <w:link w:val="Tab"/>
    <w:rsid w:val="0050396A"/>
    <w:rPr>
      <w:rFonts w:ascii="Segoe UI" w:eastAsia="Times New Roman" w:hAnsi="Segoe UI"/>
      <w:color w:val="000000"/>
      <w:sz w:val="18"/>
      <w:szCs w:val="22"/>
      <w:lang w:eastAsia="cs-CZ"/>
    </w:rPr>
  </w:style>
  <w:style w:type="paragraph" w:customStyle="1" w:styleId="podnadpis2">
    <w:name w:val="podnadpis2"/>
    <w:basedOn w:val="N6normln"/>
    <w:link w:val="podnadpis2Char"/>
    <w:rsid w:val="0050396A"/>
    <w:pPr>
      <w:keepNext/>
      <w:ind w:firstLine="0"/>
    </w:pPr>
    <w:rPr>
      <w:rFonts w:ascii="Segoe UI" w:hAnsi="Segoe UI" w:cs="Segoe UI"/>
      <w:b/>
      <w:szCs w:val="24"/>
    </w:rPr>
  </w:style>
  <w:style w:type="character" w:customStyle="1" w:styleId="podnadpis2Char">
    <w:name w:val="podnadpis2 Char"/>
    <w:basedOn w:val="N6normlnChar"/>
    <w:link w:val="podnadpis2"/>
    <w:rsid w:val="0050396A"/>
    <w:rPr>
      <w:rFonts w:ascii="Segoe UI" w:eastAsia="Constantia" w:hAnsi="Segoe UI" w:cs="Segoe UI"/>
      <w:b/>
      <w:sz w:val="24"/>
      <w:szCs w:val="24"/>
    </w:rPr>
  </w:style>
  <w:style w:type="character" w:customStyle="1" w:styleId="mw-headline">
    <w:name w:val="mw-headline"/>
    <w:basedOn w:val="Standardnpsmoodstavce"/>
    <w:rsid w:val="0050396A"/>
  </w:style>
  <w:style w:type="paragraph" w:customStyle="1" w:styleId="GACRtext">
    <w:name w:val="GACR_text"/>
    <w:basedOn w:val="Normln"/>
    <w:link w:val="GACRtextChar"/>
    <w:rsid w:val="0050396A"/>
    <w:pPr>
      <w:spacing w:after="0"/>
      <w:ind w:firstLine="709"/>
    </w:pPr>
    <w:rPr>
      <w:rFonts w:ascii="Cambria" w:eastAsia="Times New Roman" w:hAnsi="Cambria"/>
      <w:szCs w:val="24"/>
      <w:lang w:eastAsia="cs-CZ"/>
    </w:rPr>
  </w:style>
  <w:style w:type="character" w:customStyle="1" w:styleId="GACRtextChar">
    <w:name w:val="GACR_text Char"/>
    <w:basedOn w:val="Standardnpsmoodstavce"/>
    <w:link w:val="GACRtext"/>
    <w:rsid w:val="0050396A"/>
    <w:rPr>
      <w:rFonts w:ascii="Cambria" w:eastAsia="Times New Roman" w:hAnsi="Cambria"/>
      <w:sz w:val="24"/>
      <w:szCs w:val="24"/>
      <w:lang w:eastAsia="cs-CZ"/>
    </w:rPr>
  </w:style>
  <w:style w:type="paragraph" w:customStyle="1" w:styleId="gacrobr">
    <w:name w:val="gacr_obr"/>
    <w:basedOn w:val="Normln"/>
    <w:rsid w:val="0050396A"/>
    <w:pPr>
      <w:keepNext/>
      <w:spacing w:line="360" w:lineRule="auto"/>
      <w:jc w:val="center"/>
    </w:pPr>
    <w:rPr>
      <w:rFonts w:ascii="Times New Roman" w:eastAsia="Times New Roman" w:hAnsi="Times New Roman"/>
      <w:szCs w:val="24"/>
      <w:lang w:eastAsia="cs-CZ"/>
    </w:rPr>
  </w:style>
  <w:style w:type="paragraph" w:customStyle="1" w:styleId="Popisky">
    <w:name w:val="Popisky"/>
    <w:basedOn w:val="Titulek"/>
    <w:link w:val="PopiskyChar"/>
    <w:qFormat/>
    <w:rsid w:val="0050396A"/>
    <w:pPr>
      <w:keepNext/>
      <w:widowControl/>
      <w:spacing w:after="60"/>
    </w:pPr>
    <w:rPr>
      <w:rFonts w:ascii="Segoe UI" w:eastAsiaTheme="minorHAnsi" w:hAnsi="Segoe UI" w:cs="Segoe UI"/>
      <w:color w:val="auto"/>
      <w:sz w:val="18"/>
      <w:szCs w:val="18"/>
      <w:lang w:eastAsia="en-US"/>
    </w:rPr>
  </w:style>
  <w:style w:type="character" w:customStyle="1" w:styleId="PopiskyChar">
    <w:name w:val="Popisky Char"/>
    <w:basedOn w:val="Standardnpsmoodstavce"/>
    <w:link w:val="Popisky"/>
    <w:rsid w:val="0050396A"/>
    <w:rPr>
      <w:rFonts w:ascii="Segoe UI" w:eastAsiaTheme="minorHAnsi" w:hAnsi="Segoe UI" w:cs="Segoe UI"/>
      <w:b/>
      <w:bCs/>
      <w:sz w:val="18"/>
      <w:szCs w:val="18"/>
    </w:rPr>
  </w:style>
  <w:style w:type="table" w:styleId="Svtlstnovnzvraznn2">
    <w:name w:val="Light Shading Accent 2"/>
    <w:basedOn w:val="Normlntabulka"/>
    <w:uiPriority w:val="60"/>
    <w:rsid w:val="0050396A"/>
    <w:rPr>
      <w:color w:val="5F5F5F" w:themeColor="accent2" w:themeShade="BF"/>
      <w:lang w:eastAsia="cs-CZ"/>
    </w:rPr>
    <w:tblPr>
      <w:tblStyleRowBandSize w:val="1"/>
      <w:tblStyleColBandSize w:val="1"/>
      <w:tblBorders>
        <w:top w:val="single" w:sz="8" w:space="0" w:color="7F7F7F" w:themeColor="accent2"/>
        <w:bottom w:val="single" w:sz="8" w:space="0" w:color="7F7F7F" w:themeColor="accent2"/>
      </w:tblBorders>
    </w:tblPr>
    <w:tblStylePr w:type="fir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lastRow">
      <w:pPr>
        <w:spacing w:before="0" w:after="0" w:line="240" w:lineRule="auto"/>
      </w:pPr>
      <w:rPr>
        <w:b/>
        <w:bCs/>
      </w:rPr>
      <w:tblPr/>
      <w:tcPr>
        <w:tcBorders>
          <w:top w:val="single" w:sz="8" w:space="0" w:color="7F7F7F" w:themeColor="accent2"/>
          <w:left w:val="nil"/>
          <w:bottom w:val="single" w:sz="8" w:space="0" w:color="7F7F7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2" w:themeFillTint="3F"/>
      </w:tcPr>
    </w:tblStylePr>
    <w:tblStylePr w:type="band1Horz">
      <w:tblPr/>
      <w:tcPr>
        <w:tcBorders>
          <w:left w:val="nil"/>
          <w:right w:val="nil"/>
          <w:insideH w:val="nil"/>
          <w:insideV w:val="nil"/>
        </w:tcBorders>
        <w:shd w:val="clear" w:color="auto" w:fill="DFDFDF" w:themeFill="accent2" w:themeFillTint="3F"/>
      </w:tcPr>
    </w:tblStylePr>
  </w:style>
  <w:style w:type="paragraph" w:customStyle="1" w:styleId="Popisek">
    <w:name w:val="Popisek"/>
    <w:basedOn w:val="Normln"/>
    <w:link w:val="PopisekChar"/>
    <w:qFormat/>
    <w:rsid w:val="0050396A"/>
    <w:pPr>
      <w:spacing w:line="360" w:lineRule="auto"/>
    </w:pPr>
    <w:rPr>
      <w:rFonts w:ascii="Segoe UI" w:eastAsiaTheme="minorHAnsi" w:hAnsi="Segoe UI" w:cstheme="minorBidi"/>
      <w:i/>
      <w:color w:val="B6B002" w:themeColor="text2"/>
      <w:sz w:val="18"/>
    </w:rPr>
  </w:style>
  <w:style w:type="character" w:customStyle="1" w:styleId="PopisekChar">
    <w:name w:val="Popisek Char"/>
    <w:basedOn w:val="Standardnpsmoodstavce"/>
    <w:link w:val="Popisek"/>
    <w:rsid w:val="0050396A"/>
    <w:rPr>
      <w:rFonts w:ascii="Segoe UI" w:eastAsiaTheme="minorHAnsi" w:hAnsi="Segoe UI" w:cstheme="minorBidi"/>
      <w:i/>
      <w:color w:val="B6B002" w:themeColor="text2"/>
      <w:sz w:val="18"/>
      <w:szCs w:val="22"/>
    </w:rPr>
  </w:style>
  <w:style w:type="paragraph" w:customStyle="1" w:styleId="podnapis1">
    <w:name w:val="podnapis1"/>
    <w:basedOn w:val="podnadpis2"/>
    <w:rsid w:val="0050396A"/>
    <w:rPr>
      <w:color w:val="C00000"/>
      <w:lang w:eastAsia="cs-CZ"/>
    </w:rPr>
  </w:style>
  <w:style w:type="paragraph" w:customStyle="1" w:styleId="podnadpis0">
    <w:name w:val="podnadpis"/>
    <w:basedOn w:val="N6normln"/>
    <w:link w:val="podnadpisChar0"/>
    <w:rsid w:val="0050396A"/>
    <w:pPr>
      <w:keepNext/>
      <w:ind w:firstLine="0"/>
    </w:pPr>
    <w:rPr>
      <w:rFonts w:ascii="Segoe UI" w:hAnsi="Segoe UI" w:cs="Segoe UI"/>
      <w:b/>
      <w:szCs w:val="24"/>
    </w:rPr>
  </w:style>
  <w:style w:type="character" w:customStyle="1" w:styleId="podnadpisChar0">
    <w:name w:val="podnadpis Char"/>
    <w:basedOn w:val="N6normlnChar"/>
    <w:link w:val="podnadpis0"/>
    <w:rsid w:val="0050396A"/>
    <w:rPr>
      <w:rFonts w:ascii="Segoe UI" w:eastAsia="Constantia" w:hAnsi="Segoe UI" w:cs="Segoe UI"/>
      <w:b/>
      <w:sz w:val="24"/>
      <w:szCs w:val="24"/>
    </w:rPr>
  </w:style>
  <w:style w:type="table" w:customStyle="1" w:styleId="Tabulkasmkou2zvraznn51">
    <w:name w:val="Tabulka s mřížkou 2 – zvýraznění 51"/>
    <w:basedOn w:val="Normlntabulka"/>
    <w:uiPriority w:val="47"/>
    <w:rsid w:val="0050396A"/>
    <w:rPr>
      <w:lang w:eastAsia="cs-CZ"/>
    </w:rPr>
    <w:tblPr>
      <w:tblStyleRowBandSize w:val="1"/>
      <w:tblStyleColBandSize w:val="1"/>
      <w:tblBorders>
        <w:top w:val="single" w:sz="2" w:space="0" w:color="7C7C7C" w:themeColor="accent5" w:themeTint="99"/>
        <w:bottom w:val="single" w:sz="2" w:space="0" w:color="7C7C7C" w:themeColor="accent5" w:themeTint="99"/>
        <w:insideH w:val="single" w:sz="2" w:space="0" w:color="7C7C7C" w:themeColor="accent5" w:themeTint="99"/>
        <w:insideV w:val="single" w:sz="2" w:space="0" w:color="7C7C7C" w:themeColor="accent5" w:themeTint="99"/>
      </w:tblBorders>
    </w:tblPr>
    <w:tblStylePr w:type="firstRow">
      <w:rPr>
        <w:b/>
        <w:bCs/>
      </w:rPr>
      <w:tblPr/>
      <w:tcPr>
        <w:tcBorders>
          <w:top w:val="nil"/>
          <w:bottom w:val="single" w:sz="12" w:space="0" w:color="7C7C7C" w:themeColor="accent5" w:themeTint="99"/>
          <w:insideH w:val="nil"/>
          <w:insideV w:val="nil"/>
        </w:tcBorders>
        <w:shd w:val="clear" w:color="auto" w:fill="FFFFFF" w:themeFill="background1"/>
      </w:tcPr>
    </w:tblStylePr>
    <w:tblStylePr w:type="lastRow">
      <w:rPr>
        <w:b/>
        <w:bCs/>
      </w:rPr>
      <w:tblPr/>
      <w:tcPr>
        <w:tcBorders>
          <w:top w:val="double" w:sz="2" w:space="0" w:color="7C7C7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Odstavec0">
    <w:name w:val="Odstavec"/>
    <w:basedOn w:val="Normln"/>
    <w:link w:val="OdstavecChar"/>
    <w:qFormat/>
    <w:rsid w:val="0050396A"/>
    <w:pPr>
      <w:spacing w:line="312" w:lineRule="auto"/>
      <w:ind w:firstLine="397"/>
    </w:pPr>
    <w:rPr>
      <w:rFonts w:ascii="Times New Roman" w:eastAsia="Times New Roman" w:hAnsi="Times New Roman"/>
      <w:szCs w:val="20"/>
      <w:lang w:eastAsia="cs-CZ"/>
    </w:rPr>
  </w:style>
  <w:style w:type="character" w:customStyle="1" w:styleId="OdstavecChar">
    <w:name w:val="Odstavec Char"/>
    <w:link w:val="Odstavec0"/>
    <w:rsid w:val="0050396A"/>
    <w:rPr>
      <w:rFonts w:ascii="Times New Roman" w:eastAsia="Times New Roman" w:hAnsi="Times New Roman"/>
      <w:sz w:val="24"/>
      <w:lang w:eastAsia="cs-CZ"/>
    </w:rPr>
  </w:style>
  <w:style w:type="character" w:customStyle="1" w:styleId="ZdrojeChar">
    <w:name w:val="Zdroje Char"/>
    <w:basedOn w:val="Standardnpsmoodstavce"/>
    <w:link w:val="Zdroje"/>
    <w:locked/>
    <w:rsid w:val="0050396A"/>
    <w:rPr>
      <w:rFonts w:ascii="Cambria" w:eastAsia="Times New Roman" w:hAnsi="Cambria"/>
      <w:bCs/>
      <w:i/>
      <w:iCs/>
      <w:sz w:val="18"/>
      <w:szCs w:val="24"/>
    </w:rPr>
  </w:style>
  <w:style w:type="paragraph" w:customStyle="1" w:styleId="Zdroje">
    <w:name w:val="Zdroje"/>
    <w:basedOn w:val="Normln"/>
    <w:link w:val="ZdrojeChar"/>
    <w:rsid w:val="0050396A"/>
    <w:rPr>
      <w:rFonts w:ascii="Cambria" w:eastAsia="Times New Roman" w:hAnsi="Cambria"/>
      <w:bCs/>
      <w:i/>
      <w:iCs/>
      <w:sz w:val="18"/>
      <w:szCs w:val="24"/>
    </w:rPr>
  </w:style>
  <w:style w:type="character" w:customStyle="1" w:styleId="ico-article-date">
    <w:name w:val="ico-article-date"/>
    <w:basedOn w:val="Standardnpsmoodstavce"/>
    <w:rsid w:val="0050396A"/>
  </w:style>
  <w:style w:type="character" w:customStyle="1" w:styleId="st0">
    <w:name w:val="st"/>
    <w:basedOn w:val="Standardnpsmoodstavce"/>
    <w:rsid w:val="0050396A"/>
  </w:style>
  <w:style w:type="paragraph" w:styleId="slovanseznam3">
    <w:name w:val="List Number 3"/>
    <w:aliases w:val="Číslovaný seznam A 3"/>
    <w:basedOn w:val="Normln"/>
    <w:uiPriority w:val="15"/>
    <w:qFormat/>
    <w:rsid w:val="0050396A"/>
    <w:pPr>
      <w:numPr>
        <w:numId w:val="28"/>
      </w:numPr>
      <w:autoSpaceDE w:val="0"/>
      <w:autoSpaceDN w:val="0"/>
    </w:pPr>
    <w:rPr>
      <w:rFonts w:ascii="Times New Roman" w:eastAsia="Times New Roman" w:hAnsi="Times New Roman"/>
      <w:szCs w:val="24"/>
      <w:lang w:eastAsia="cs-CZ"/>
    </w:rPr>
  </w:style>
  <w:style w:type="paragraph" w:customStyle="1" w:styleId="Zhlav-akce">
    <w:name w:val="Záhlaví-akce"/>
    <w:basedOn w:val="Normln"/>
    <w:rsid w:val="0050396A"/>
    <w:pPr>
      <w:widowControl w:val="0"/>
      <w:spacing w:after="0"/>
    </w:pPr>
    <w:rPr>
      <w:rFonts w:ascii="Times New Roman" w:eastAsia="Times New Roman" w:hAnsi="Times New Roman"/>
      <w:i/>
      <w:szCs w:val="20"/>
      <w:lang w:eastAsia="cs-CZ"/>
    </w:rPr>
  </w:style>
  <w:style w:type="character" w:customStyle="1" w:styleId="zklstylpsma">
    <w:name w:val="zákl. styl písma"/>
    <w:rsid w:val="0050396A"/>
    <w:rPr>
      <w:rFonts w:ascii="Switzerland" w:hAnsi="Switzerland"/>
      <w:kern w:val="16"/>
      <w:sz w:val="20"/>
    </w:rPr>
  </w:style>
  <w:style w:type="paragraph" w:customStyle="1" w:styleId="Zhlav-kap">
    <w:name w:val="Záhlaví - kap."/>
    <w:basedOn w:val="Normln"/>
    <w:rsid w:val="0050396A"/>
    <w:pPr>
      <w:widowControl w:val="0"/>
      <w:spacing w:after="0"/>
      <w:jc w:val="right"/>
    </w:pPr>
    <w:rPr>
      <w:rFonts w:ascii="Times New Roman" w:eastAsia="Times New Roman" w:hAnsi="Times New Roman"/>
      <w:i/>
      <w:szCs w:val="20"/>
      <w:lang w:eastAsia="cs-CZ"/>
    </w:rPr>
  </w:style>
  <w:style w:type="paragraph" w:styleId="slovanseznam40">
    <w:name w:val="List Number 4"/>
    <w:aliases w:val="Číslovaný seznam A 4"/>
    <w:basedOn w:val="Normln"/>
    <w:uiPriority w:val="15"/>
    <w:qFormat/>
    <w:rsid w:val="0050396A"/>
    <w:pPr>
      <w:widowControl w:val="0"/>
      <w:spacing w:after="0"/>
      <w:ind w:left="1132" w:hanging="283"/>
    </w:pPr>
    <w:rPr>
      <w:rFonts w:ascii="Times New Roman" w:eastAsia="Times New Roman" w:hAnsi="Times New Roman"/>
      <w:szCs w:val="20"/>
      <w:lang w:eastAsia="cs-CZ"/>
    </w:rPr>
  </w:style>
  <w:style w:type="paragraph" w:styleId="slovanseznam5">
    <w:name w:val="List Number 5"/>
    <w:aliases w:val="Číslovaný seznam A 5"/>
    <w:basedOn w:val="Normln"/>
    <w:uiPriority w:val="15"/>
    <w:qFormat/>
    <w:rsid w:val="0050396A"/>
    <w:pPr>
      <w:widowControl w:val="0"/>
      <w:spacing w:after="0"/>
      <w:ind w:left="1415" w:hanging="283"/>
    </w:pPr>
    <w:rPr>
      <w:rFonts w:ascii="Times New Roman" w:eastAsia="Times New Roman" w:hAnsi="Times New Roman"/>
      <w:szCs w:val="20"/>
      <w:lang w:eastAsia="cs-CZ"/>
    </w:rPr>
  </w:style>
  <w:style w:type="paragraph" w:styleId="Normlnodsazen">
    <w:name w:val="Normal Indent"/>
    <w:aliases w:val="záhlaví"/>
    <w:basedOn w:val="Normln"/>
    <w:next w:val="Normln"/>
    <w:uiPriority w:val="99"/>
    <w:rsid w:val="0050396A"/>
    <w:pPr>
      <w:widowControl w:val="0"/>
      <w:spacing w:after="0"/>
      <w:ind w:left="709"/>
    </w:pPr>
    <w:rPr>
      <w:rFonts w:ascii="Times New Roman" w:eastAsia="Times New Roman" w:hAnsi="Times New Roman"/>
      <w:szCs w:val="20"/>
      <w:lang w:eastAsia="cs-CZ"/>
    </w:rPr>
  </w:style>
  <w:style w:type="paragraph" w:customStyle="1" w:styleId="Bntext">
    <w:name w:val="Běžný text"/>
    <w:basedOn w:val="Normln"/>
    <w:rsid w:val="0050396A"/>
    <w:pPr>
      <w:widowControl w:val="0"/>
      <w:spacing w:after="0"/>
      <w:ind w:firstLine="567"/>
    </w:pPr>
    <w:rPr>
      <w:rFonts w:ascii="Tahoma" w:eastAsia="Times New Roman" w:hAnsi="Tahoma"/>
      <w:szCs w:val="20"/>
      <w:lang w:eastAsia="cs-CZ"/>
    </w:rPr>
  </w:style>
  <w:style w:type="paragraph" w:customStyle="1" w:styleId="Bntextodsazen">
    <w:name w:val="Běžný text odsazený"/>
    <w:basedOn w:val="Normln"/>
    <w:rsid w:val="0050396A"/>
    <w:pPr>
      <w:widowControl w:val="0"/>
      <w:spacing w:before="60" w:after="60"/>
      <w:ind w:left="567"/>
    </w:pPr>
    <w:rPr>
      <w:rFonts w:ascii="Times New Roman" w:eastAsia="Times New Roman" w:hAnsi="Times New Roman"/>
      <w:szCs w:val="20"/>
      <w:lang w:eastAsia="cs-CZ"/>
    </w:rPr>
  </w:style>
  <w:style w:type="paragraph" w:styleId="Seznamsodrkami2">
    <w:name w:val="List Bullet 2"/>
    <w:aliases w:val="Seznam s odrážkami A 2"/>
    <w:basedOn w:val="Normln"/>
    <w:uiPriority w:val="10"/>
    <w:qFormat/>
    <w:rsid w:val="0050396A"/>
    <w:pPr>
      <w:widowControl w:val="0"/>
      <w:spacing w:after="0"/>
      <w:ind w:left="850" w:hanging="283"/>
    </w:pPr>
    <w:rPr>
      <w:rFonts w:ascii="Times New Roman" w:eastAsia="Times New Roman" w:hAnsi="Times New Roman"/>
      <w:szCs w:val="20"/>
      <w:lang w:eastAsia="cs-CZ"/>
    </w:rPr>
  </w:style>
  <w:style w:type="paragraph" w:styleId="Zptenadresanaoblku">
    <w:name w:val="envelope return"/>
    <w:basedOn w:val="Normln"/>
    <w:rsid w:val="0050396A"/>
    <w:pPr>
      <w:widowControl w:val="0"/>
      <w:spacing w:after="0"/>
    </w:pPr>
    <w:rPr>
      <w:rFonts w:ascii="Times New Roman" w:eastAsia="Times New Roman" w:hAnsi="Times New Roman"/>
      <w:szCs w:val="20"/>
      <w:lang w:eastAsia="cs-CZ"/>
    </w:rPr>
  </w:style>
  <w:style w:type="paragraph" w:styleId="Seznam">
    <w:name w:val="List"/>
    <w:basedOn w:val="Normln"/>
    <w:rsid w:val="0050396A"/>
    <w:pPr>
      <w:widowControl w:val="0"/>
      <w:spacing w:after="0"/>
      <w:ind w:left="283" w:hanging="283"/>
    </w:pPr>
    <w:rPr>
      <w:rFonts w:ascii="Times New Roman" w:eastAsia="Times New Roman" w:hAnsi="Times New Roman"/>
      <w:szCs w:val="20"/>
      <w:lang w:eastAsia="cs-CZ"/>
    </w:rPr>
  </w:style>
  <w:style w:type="paragraph" w:styleId="Seznam2">
    <w:name w:val="List 2"/>
    <w:basedOn w:val="Normln"/>
    <w:rsid w:val="0050396A"/>
    <w:pPr>
      <w:widowControl w:val="0"/>
      <w:spacing w:after="0"/>
      <w:ind w:left="566" w:hanging="283"/>
    </w:pPr>
    <w:rPr>
      <w:rFonts w:ascii="Times New Roman" w:eastAsia="Times New Roman" w:hAnsi="Times New Roman"/>
      <w:szCs w:val="20"/>
      <w:lang w:eastAsia="cs-CZ"/>
    </w:rPr>
  </w:style>
  <w:style w:type="paragraph" w:styleId="Seznam3">
    <w:name w:val="List 3"/>
    <w:basedOn w:val="Normln"/>
    <w:rsid w:val="0050396A"/>
    <w:pPr>
      <w:widowControl w:val="0"/>
      <w:spacing w:after="0"/>
      <w:ind w:left="849" w:hanging="283"/>
    </w:pPr>
    <w:rPr>
      <w:rFonts w:ascii="Times New Roman" w:eastAsia="Times New Roman" w:hAnsi="Times New Roman"/>
      <w:szCs w:val="20"/>
      <w:lang w:eastAsia="cs-CZ"/>
    </w:rPr>
  </w:style>
  <w:style w:type="paragraph" w:customStyle="1" w:styleId="uvodnitext">
    <w:name w:val="uvodni text"/>
    <w:rsid w:val="0050396A"/>
    <w:pPr>
      <w:widowControl w:val="0"/>
    </w:pPr>
    <w:rPr>
      <w:rFonts w:ascii="Times New Roman" w:eastAsia="Times New Roman" w:hAnsi="Times New Roman"/>
      <w:sz w:val="24"/>
      <w:lang w:eastAsia="cs-CZ"/>
    </w:rPr>
  </w:style>
  <w:style w:type="paragraph" w:customStyle="1" w:styleId="Popisobjektu">
    <w:name w:val="Popis objektu"/>
    <w:rsid w:val="0050396A"/>
    <w:pPr>
      <w:widowControl w:val="0"/>
    </w:pPr>
    <w:rPr>
      <w:rFonts w:ascii="Times New Roman" w:eastAsia="Times New Roman" w:hAnsi="Times New Roman"/>
      <w:sz w:val="24"/>
      <w:lang w:eastAsia="cs-CZ"/>
    </w:rPr>
  </w:style>
  <w:style w:type="paragraph" w:customStyle="1" w:styleId="Zkladntext21">
    <w:name w:val="Základní text 21"/>
    <w:basedOn w:val="Normln"/>
    <w:rsid w:val="0050396A"/>
    <w:pPr>
      <w:widowControl w:val="0"/>
      <w:spacing w:after="0"/>
    </w:pPr>
    <w:rPr>
      <w:rFonts w:ascii="Times New Roman" w:eastAsia="Times New Roman" w:hAnsi="Times New Roman"/>
      <w:szCs w:val="20"/>
      <w:lang w:eastAsia="cs-CZ"/>
    </w:rPr>
  </w:style>
  <w:style w:type="paragraph" w:customStyle="1" w:styleId="Zkladntext31">
    <w:name w:val="Základní text 31"/>
    <w:basedOn w:val="Normln"/>
    <w:rsid w:val="0050396A"/>
    <w:pPr>
      <w:widowControl w:val="0"/>
      <w:spacing w:after="0"/>
    </w:pPr>
    <w:rPr>
      <w:rFonts w:ascii="Times New Roman" w:eastAsia="Times New Roman" w:hAnsi="Times New Roman"/>
      <w:i/>
      <w:szCs w:val="20"/>
      <w:lang w:eastAsia="cs-CZ"/>
    </w:rPr>
  </w:style>
  <w:style w:type="paragraph" w:customStyle="1" w:styleId="Bintext">
    <w:name w:val="Bižný text"/>
    <w:basedOn w:val="Normln"/>
    <w:rsid w:val="0050396A"/>
    <w:pPr>
      <w:widowControl w:val="0"/>
      <w:spacing w:before="60" w:after="60"/>
      <w:ind w:firstLine="567"/>
    </w:pPr>
    <w:rPr>
      <w:rFonts w:ascii="Times New Roman" w:eastAsia="Times New Roman" w:hAnsi="Times New Roman"/>
      <w:szCs w:val="20"/>
      <w:lang w:eastAsia="cs-CZ"/>
    </w:rPr>
  </w:style>
  <w:style w:type="paragraph" w:customStyle="1" w:styleId="Zkladntextodsazen31">
    <w:name w:val="Základní text odsazený 31"/>
    <w:basedOn w:val="Normln"/>
    <w:rsid w:val="0050396A"/>
    <w:pPr>
      <w:widowControl w:val="0"/>
      <w:spacing w:after="0"/>
      <w:ind w:firstLine="708"/>
    </w:pPr>
    <w:rPr>
      <w:rFonts w:ascii="Times New Roman" w:eastAsia="Times New Roman" w:hAnsi="Times New Roman"/>
      <w:szCs w:val="20"/>
      <w:lang w:eastAsia="cs-CZ"/>
    </w:rPr>
  </w:style>
  <w:style w:type="paragraph" w:customStyle="1" w:styleId="font7">
    <w:name w:val="font7"/>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8">
    <w:name w:val="font8"/>
    <w:basedOn w:val="Normln"/>
    <w:rsid w:val="0050396A"/>
    <w:pPr>
      <w:spacing w:before="100" w:beforeAutospacing="1" w:after="100" w:afterAutospacing="1"/>
    </w:pPr>
    <w:rPr>
      <w:rFonts w:ascii="Tahoma" w:eastAsia="Times New Roman" w:hAnsi="Tahoma" w:cs="Tahoma"/>
      <w:color w:val="000000"/>
      <w:sz w:val="16"/>
      <w:szCs w:val="16"/>
      <w:lang w:eastAsia="cs-CZ"/>
    </w:rPr>
  </w:style>
  <w:style w:type="paragraph" w:customStyle="1" w:styleId="font9">
    <w:name w:val="font9"/>
    <w:basedOn w:val="Normln"/>
    <w:rsid w:val="0050396A"/>
    <w:pPr>
      <w:spacing w:before="100" w:beforeAutospacing="1" w:after="100" w:afterAutospacing="1"/>
    </w:pPr>
    <w:rPr>
      <w:rFonts w:ascii="Times New Roman" w:eastAsia="Times New Roman" w:hAnsi="Times New Roman"/>
      <w:sz w:val="16"/>
      <w:szCs w:val="16"/>
      <w:lang w:eastAsia="cs-CZ"/>
    </w:rPr>
  </w:style>
  <w:style w:type="paragraph" w:customStyle="1" w:styleId="xl150">
    <w:name w:val="xl150"/>
    <w:basedOn w:val="Normln"/>
    <w:rsid w:val="0050396A"/>
    <w:pPr>
      <w:pBdr>
        <w:top w:val="single" w:sz="8" w:space="0" w:color="auto"/>
        <w:left w:val="single" w:sz="8" w:space="0" w:color="auto"/>
        <w:bottom w:val="single" w:sz="8" w:space="0" w:color="auto"/>
      </w:pBdr>
      <w:shd w:val="clear" w:color="auto" w:fill="00FFFF"/>
      <w:spacing w:before="100" w:beforeAutospacing="1" w:after="100" w:afterAutospacing="1"/>
    </w:pPr>
    <w:rPr>
      <w:rFonts w:ascii="Times New Roman" w:eastAsia="Times New Roman" w:hAnsi="Times New Roman"/>
      <w:b/>
      <w:bCs/>
      <w:sz w:val="14"/>
      <w:szCs w:val="14"/>
      <w:lang w:eastAsia="cs-CZ"/>
    </w:rPr>
  </w:style>
  <w:style w:type="paragraph" w:customStyle="1" w:styleId="xl151">
    <w:name w:val="xl151"/>
    <w:basedOn w:val="Normln"/>
    <w:rsid w:val="0050396A"/>
    <w:pPr>
      <w:pBdr>
        <w:top w:val="single" w:sz="8" w:space="0" w:color="auto"/>
        <w:left w:val="single" w:sz="8" w:space="0" w:color="auto"/>
        <w:bottom w:val="single" w:sz="8" w:space="0" w:color="auto"/>
        <w:right w:val="single" w:sz="4"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2">
    <w:name w:val="xl152"/>
    <w:basedOn w:val="Normln"/>
    <w:rsid w:val="0050396A"/>
    <w:pPr>
      <w:pBdr>
        <w:top w:val="single" w:sz="8" w:space="0" w:color="auto"/>
        <w:left w:val="single" w:sz="4" w:space="0" w:color="auto"/>
        <w:bottom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paragraph" w:customStyle="1" w:styleId="xl153">
    <w:name w:val="xl153"/>
    <w:basedOn w:val="Normln"/>
    <w:rsid w:val="0050396A"/>
    <w:pPr>
      <w:pBdr>
        <w:top w:val="single" w:sz="8" w:space="0" w:color="auto"/>
        <w:left w:val="single" w:sz="4" w:space="0" w:color="auto"/>
        <w:bottom w:val="single" w:sz="8" w:space="0" w:color="auto"/>
        <w:right w:val="single" w:sz="8" w:space="0" w:color="auto"/>
      </w:pBdr>
      <w:shd w:val="clear" w:color="auto" w:fill="00FFFF"/>
      <w:spacing w:before="100" w:beforeAutospacing="1" w:after="100" w:afterAutospacing="1"/>
      <w:jc w:val="center"/>
    </w:pPr>
    <w:rPr>
      <w:rFonts w:ascii="Times New Roman" w:eastAsia="Times New Roman" w:hAnsi="Times New Roman"/>
      <w:sz w:val="14"/>
      <w:szCs w:val="14"/>
      <w:lang w:eastAsia="cs-CZ"/>
    </w:rPr>
  </w:style>
  <w:style w:type="character" w:customStyle="1" w:styleId="titulninadpis">
    <w:name w:val="titulni nadpis"/>
    <w:rsid w:val="0050396A"/>
    <w:rPr>
      <w:b/>
      <w:sz w:val="20"/>
    </w:rPr>
  </w:style>
  <w:style w:type="paragraph" w:customStyle="1" w:styleId="zaveradresa">
    <w:name w:val="zaver adresa"/>
    <w:rsid w:val="0050396A"/>
    <w:pPr>
      <w:widowControl w:val="0"/>
    </w:pPr>
    <w:rPr>
      <w:rFonts w:ascii="Times New Roman" w:eastAsia="Times New Roman" w:hAnsi="Times New Roman"/>
      <w:sz w:val="24"/>
      <w:lang w:eastAsia="cs-CZ"/>
    </w:rPr>
  </w:style>
  <w:style w:type="paragraph" w:customStyle="1" w:styleId="font10">
    <w:name w:val="font10"/>
    <w:basedOn w:val="Normln"/>
    <w:rsid w:val="0050396A"/>
    <w:pPr>
      <w:spacing w:before="100" w:beforeAutospacing="1" w:after="100" w:afterAutospacing="1"/>
    </w:pPr>
    <w:rPr>
      <w:rFonts w:ascii="Tahoma" w:eastAsia="Arial Unicode MS" w:hAnsi="Tahoma" w:cs="Tahoma"/>
      <w:color w:val="000000"/>
      <w:sz w:val="16"/>
      <w:szCs w:val="16"/>
      <w:lang w:eastAsia="cs-CZ"/>
    </w:rPr>
  </w:style>
  <w:style w:type="paragraph" w:customStyle="1" w:styleId="Aconstext">
    <w:name w:val="Acons text"/>
    <w:basedOn w:val="Normln"/>
    <w:rsid w:val="0050396A"/>
    <w:pPr>
      <w:spacing w:after="0"/>
    </w:pPr>
    <w:rPr>
      <w:rFonts w:ascii="Times New Roman" w:eastAsia="Times New Roman" w:hAnsi="Times New Roman"/>
      <w:szCs w:val="20"/>
      <w:lang w:eastAsia="cs-CZ"/>
    </w:rPr>
  </w:style>
  <w:style w:type="table" w:customStyle="1" w:styleId="Mkatabulky1">
    <w:name w:val="Mřížka tabulky1"/>
    <w:basedOn w:val="Normlntabulka"/>
    <w:next w:val="Mkatabulky"/>
    <w:rsid w:val="0050396A"/>
    <w:pPr>
      <w:overflowPunct w:val="0"/>
      <w:autoSpaceDE w:val="0"/>
      <w:autoSpaceDN w:val="0"/>
      <w:adjustRightInd w:val="0"/>
      <w:textAlignment w:val="baseline"/>
    </w:pPr>
    <w:rPr>
      <w:rFonts w:ascii="Times New Roman" w:eastAsia="Times New Roman" w:hAnsi="Times New Roman"/>
      <w:lang w:eastAsia="cs-CZ"/>
    </w:rPr>
    <w:tblPr>
      <w:tblBorders>
        <w:top w:val="single" w:sz="4" w:space="0" w:color="FCEECC"/>
        <w:left w:val="single" w:sz="4" w:space="0" w:color="FCEECC"/>
        <w:bottom w:val="single" w:sz="4" w:space="0" w:color="FCEECC"/>
        <w:right w:val="single" w:sz="4" w:space="0" w:color="FCEECC"/>
        <w:insideH w:val="single" w:sz="4" w:space="0" w:color="FCEECC"/>
        <w:insideV w:val="single" w:sz="4" w:space="0" w:color="FCEECC"/>
      </w:tblBorders>
    </w:tblPr>
  </w:style>
  <w:style w:type="paragraph" w:customStyle="1" w:styleId="Bntext-posudek">
    <w:name w:val="Běžný text - posudek"/>
    <w:basedOn w:val="Zkladntext"/>
    <w:autoRedefine/>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Bintext-posudek">
    <w:name w:val="Bižný text - posudek"/>
    <w:basedOn w:val="Zkladntext"/>
    <w:rsid w:val="0050396A"/>
    <w:pPr>
      <w:overflowPunct w:val="0"/>
      <w:autoSpaceDE w:val="0"/>
      <w:autoSpaceDN w:val="0"/>
      <w:adjustRightInd w:val="0"/>
      <w:spacing w:after="0"/>
      <w:textAlignment w:val="baseline"/>
    </w:pPr>
    <w:rPr>
      <w:rFonts w:ascii="Tahoma" w:eastAsia="Times New Roman" w:hAnsi="Tahoma"/>
      <w:sz w:val="20"/>
      <w:szCs w:val="20"/>
      <w:lang w:eastAsia="cs-CZ"/>
    </w:rPr>
  </w:style>
  <w:style w:type="paragraph" w:customStyle="1" w:styleId="inz-info">
    <w:name w:val="inz-info"/>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price">
    <w:name w:val="price"/>
    <w:rsid w:val="0050396A"/>
  </w:style>
  <w:style w:type="paragraph" w:customStyle="1" w:styleId="inz-text">
    <w:name w:val="inz-text"/>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StylZkladntextTahomazarovnnnasted">
    <w:name w:val="Styl Základní text + Tahoma zarovnání na střed"/>
    <w:basedOn w:val="Zkladntext"/>
    <w:autoRedefine/>
    <w:rsid w:val="0050396A"/>
    <w:pPr>
      <w:widowControl w:val="0"/>
      <w:tabs>
        <w:tab w:val="left" w:pos="6804"/>
      </w:tabs>
      <w:ind w:right="-28"/>
    </w:pPr>
    <w:rPr>
      <w:rFonts w:ascii="Times New Roman" w:eastAsia="Times New Roman" w:hAnsi="Times New Roman"/>
      <w:color w:val="000000"/>
      <w:sz w:val="20"/>
      <w:szCs w:val="20"/>
      <w:lang w:eastAsia="cs-CZ"/>
    </w:rPr>
  </w:style>
  <w:style w:type="character" w:customStyle="1" w:styleId="new-vykrik">
    <w:name w:val="new-vykrik"/>
    <w:rsid w:val="0050396A"/>
  </w:style>
  <w:style w:type="character" w:customStyle="1" w:styleId="t9pt">
    <w:name w:val="t9pt"/>
    <w:rsid w:val="0050396A"/>
  </w:style>
  <w:style w:type="character" w:customStyle="1" w:styleId="12pt">
    <w:name w:val="12pt"/>
    <w:rsid w:val="0050396A"/>
  </w:style>
  <w:style w:type="character" w:customStyle="1" w:styleId="8pt">
    <w:name w:val="8pt"/>
    <w:rsid w:val="0050396A"/>
  </w:style>
  <w:style w:type="paragraph" w:styleId="z-Zatekformule">
    <w:name w:val="HTML Top of Form"/>
    <w:basedOn w:val="Normln"/>
    <w:next w:val="Normln"/>
    <w:link w:val="z-ZatekformuleChar"/>
    <w:hidden/>
    <w:uiPriority w:val="99"/>
    <w:unhideWhenUsed/>
    <w:rsid w:val="0050396A"/>
    <w:pPr>
      <w:pBdr>
        <w:bottom w:val="single" w:sz="6" w:space="1" w:color="auto"/>
      </w:pBdr>
      <w:spacing w:after="0"/>
      <w:jc w:val="center"/>
    </w:pPr>
    <w:rPr>
      <w:rFonts w:ascii="Arial" w:eastAsia="Times New Roman" w:hAnsi="Arial"/>
      <w:vanish/>
      <w:sz w:val="16"/>
      <w:szCs w:val="16"/>
    </w:rPr>
  </w:style>
  <w:style w:type="character" w:customStyle="1" w:styleId="z-ZatekformuleChar">
    <w:name w:val="z-Začátek formuláře Char"/>
    <w:basedOn w:val="Standardnpsmoodstavce"/>
    <w:link w:val="z-Zatekformule"/>
    <w:uiPriority w:val="99"/>
    <w:rsid w:val="0050396A"/>
    <w:rPr>
      <w:rFonts w:ascii="Arial" w:eastAsia="Times New Roman" w:hAnsi="Arial"/>
      <w:vanish/>
      <w:sz w:val="16"/>
      <w:szCs w:val="16"/>
    </w:rPr>
  </w:style>
  <w:style w:type="character" w:customStyle="1" w:styleId="text12pt">
    <w:name w:val="text12pt"/>
    <w:rsid w:val="0050396A"/>
  </w:style>
  <w:style w:type="character" w:customStyle="1" w:styleId="skypepnhprintcontainer">
    <w:name w:val="skype_pnh_print_container"/>
    <w:rsid w:val="0050396A"/>
  </w:style>
  <w:style w:type="character" w:customStyle="1" w:styleId="skypepnhcontainer">
    <w:name w:val="skype_pnh_container"/>
    <w:rsid w:val="0050396A"/>
  </w:style>
  <w:style w:type="character" w:customStyle="1" w:styleId="skypepnhmark">
    <w:name w:val="skype_pnh_mark"/>
    <w:rsid w:val="0050396A"/>
  </w:style>
  <w:style w:type="character" w:customStyle="1" w:styleId="skypepnhleftspan">
    <w:name w:val="skype_pnh_left_span"/>
    <w:rsid w:val="0050396A"/>
  </w:style>
  <w:style w:type="character" w:customStyle="1" w:styleId="skypepnhdropartspan">
    <w:name w:val="skype_pnh_dropart_span"/>
    <w:rsid w:val="0050396A"/>
  </w:style>
  <w:style w:type="character" w:customStyle="1" w:styleId="skypepnhdropartflagspan">
    <w:name w:val="skype_pnh_dropart_flag_span"/>
    <w:rsid w:val="0050396A"/>
  </w:style>
  <w:style w:type="character" w:customStyle="1" w:styleId="skypepnhtextspan">
    <w:name w:val="skype_pnh_text_span"/>
    <w:rsid w:val="0050396A"/>
  </w:style>
  <w:style w:type="character" w:customStyle="1" w:styleId="skypepnhrightspan">
    <w:name w:val="skype_pnh_right_span"/>
    <w:rsid w:val="0050396A"/>
  </w:style>
  <w:style w:type="character" w:customStyle="1" w:styleId="7pt">
    <w:name w:val="7pt"/>
    <w:rsid w:val="0050396A"/>
  </w:style>
  <w:style w:type="paragraph" w:customStyle="1" w:styleId="Eerveninormln">
    <w:name w:val="Eerv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FF0000"/>
      <w:szCs w:val="20"/>
      <w:lang w:eastAsia="cs-CZ"/>
    </w:rPr>
  </w:style>
  <w:style w:type="paragraph" w:customStyle="1" w:styleId="Zeleninormln">
    <w:name w:val="Zeleni normální"/>
    <w:basedOn w:val="Normln"/>
    <w:rsid w:val="0050396A"/>
    <w:pPr>
      <w:overflowPunct w:val="0"/>
      <w:autoSpaceDE w:val="0"/>
      <w:autoSpaceDN w:val="0"/>
      <w:adjustRightInd w:val="0"/>
      <w:spacing w:after="0"/>
      <w:textAlignment w:val="baseline"/>
    </w:pPr>
    <w:rPr>
      <w:rFonts w:ascii="Times New Roman" w:eastAsia="Times New Roman" w:hAnsi="Times New Roman"/>
      <w:color w:val="00FF00"/>
      <w:szCs w:val="20"/>
      <w:lang w:eastAsia="cs-CZ"/>
    </w:rPr>
  </w:style>
  <w:style w:type="paragraph" w:customStyle="1" w:styleId="Modoenormln">
    <w:name w:val="Modoe normální"/>
    <w:basedOn w:val="Zeleninormln"/>
    <w:rsid w:val="0050396A"/>
    <w:rPr>
      <w:color w:val="0000FF"/>
    </w:rPr>
  </w:style>
  <w:style w:type="paragraph" w:customStyle="1" w:styleId="Hlavnnadpis">
    <w:name w:val="Hlavní nadpis"/>
    <w:basedOn w:val="Normln"/>
    <w:rsid w:val="0050396A"/>
    <w:pPr>
      <w:overflowPunct w:val="0"/>
      <w:autoSpaceDE w:val="0"/>
      <w:autoSpaceDN w:val="0"/>
      <w:adjustRightInd w:val="0"/>
      <w:spacing w:after="0"/>
      <w:jc w:val="center"/>
      <w:textAlignment w:val="baseline"/>
    </w:pPr>
    <w:rPr>
      <w:rFonts w:ascii="Arial" w:eastAsia="Times New Roman" w:hAnsi="Arial"/>
      <w:b/>
      <w:smallCaps/>
      <w:sz w:val="48"/>
      <w:szCs w:val="20"/>
      <w:lang w:eastAsia="cs-CZ"/>
    </w:rPr>
  </w:style>
  <w:style w:type="paragraph" w:customStyle="1" w:styleId="BodyText21">
    <w:name w:val="Body Text 21"/>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StylNadpis1Ped6b">
    <w:name w:val="Styl Nadpis 1 + Před:  6 b."/>
    <w:basedOn w:val="Nadpis1"/>
    <w:autoRedefine/>
    <w:rsid w:val="0050396A"/>
    <w:pPr>
      <w:keepNext/>
      <w:widowControl/>
      <w:tabs>
        <w:tab w:val="num" w:pos="432"/>
      </w:tabs>
      <w:overflowPunct w:val="0"/>
      <w:autoSpaceDE w:val="0"/>
      <w:autoSpaceDN w:val="0"/>
      <w:adjustRightInd w:val="0"/>
      <w:spacing w:after="0"/>
      <w:textAlignment w:val="baseline"/>
    </w:pPr>
    <w:rPr>
      <w:rFonts w:ascii="Times New Roman" w:hAnsi="Times New Roman"/>
      <w:color w:val="0070C0"/>
      <w:kern w:val="28"/>
      <w:szCs w:val="20"/>
    </w:rPr>
  </w:style>
  <w:style w:type="paragraph" w:customStyle="1" w:styleId="import18">
    <w:name w:val="import18"/>
    <w:basedOn w:val="Normln"/>
    <w:rsid w:val="0050396A"/>
    <w:pPr>
      <w:spacing w:before="100" w:beforeAutospacing="1" w:after="100" w:afterAutospacing="1"/>
    </w:pPr>
    <w:rPr>
      <w:rFonts w:ascii="Times New Roman" w:eastAsia="Times New Roman" w:hAnsi="Times New Roman"/>
      <w:szCs w:val="24"/>
      <w:lang w:eastAsia="cs-CZ"/>
    </w:rPr>
  </w:style>
  <w:style w:type="character" w:customStyle="1" w:styleId="address">
    <w:name w:val="address"/>
    <w:rsid w:val="0050396A"/>
  </w:style>
  <w:style w:type="character" w:customStyle="1" w:styleId="street-address">
    <w:name w:val="street-address"/>
    <w:rsid w:val="0050396A"/>
  </w:style>
  <w:style w:type="character" w:customStyle="1" w:styleId="id">
    <w:name w:val="id"/>
    <w:rsid w:val="0050396A"/>
  </w:style>
  <w:style w:type="paragraph" w:customStyle="1" w:styleId="BodyText22">
    <w:name w:val="Body Text 22"/>
    <w:basedOn w:val="Normln"/>
    <w:rsid w:val="0050396A"/>
    <w:pPr>
      <w:overflowPunct w:val="0"/>
      <w:autoSpaceDE w:val="0"/>
      <w:autoSpaceDN w:val="0"/>
      <w:adjustRightInd w:val="0"/>
      <w:ind w:left="283"/>
      <w:textAlignment w:val="baseline"/>
    </w:pPr>
    <w:rPr>
      <w:rFonts w:ascii="Times New Roman" w:eastAsia="Times New Roman" w:hAnsi="Times New Roman"/>
      <w:szCs w:val="20"/>
      <w:lang w:eastAsia="cs-CZ"/>
    </w:rPr>
  </w:style>
  <w:style w:type="paragraph" w:customStyle="1" w:styleId="xl154">
    <w:name w:val="xl154"/>
    <w:basedOn w:val="Normln"/>
    <w:rsid w:val="0050396A"/>
    <w:pPr>
      <w:pBdr>
        <w:left w:val="single" w:sz="4" w:space="0" w:color="auto"/>
        <w:bottom w:val="single" w:sz="4" w:space="0" w:color="auto"/>
        <w:right w:val="single" w:sz="8" w:space="0" w:color="auto"/>
      </w:pBdr>
      <w:shd w:val="clear" w:color="000000" w:fill="CC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5">
    <w:name w:val="xl155"/>
    <w:basedOn w:val="Normln"/>
    <w:rsid w:val="0050396A"/>
    <w:pPr>
      <w:pBdr>
        <w:bottom w:val="single" w:sz="4" w:space="0" w:color="auto"/>
      </w:pBdr>
      <w:shd w:val="clear" w:color="000000" w:fill="CCCC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6">
    <w:name w:val="xl156"/>
    <w:basedOn w:val="Normln"/>
    <w:rsid w:val="0050396A"/>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7">
    <w:name w:val="xl157"/>
    <w:basedOn w:val="Normln"/>
    <w:rsid w:val="0050396A"/>
    <w:pPr>
      <w:pBdr>
        <w:left w:val="single" w:sz="4" w:space="0" w:color="auto"/>
        <w:bottom w:val="single" w:sz="4" w:space="0" w:color="auto"/>
        <w:right w:val="single" w:sz="8" w:space="0" w:color="auto"/>
      </w:pBdr>
      <w:shd w:val="clear" w:color="000000" w:fill="CCCC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58">
    <w:name w:val="xl158"/>
    <w:basedOn w:val="Normln"/>
    <w:rsid w:val="0050396A"/>
    <w:pPr>
      <w:pBdr>
        <w:bottom w:val="single" w:sz="4" w:space="0" w:color="auto"/>
      </w:pBdr>
      <w:shd w:val="clear" w:color="000000" w:fill="33CCCC"/>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59">
    <w:name w:val="xl159"/>
    <w:basedOn w:val="Normln"/>
    <w:rsid w:val="0050396A"/>
    <w:pPr>
      <w:pBdr>
        <w:left w:val="single" w:sz="4" w:space="0" w:color="auto"/>
        <w:bottom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0">
    <w:name w:val="xl160"/>
    <w:basedOn w:val="Normln"/>
    <w:rsid w:val="0050396A"/>
    <w:pPr>
      <w:pBdr>
        <w:left w:val="single" w:sz="4" w:space="0" w:color="auto"/>
        <w:bottom w:val="single" w:sz="4" w:space="0" w:color="auto"/>
        <w:right w:val="single" w:sz="8" w:space="0" w:color="auto"/>
      </w:pBdr>
      <w:shd w:val="clear" w:color="000000" w:fill="33CCCC"/>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1">
    <w:name w:val="xl161"/>
    <w:basedOn w:val="Normln"/>
    <w:rsid w:val="0050396A"/>
    <w:pPr>
      <w:pBdr>
        <w:bottom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2">
    <w:name w:val="xl162"/>
    <w:basedOn w:val="Normln"/>
    <w:rsid w:val="0050396A"/>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3">
    <w:name w:val="xl163"/>
    <w:basedOn w:val="Normln"/>
    <w:rsid w:val="0050396A"/>
    <w:pPr>
      <w:pBdr>
        <w:left w:val="single" w:sz="4" w:space="0" w:color="auto"/>
        <w:bottom w:val="single" w:sz="4" w:space="0" w:color="auto"/>
        <w:right w:val="single" w:sz="8"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4">
    <w:name w:val="xl164"/>
    <w:basedOn w:val="Normln"/>
    <w:rsid w:val="0050396A"/>
    <w:pPr>
      <w:pBdr>
        <w:top w:val="single" w:sz="4" w:space="0" w:color="auto"/>
        <w:bottom w:val="single" w:sz="8"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5">
    <w:name w:val="xl165"/>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66">
    <w:name w:val="xl166"/>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67">
    <w:name w:val="xl167"/>
    <w:basedOn w:val="Normln"/>
    <w:rsid w:val="0050396A"/>
    <w:pPr>
      <w:pBdr>
        <w:top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168">
    <w:name w:val="xl168"/>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69">
    <w:name w:val="xl169"/>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70">
    <w:name w:val="xl170"/>
    <w:basedOn w:val="Normln"/>
    <w:rsid w:val="0050396A"/>
    <w:pPr>
      <w:pBdr>
        <w:top w:val="single" w:sz="8" w:space="0" w:color="auto"/>
        <w:left w:val="single" w:sz="4" w:space="0" w:color="auto"/>
        <w:bottom w:val="single" w:sz="8"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1">
    <w:name w:val="xl171"/>
    <w:basedOn w:val="Normln"/>
    <w:rsid w:val="0050396A"/>
    <w:pPr>
      <w:pBdr>
        <w:top w:val="single" w:sz="8" w:space="0" w:color="auto"/>
        <w:left w:val="single" w:sz="4" w:space="0" w:color="auto"/>
        <w:bottom w:val="single" w:sz="8" w:space="0" w:color="auto"/>
        <w:right w:val="single" w:sz="8" w:space="0" w:color="auto"/>
      </w:pBdr>
      <w:shd w:val="clear" w:color="000000" w:fill="FF8080"/>
      <w:spacing w:before="100" w:beforeAutospacing="1" w:after="100" w:afterAutospacing="1"/>
      <w:jc w:val="center"/>
      <w:textAlignment w:val="center"/>
    </w:pPr>
    <w:rPr>
      <w:rFonts w:ascii="Times New Roman" w:eastAsia="Times New Roman" w:hAnsi="Times New Roman"/>
      <w:b/>
      <w:bCs/>
      <w:sz w:val="18"/>
      <w:szCs w:val="18"/>
      <w:lang w:eastAsia="cs-CZ"/>
    </w:rPr>
  </w:style>
  <w:style w:type="paragraph" w:customStyle="1" w:styleId="xl172">
    <w:name w:val="xl172"/>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3">
    <w:name w:val="xl173"/>
    <w:basedOn w:val="Normln"/>
    <w:rsid w:val="0050396A"/>
    <w:pPr>
      <w:pBdr>
        <w:top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4">
    <w:name w:val="xl174"/>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75">
    <w:name w:val="xl175"/>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6">
    <w:name w:val="xl176"/>
    <w:basedOn w:val="Normln"/>
    <w:rsid w:val="0050396A"/>
    <w:pPr>
      <w:pBdr>
        <w:top w:val="single" w:sz="4" w:space="0" w:color="auto"/>
        <w:left w:val="single" w:sz="4" w:space="0" w:color="auto"/>
        <w:bottom w:val="single" w:sz="4" w:space="0" w:color="auto"/>
        <w:right w:val="single" w:sz="8"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77">
    <w:name w:val="xl177"/>
    <w:basedOn w:val="Normln"/>
    <w:rsid w:val="0050396A"/>
    <w:pPr>
      <w:pBdr>
        <w:left w:val="single" w:sz="8"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8">
    <w:name w:val="xl178"/>
    <w:basedOn w:val="Normln"/>
    <w:rsid w:val="0050396A"/>
    <w:pPr>
      <w:pBdr>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179">
    <w:name w:val="xl179"/>
    <w:basedOn w:val="Normln"/>
    <w:rsid w:val="0050396A"/>
    <w:pPr>
      <w:pBdr>
        <w:bottom w:val="single" w:sz="4" w:space="0" w:color="auto"/>
      </w:pBdr>
      <w:shd w:val="clear" w:color="000000" w:fill="00FFFF"/>
      <w:spacing w:before="100" w:beforeAutospacing="1" w:after="100" w:afterAutospacing="1"/>
      <w:jc w:val="center"/>
    </w:pPr>
    <w:rPr>
      <w:rFonts w:ascii="Times New Roman" w:eastAsia="Times New Roman" w:hAnsi="Times New Roman"/>
      <w:szCs w:val="24"/>
      <w:lang w:eastAsia="cs-CZ"/>
    </w:rPr>
  </w:style>
  <w:style w:type="paragraph" w:customStyle="1" w:styleId="xl180">
    <w:name w:val="xl180"/>
    <w:basedOn w:val="Normln"/>
    <w:rsid w:val="0050396A"/>
    <w:pPr>
      <w:pBdr>
        <w:top w:val="single" w:sz="8" w:space="0" w:color="auto"/>
        <w:left w:val="single" w:sz="4"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1">
    <w:name w:val="xl181"/>
    <w:basedOn w:val="Normln"/>
    <w:rsid w:val="0050396A"/>
    <w:pPr>
      <w:pBdr>
        <w:top w:val="single" w:sz="8"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2">
    <w:name w:val="xl182"/>
    <w:basedOn w:val="Normln"/>
    <w:rsid w:val="0050396A"/>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3">
    <w:name w:val="xl183"/>
    <w:basedOn w:val="Normln"/>
    <w:rsid w:val="0050396A"/>
    <w:pPr>
      <w:pBdr>
        <w:top w:val="single" w:sz="4" w:space="0" w:color="auto"/>
        <w:bottom w:val="single" w:sz="4"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4">
    <w:name w:val="xl184"/>
    <w:basedOn w:val="Normln"/>
    <w:rsid w:val="0050396A"/>
    <w:pPr>
      <w:pBdr>
        <w:top w:val="single" w:sz="4" w:space="0" w:color="auto"/>
        <w:left w:val="single" w:sz="4" w:space="0" w:color="auto"/>
        <w:bottom w:val="double" w:sz="6" w:space="0" w:color="auto"/>
      </w:pBdr>
      <w:shd w:val="clear" w:color="000000" w:fill="FFFF0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5">
    <w:name w:val="xl185"/>
    <w:basedOn w:val="Normln"/>
    <w:rsid w:val="0050396A"/>
    <w:pPr>
      <w:pBdr>
        <w:top w:val="single" w:sz="4" w:space="0" w:color="auto"/>
        <w:bottom w:val="double" w:sz="6" w:space="0" w:color="auto"/>
        <w:right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186">
    <w:name w:val="xl186"/>
    <w:basedOn w:val="Normln"/>
    <w:rsid w:val="0050396A"/>
    <w:pPr>
      <w:pBdr>
        <w:top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7">
    <w:name w:val="xl187"/>
    <w:basedOn w:val="Normln"/>
    <w:rsid w:val="0050396A"/>
    <w:pPr>
      <w:pBdr>
        <w:top w:val="single" w:sz="8" w:space="0" w:color="auto"/>
        <w:bottom w:val="single" w:sz="8" w:space="0" w:color="auto"/>
        <w:right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188">
    <w:name w:val="xl188"/>
    <w:basedOn w:val="Normln"/>
    <w:rsid w:val="0050396A"/>
    <w:pPr>
      <w:pBdr>
        <w:top w:val="single" w:sz="4" w:space="0" w:color="auto"/>
        <w:bottom w:val="single" w:sz="4"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89">
    <w:name w:val="xl189"/>
    <w:basedOn w:val="Normln"/>
    <w:rsid w:val="0050396A"/>
    <w:pPr>
      <w:pBdr>
        <w:bottom w:val="single" w:sz="4" w:space="0" w:color="auto"/>
        <w:right w:val="single" w:sz="8" w:space="0" w:color="auto"/>
      </w:pBdr>
      <w:shd w:val="clear" w:color="000000" w:fill="FFFFCC"/>
      <w:spacing w:before="100" w:beforeAutospacing="1" w:after="100" w:afterAutospacing="1"/>
    </w:pPr>
    <w:rPr>
      <w:rFonts w:ascii="Times New Roman" w:eastAsia="Times New Roman" w:hAnsi="Times New Roman"/>
      <w:szCs w:val="24"/>
      <w:lang w:eastAsia="cs-CZ"/>
    </w:rPr>
  </w:style>
  <w:style w:type="paragraph" w:customStyle="1" w:styleId="xl190">
    <w:name w:val="xl190"/>
    <w:basedOn w:val="Normln"/>
    <w:rsid w:val="0050396A"/>
    <w:pPr>
      <w:pBdr>
        <w:left w:val="single" w:sz="8" w:space="0" w:color="auto"/>
        <w:right w:val="single" w:sz="4" w:space="0" w:color="auto"/>
      </w:pBdr>
      <w:shd w:val="clear" w:color="000000" w:fill="00FFFF"/>
      <w:spacing w:before="100" w:beforeAutospacing="1" w:after="100" w:afterAutospacing="1"/>
      <w:jc w:val="center"/>
    </w:pPr>
    <w:rPr>
      <w:rFonts w:ascii="Times New Roman" w:eastAsia="Times New Roman" w:hAnsi="Times New Roman"/>
      <w:i/>
      <w:iCs/>
      <w:sz w:val="18"/>
      <w:szCs w:val="18"/>
      <w:lang w:eastAsia="cs-CZ"/>
    </w:rPr>
  </w:style>
  <w:style w:type="paragraph" w:customStyle="1" w:styleId="xl191">
    <w:name w:val="xl191"/>
    <w:basedOn w:val="Normln"/>
    <w:rsid w:val="0050396A"/>
    <w:pPr>
      <w:pBdr>
        <w:left w:val="single" w:sz="8" w:space="0" w:color="auto"/>
        <w:bottom w:val="single" w:sz="8" w:space="0" w:color="auto"/>
        <w:right w:val="single" w:sz="4" w:space="0" w:color="auto"/>
      </w:pBdr>
      <w:shd w:val="clear" w:color="000000" w:fill="00FFFF"/>
      <w:spacing w:before="100" w:beforeAutospacing="1" w:after="100" w:afterAutospacing="1"/>
    </w:pPr>
    <w:rPr>
      <w:rFonts w:ascii="Times New Roman" w:eastAsia="Times New Roman" w:hAnsi="Times New Roman"/>
      <w:i/>
      <w:iCs/>
      <w:sz w:val="18"/>
      <w:szCs w:val="18"/>
      <w:lang w:eastAsia="cs-CZ"/>
    </w:rPr>
  </w:style>
  <w:style w:type="paragraph" w:customStyle="1" w:styleId="xl192">
    <w:name w:val="xl19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3">
    <w:name w:val="xl193"/>
    <w:basedOn w:val="Normln"/>
    <w:rsid w:val="0050396A"/>
    <w:pPr>
      <w:pBdr>
        <w:top w:val="single" w:sz="8" w:space="0" w:color="auto"/>
        <w:bottom w:val="single" w:sz="8"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4">
    <w:name w:val="xl194"/>
    <w:basedOn w:val="Normln"/>
    <w:rsid w:val="0050396A"/>
    <w:pPr>
      <w:pBdr>
        <w:top w:val="single" w:sz="8" w:space="0" w:color="auto"/>
        <w:bottom w:val="single" w:sz="8" w:space="0" w:color="auto"/>
      </w:pBdr>
      <w:shd w:val="clear" w:color="000000" w:fill="00FFFF"/>
      <w:spacing w:before="100" w:beforeAutospacing="1" w:after="100" w:afterAutospacing="1"/>
      <w:jc w:val="center"/>
      <w:textAlignment w:val="top"/>
    </w:pPr>
    <w:rPr>
      <w:rFonts w:ascii="Times New Roman" w:eastAsia="Times New Roman" w:hAnsi="Times New Roman"/>
      <w:sz w:val="18"/>
      <w:szCs w:val="18"/>
      <w:lang w:eastAsia="cs-CZ"/>
    </w:rPr>
  </w:style>
  <w:style w:type="paragraph" w:customStyle="1" w:styleId="xl195">
    <w:name w:val="xl195"/>
    <w:basedOn w:val="Normln"/>
    <w:rsid w:val="0050396A"/>
    <w:pPr>
      <w:pBdr>
        <w:top w:val="single" w:sz="8" w:space="0" w:color="auto"/>
        <w:left w:val="single" w:sz="4" w:space="0" w:color="auto"/>
        <w:bottom w:val="single" w:sz="8"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196">
    <w:name w:val="xl196"/>
    <w:basedOn w:val="Normln"/>
    <w:rsid w:val="0050396A"/>
    <w:pPr>
      <w:pBdr>
        <w:top w:val="single" w:sz="8" w:space="0" w:color="auto"/>
        <w:left w:val="single" w:sz="8" w:space="0" w:color="auto"/>
        <w:bottom w:val="single" w:sz="4" w:space="0" w:color="auto"/>
      </w:pBdr>
      <w:shd w:val="clear" w:color="000000" w:fill="00FFFF"/>
      <w:spacing w:before="100" w:beforeAutospacing="1" w:after="100" w:afterAutospacing="1"/>
      <w:jc w:val="center"/>
      <w:textAlignment w:val="top"/>
    </w:pPr>
    <w:rPr>
      <w:rFonts w:ascii="Times New Roman" w:eastAsia="Times New Roman" w:hAnsi="Times New Roman"/>
      <w:b/>
      <w:bCs/>
      <w:sz w:val="18"/>
      <w:szCs w:val="18"/>
      <w:lang w:eastAsia="cs-CZ"/>
    </w:rPr>
  </w:style>
  <w:style w:type="paragraph" w:customStyle="1" w:styleId="xl197">
    <w:name w:val="xl197"/>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b/>
      <w:bCs/>
      <w:sz w:val="18"/>
      <w:szCs w:val="18"/>
      <w:lang w:eastAsia="cs-CZ"/>
    </w:rPr>
  </w:style>
  <w:style w:type="paragraph" w:customStyle="1" w:styleId="xl198">
    <w:name w:val="xl198"/>
    <w:basedOn w:val="Normln"/>
    <w:rsid w:val="0050396A"/>
    <w:pPr>
      <w:pBdr>
        <w:top w:val="single" w:sz="8" w:space="0" w:color="auto"/>
        <w:bottom w:val="single" w:sz="4" w:space="0" w:color="auto"/>
      </w:pBdr>
      <w:shd w:val="clear" w:color="000000" w:fill="00FFFF"/>
      <w:spacing w:before="100" w:beforeAutospacing="1" w:after="100" w:afterAutospacing="1"/>
      <w:textAlignment w:val="top"/>
    </w:pPr>
    <w:rPr>
      <w:rFonts w:ascii="Times New Roman" w:eastAsia="Times New Roman" w:hAnsi="Times New Roman"/>
      <w:sz w:val="18"/>
      <w:szCs w:val="18"/>
      <w:lang w:eastAsia="cs-CZ"/>
    </w:rPr>
  </w:style>
  <w:style w:type="paragraph" w:customStyle="1" w:styleId="xl199">
    <w:name w:val="xl199"/>
    <w:basedOn w:val="Normln"/>
    <w:rsid w:val="0050396A"/>
    <w:pPr>
      <w:pBdr>
        <w:top w:val="single" w:sz="8" w:space="0" w:color="auto"/>
        <w:bottom w:val="single" w:sz="4"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0">
    <w:name w:val="xl200"/>
    <w:basedOn w:val="Normln"/>
    <w:rsid w:val="0050396A"/>
    <w:pPr>
      <w:pBdr>
        <w:top w:val="single" w:sz="8" w:space="0" w:color="auto"/>
        <w:bottom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1">
    <w:name w:val="xl201"/>
    <w:basedOn w:val="Normln"/>
    <w:rsid w:val="0050396A"/>
    <w:pPr>
      <w:pBdr>
        <w:top w:val="single" w:sz="8" w:space="0" w:color="auto"/>
        <w:bottom w:val="single" w:sz="4"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2">
    <w:name w:val="xl202"/>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3">
    <w:name w:val="xl203"/>
    <w:basedOn w:val="Normln"/>
    <w:rsid w:val="0050396A"/>
    <w:pPr>
      <w:pBdr>
        <w:top w:val="single" w:sz="8" w:space="0" w:color="auto"/>
        <w:bottom w:val="single" w:sz="8" w:space="0" w:color="auto"/>
      </w:pBdr>
      <w:shd w:val="clear" w:color="000000" w:fill="00FFFF"/>
      <w:spacing w:before="100" w:beforeAutospacing="1" w:after="100" w:afterAutospacing="1"/>
      <w:jc w:val="right"/>
      <w:textAlignment w:val="center"/>
    </w:pPr>
    <w:rPr>
      <w:rFonts w:ascii="Times New Roman" w:eastAsia="Times New Roman" w:hAnsi="Times New Roman"/>
      <w:sz w:val="18"/>
      <w:szCs w:val="18"/>
      <w:lang w:eastAsia="cs-CZ"/>
    </w:rPr>
  </w:style>
  <w:style w:type="paragraph" w:customStyle="1" w:styleId="xl204">
    <w:name w:val="xl204"/>
    <w:basedOn w:val="Normln"/>
    <w:rsid w:val="0050396A"/>
    <w:pPr>
      <w:pBdr>
        <w:top w:val="single" w:sz="8" w:space="0" w:color="auto"/>
        <w:left w:val="single" w:sz="8" w:space="0" w:color="auto"/>
        <w:bottom w:val="double" w:sz="6"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5">
    <w:name w:val="xl205"/>
    <w:basedOn w:val="Normln"/>
    <w:rsid w:val="0050396A"/>
    <w:pPr>
      <w:pBdr>
        <w:top w:val="single" w:sz="8" w:space="0" w:color="auto"/>
        <w:bottom w:val="double" w:sz="6"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06">
    <w:name w:val="xl206"/>
    <w:basedOn w:val="Normln"/>
    <w:rsid w:val="0050396A"/>
    <w:pPr>
      <w:pBdr>
        <w:top w:val="single" w:sz="8" w:space="0" w:color="auto"/>
        <w:left w:val="single" w:sz="4" w:space="0" w:color="auto"/>
        <w:bottom w:val="double" w:sz="6" w:space="0" w:color="auto"/>
        <w:right w:val="single" w:sz="4"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7">
    <w:name w:val="xl207"/>
    <w:basedOn w:val="Normln"/>
    <w:rsid w:val="0050396A"/>
    <w:pPr>
      <w:pBdr>
        <w:top w:val="single" w:sz="8" w:space="0" w:color="auto"/>
        <w:left w:val="single" w:sz="4" w:space="0" w:color="auto"/>
        <w:bottom w:val="double" w:sz="6" w:space="0" w:color="auto"/>
        <w:right w:val="single" w:sz="8" w:space="0" w:color="auto"/>
      </w:pBdr>
      <w:shd w:val="clear" w:color="000000" w:fill="00FFFF"/>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08">
    <w:name w:val="xl208"/>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09">
    <w:name w:val="xl209"/>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textAlignment w:val="center"/>
    </w:pPr>
    <w:rPr>
      <w:rFonts w:ascii="Times New Roman" w:eastAsia="Times New Roman" w:hAnsi="Times New Roman"/>
      <w:b/>
      <w:bCs/>
      <w:sz w:val="18"/>
      <w:szCs w:val="18"/>
      <w:lang w:eastAsia="cs-CZ"/>
    </w:rPr>
  </w:style>
  <w:style w:type="paragraph" w:customStyle="1" w:styleId="xl210">
    <w:name w:val="xl210"/>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textAlignment w:val="center"/>
    </w:pPr>
    <w:rPr>
      <w:rFonts w:ascii="Times New Roman" w:eastAsia="Times New Roman" w:hAnsi="Times New Roman"/>
      <w:sz w:val="18"/>
      <w:szCs w:val="18"/>
      <w:lang w:eastAsia="cs-CZ"/>
    </w:rPr>
  </w:style>
  <w:style w:type="paragraph" w:customStyle="1" w:styleId="xl211">
    <w:name w:val="xl211"/>
    <w:basedOn w:val="Normln"/>
    <w:rsid w:val="0050396A"/>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imes New Roman" w:eastAsia="Times New Roman" w:hAnsi="Times New Roman"/>
      <w:sz w:val="18"/>
      <w:szCs w:val="18"/>
      <w:lang w:eastAsia="cs-CZ"/>
    </w:rPr>
  </w:style>
  <w:style w:type="paragraph" w:customStyle="1" w:styleId="xl212">
    <w:name w:val="xl212"/>
    <w:basedOn w:val="Normln"/>
    <w:rsid w:val="0050396A"/>
    <w:pPr>
      <w:pBdr>
        <w:top w:val="single" w:sz="4" w:space="0" w:color="auto"/>
        <w:bottom w:val="single" w:sz="4"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3">
    <w:name w:val="xl213"/>
    <w:basedOn w:val="Normln"/>
    <w:rsid w:val="0050396A"/>
    <w:pPr>
      <w:pBdr>
        <w:top w:val="single" w:sz="4" w:space="0" w:color="auto"/>
        <w:bottom w:val="single" w:sz="4" w:space="0" w:color="auto"/>
        <w:right w:val="single" w:sz="8" w:space="0" w:color="auto"/>
      </w:pBdr>
      <w:shd w:val="clear" w:color="000000" w:fill="00FFFF"/>
      <w:spacing w:before="100" w:beforeAutospacing="1" w:after="100" w:afterAutospacing="1"/>
    </w:pPr>
    <w:rPr>
      <w:rFonts w:ascii="Times New Roman" w:eastAsia="Times New Roman" w:hAnsi="Times New Roman"/>
      <w:szCs w:val="24"/>
      <w:lang w:eastAsia="cs-CZ"/>
    </w:rPr>
  </w:style>
  <w:style w:type="paragraph" w:customStyle="1" w:styleId="xl214">
    <w:name w:val="xl214"/>
    <w:basedOn w:val="Normln"/>
    <w:rsid w:val="0050396A"/>
    <w:pPr>
      <w:pBdr>
        <w:top w:val="single" w:sz="8" w:space="0" w:color="auto"/>
        <w:left w:val="single" w:sz="8" w:space="0" w:color="auto"/>
        <w:bottom w:val="single" w:sz="8" w:space="0" w:color="auto"/>
      </w:pBdr>
      <w:shd w:val="clear" w:color="000000" w:fill="00FFFF"/>
      <w:spacing w:before="100" w:beforeAutospacing="1" w:after="100" w:afterAutospacing="1"/>
    </w:pPr>
    <w:rPr>
      <w:rFonts w:ascii="Times New Roman" w:eastAsia="Times New Roman" w:hAnsi="Times New Roman"/>
      <w:b/>
      <w:bCs/>
      <w:szCs w:val="24"/>
      <w:lang w:eastAsia="cs-CZ"/>
    </w:rPr>
  </w:style>
  <w:style w:type="paragraph" w:customStyle="1" w:styleId="xl215">
    <w:name w:val="xl215"/>
    <w:basedOn w:val="Normln"/>
    <w:rsid w:val="0050396A"/>
    <w:pPr>
      <w:pBdr>
        <w:top w:val="single" w:sz="4" w:space="0" w:color="auto"/>
        <w:bottom w:val="single" w:sz="4" w:space="0" w:color="auto"/>
      </w:pBdr>
      <w:shd w:val="clear" w:color="000000" w:fill="99CCFF"/>
      <w:spacing w:before="100" w:beforeAutospacing="1" w:after="100" w:afterAutospacing="1"/>
      <w:jc w:val="right"/>
    </w:pPr>
    <w:rPr>
      <w:rFonts w:ascii="Times New Roman" w:eastAsia="Times New Roman" w:hAnsi="Times New Roman"/>
      <w:szCs w:val="24"/>
      <w:lang w:eastAsia="cs-CZ"/>
    </w:rPr>
  </w:style>
  <w:style w:type="paragraph" w:customStyle="1" w:styleId="xl216">
    <w:name w:val="xl216"/>
    <w:basedOn w:val="Normln"/>
    <w:rsid w:val="0050396A"/>
    <w:pPr>
      <w:pBdr>
        <w:top w:val="single" w:sz="4" w:space="0" w:color="auto"/>
        <w:bottom w:val="single" w:sz="4" w:space="0" w:color="auto"/>
      </w:pBdr>
      <w:shd w:val="clear" w:color="000000" w:fill="99CCFF"/>
      <w:spacing w:before="100" w:beforeAutospacing="1" w:after="100" w:afterAutospacing="1"/>
      <w:jc w:val="center"/>
    </w:pPr>
    <w:rPr>
      <w:rFonts w:ascii="Times New Roman" w:eastAsia="Times New Roman" w:hAnsi="Times New Roman"/>
      <w:szCs w:val="24"/>
      <w:lang w:eastAsia="cs-CZ"/>
    </w:rPr>
  </w:style>
  <w:style w:type="paragraph" w:customStyle="1" w:styleId="HBText">
    <w:name w:val="HB Text"/>
    <w:uiPriority w:val="99"/>
    <w:rsid w:val="0050396A"/>
    <w:pPr>
      <w:widowControl w:val="0"/>
      <w:autoSpaceDE w:val="0"/>
      <w:autoSpaceDN w:val="0"/>
      <w:adjustRightInd w:val="0"/>
      <w:spacing w:before="30" w:after="30"/>
    </w:pPr>
    <w:rPr>
      <w:rFonts w:ascii="Arial" w:eastAsia="Times New Roman" w:hAnsi="Arial" w:cs="Arial"/>
      <w:color w:val="000000"/>
      <w:sz w:val="18"/>
      <w:szCs w:val="18"/>
      <w:lang w:eastAsia="cs-CZ"/>
    </w:rPr>
  </w:style>
  <w:style w:type="character" w:customStyle="1" w:styleId="RozvrendokumentuChar">
    <w:name w:val="Rozvržení dokumentu Char"/>
    <w:rsid w:val="0050396A"/>
    <w:rPr>
      <w:rFonts w:ascii="Tahoma" w:hAnsi="Tahoma" w:cs="Tahoma"/>
      <w:shd w:val="clear" w:color="auto" w:fill="000080"/>
      <w:lang w:val="cs-CZ" w:eastAsia="cs-CZ" w:bidi="ar-SA"/>
    </w:rPr>
  </w:style>
  <w:style w:type="paragraph" w:customStyle="1" w:styleId="odrky">
    <w:name w:val="odrážky"/>
    <w:basedOn w:val="Normln"/>
    <w:rsid w:val="0050396A"/>
    <w:pPr>
      <w:numPr>
        <w:numId w:val="29"/>
      </w:numPr>
      <w:spacing w:after="0" w:line="360" w:lineRule="auto"/>
    </w:pPr>
    <w:rPr>
      <w:rFonts w:ascii="Times New Roman" w:eastAsia="Times New Roman" w:hAnsi="Times New Roman"/>
      <w:szCs w:val="24"/>
      <w:lang w:eastAsia="cs-CZ"/>
    </w:rPr>
  </w:style>
  <w:style w:type="paragraph" w:customStyle="1" w:styleId="StylZkladntextTun">
    <w:name w:val="Styl Základní text + Tučné"/>
    <w:basedOn w:val="Zkladntext"/>
    <w:link w:val="StylZkladntextTunChar"/>
    <w:autoRedefine/>
    <w:rsid w:val="0050396A"/>
    <w:pPr>
      <w:overflowPunct w:val="0"/>
      <w:autoSpaceDE w:val="0"/>
      <w:autoSpaceDN w:val="0"/>
      <w:adjustRightInd w:val="0"/>
      <w:spacing w:after="0"/>
      <w:textAlignment w:val="baseline"/>
    </w:pPr>
    <w:rPr>
      <w:rFonts w:ascii="Times New Roman" w:eastAsia="Times New Roman" w:hAnsi="Times New Roman"/>
      <w:b/>
      <w:bCs/>
      <w:color w:val="000000"/>
      <w:sz w:val="20"/>
      <w:szCs w:val="20"/>
    </w:rPr>
  </w:style>
  <w:style w:type="character" w:customStyle="1" w:styleId="StylZkladntextTunChar">
    <w:name w:val="Styl Základní text + Tučné Char"/>
    <w:link w:val="StylZkladntextTun"/>
    <w:rsid w:val="0050396A"/>
    <w:rPr>
      <w:rFonts w:ascii="Times New Roman" w:eastAsia="Times New Roman" w:hAnsi="Times New Roman"/>
      <w:b/>
      <w:bCs/>
      <w:color w:val="000000"/>
    </w:rPr>
  </w:style>
  <w:style w:type="character" w:customStyle="1" w:styleId="locality">
    <w:name w:val="locality"/>
    <w:rsid w:val="0050396A"/>
  </w:style>
  <w:style w:type="paragraph" w:styleId="Seznamsodrkami3">
    <w:name w:val="List Bullet 3"/>
    <w:aliases w:val="Seznam s odrážkami A 3"/>
    <w:basedOn w:val="Normln"/>
    <w:uiPriority w:val="10"/>
    <w:unhideWhenUsed/>
    <w:qFormat/>
    <w:rsid w:val="0050396A"/>
    <w:pPr>
      <w:numPr>
        <w:numId w:val="30"/>
      </w:numPr>
      <w:overflowPunct w:val="0"/>
      <w:autoSpaceDE w:val="0"/>
      <w:autoSpaceDN w:val="0"/>
      <w:adjustRightInd w:val="0"/>
      <w:spacing w:after="0"/>
      <w:contextualSpacing/>
      <w:textAlignment w:val="baseline"/>
    </w:pPr>
    <w:rPr>
      <w:rFonts w:ascii="Times New Roman" w:eastAsia="Times New Roman" w:hAnsi="Times New Roman"/>
      <w:szCs w:val="20"/>
      <w:lang w:eastAsia="cs-CZ"/>
    </w:rPr>
  </w:style>
  <w:style w:type="paragraph" w:customStyle="1" w:styleId="row">
    <w:name w:val="row"/>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description">
    <w:name w:val="description"/>
    <w:basedOn w:val="Normln"/>
    <w:rsid w:val="0050396A"/>
    <w:pPr>
      <w:spacing w:before="100" w:beforeAutospacing="1" w:after="100" w:afterAutospacing="1"/>
    </w:pPr>
    <w:rPr>
      <w:rFonts w:ascii="Times New Roman" w:eastAsia="Times New Roman" w:hAnsi="Times New Roman"/>
      <w:szCs w:val="24"/>
      <w:lang w:eastAsia="cs-CZ"/>
    </w:rPr>
  </w:style>
  <w:style w:type="paragraph" w:customStyle="1" w:styleId="BodyText32">
    <w:name w:val="Body Text 32"/>
    <w:basedOn w:val="Normln"/>
    <w:rsid w:val="0050396A"/>
    <w:pPr>
      <w:overflowPunct w:val="0"/>
      <w:autoSpaceDE w:val="0"/>
      <w:autoSpaceDN w:val="0"/>
      <w:adjustRightInd w:val="0"/>
      <w:textAlignment w:val="baseline"/>
    </w:pPr>
    <w:rPr>
      <w:rFonts w:ascii="Times New Roman" w:eastAsia="Times New Roman" w:hAnsi="Times New Roman"/>
      <w:szCs w:val="20"/>
      <w:lang w:eastAsia="cs-CZ"/>
    </w:rPr>
  </w:style>
  <w:style w:type="numbering" w:customStyle="1" w:styleId="seznamliteratury">
    <w:name w:val="seznam literatury"/>
    <w:basedOn w:val="Bezseznamu"/>
    <w:rsid w:val="0050396A"/>
    <w:pPr>
      <w:numPr>
        <w:numId w:val="31"/>
      </w:numPr>
    </w:pPr>
  </w:style>
  <w:style w:type="paragraph" w:customStyle="1" w:styleId="Literatura">
    <w:name w:val="Literatura"/>
    <w:basedOn w:val="Normln"/>
    <w:rsid w:val="0050396A"/>
    <w:pPr>
      <w:numPr>
        <w:numId w:val="32"/>
      </w:numPr>
      <w:spacing w:after="0"/>
      <w:ind w:right="198"/>
      <w:contextualSpacing/>
      <w:jc w:val="left"/>
    </w:pPr>
    <w:rPr>
      <w:rFonts w:ascii="Times New Roman" w:eastAsia="Times New Roman" w:hAnsi="Times New Roman" w:cs="Arial"/>
      <w:spacing w:val="-4"/>
      <w:lang w:eastAsia="cs-CZ"/>
    </w:rPr>
  </w:style>
  <w:style w:type="paragraph" w:customStyle="1" w:styleId="zdroj0">
    <w:name w:val="zdroj"/>
    <w:basedOn w:val="Normln"/>
    <w:link w:val="zdrojChar0"/>
    <w:rsid w:val="0050396A"/>
    <w:pPr>
      <w:contextualSpacing/>
    </w:pPr>
    <w:rPr>
      <w:rFonts w:ascii="Times New Roman" w:eastAsia="Times New Roman" w:hAnsi="Times New Roman"/>
      <w:i/>
      <w:szCs w:val="24"/>
      <w:lang w:eastAsia="cs-CZ"/>
    </w:rPr>
  </w:style>
  <w:style w:type="character" w:customStyle="1" w:styleId="zdrojChar0">
    <w:name w:val="zdroj Char"/>
    <w:link w:val="zdroj0"/>
    <w:rsid w:val="0050396A"/>
    <w:rPr>
      <w:rFonts w:ascii="Times New Roman" w:eastAsia="Times New Roman" w:hAnsi="Times New Roman"/>
      <w:i/>
      <w:sz w:val="24"/>
      <w:szCs w:val="24"/>
      <w:lang w:eastAsia="cs-CZ"/>
    </w:rPr>
  </w:style>
  <w:style w:type="paragraph" w:customStyle="1" w:styleId="H5">
    <w:name w:val="H5"/>
    <w:basedOn w:val="Normln"/>
    <w:next w:val="Normln"/>
    <w:rsid w:val="0050396A"/>
    <w:pPr>
      <w:keepNext/>
      <w:spacing w:before="100" w:after="100"/>
      <w:jc w:val="left"/>
      <w:outlineLvl w:val="5"/>
    </w:pPr>
    <w:rPr>
      <w:rFonts w:ascii="Arial" w:eastAsia="Times New Roman" w:hAnsi="Arial"/>
      <w:b/>
      <w:szCs w:val="20"/>
      <w:lang w:eastAsia="cs-CZ"/>
    </w:rPr>
  </w:style>
  <w:style w:type="paragraph" w:styleId="Textvbloku">
    <w:name w:val="Block Text"/>
    <w:basedOn w:val="Normln"/>
    <w:uiPriority w:val="29"/>
    <w:rsid w:val="0050396A"/>
    <w:pPr>
      <w:spacing w:after="0"/>
      <w:ind w:left="540" w:right="332"/>
    </w:pPr>
    <w:rPr>
      <w:rFonts w:ascii="Times New Roman" w:eastAsia="Times New Roman" w:hAnsi="Times New Roman"/>
      <w:szCs w:val="24"/>
      <w:lang w:eastAsia="cs-CZ"/>
    </w:rPr>
  </w:style>
  <w:style w:type="paragraph" w:customStyle="1" w:styleId="Zdroj-tabulky">
    <w:name w:val="Zdroj - tabulky"/>
    <w:aliases w:val="grafy atd."/>
    <w:basedOn w:val="Normln"/>
    <w:rsid w:val="0050396A"/>
    <w:pPr>
      <w:spacing w:line="360" w:lineRule="auto"/>
    </w:pPr>
    <w:rPr>
      <w:rFonts w:ascii="Segoe UI" w:hAnsi="Segoe UI" w:cs="Segoe UI"/>
      <w:sz w:val="18"/>
    </w:rPr>
  </w:style>
  <w:style w:type="table" w:styleId="Svtlstnovnzvraznn4">
    <w:name w:val="Light Shading Accent 4"/>
    <w:basedOn w:val="Normlntabulka"/>
    <w:uiPriority w:val="60"/>
    <w:rsid w:val="0050396A"/>
    <w:rPr>
      <w:rFonts w:asciiTheme="minorHAnsi" w:eastAsiaTheme="minorHAnsi" w:hAnsiTheme="minorHAnsi" w:cstheme="minorBidi"/>
      <w:color w:val="5F0000" w:themeColor="accent4" w:themeShade="BF"/>
      <w:sz w:val="22"/>
      <w:szCs w:val="22"/>
    </w:rPr>
    <w:tblPr>
      <w:tblStyleRowBandSize w:val="1"/>
      <w:tblStyleColBandSize w:val="1"/>
      <w:tblBorders>
        <w:top w:val="single" w:sz="8" w:space="0" w:color="800000" w:themeColor="accent4"/>
        <w:bottom w:val="single" w:sz="8" w:space="0" w:color="800000" w:themeColor="accent4"/>
      </w:tblBorders>
    </w:tblPr>
    <w:tblStylePr w:type="fir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lastRow">
      <w:pPr>
        <w:spacing w:before="0" w:after="0" w:line="240" w:lineRule="auto"/>
      </w:pPr>
      <w:rPr>
        <w:b/>
        <w:bCs/>
      </w:rPr>
      <w:tblPr/>
      <w:tcPr>
        <w:tcBorders>
          <w:top w:val="single" w:sz="8" w:space="0" w:color="800000" w:themeColor="accent4"/>
          <w:left w:val="nil"/>
          <w:bottom w:val="single" w:sz="8" w:space="0" w:color="8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A0" w:themeFill="accent4" w:themeFillTint="3F"/>
      </w:tcPr>
    </w:tblStylePr>
    <w:tblStylePr w:type="band1Horz">
      <w:tblPr/>
      <w:tcPr>
        <w:tcBorders>
          <w:left w:val="nil"/>
          <w:right w:val="nil"/>
          <w:insideH w:val="nil"/>
          <w:insideV w:val="nil"/>
        </w:tcBorders>
        <w:shd w:val="clear" w:color="auto" w:fill="FFA0A0" w:themeFill="accent4" w:themeFillTint="3F"/>
      </w:tcPr>
    </w:tblStylePr>
  </w:style>
  <w:style w:type="table" w:styleId="Stednseznam1zvraznn6">
    <w:name w:val="Medium List 1 Accent 6"/>
    <w:basedOn w:val="Normlntabulka"/>
    <w:uiPriority w:val="65"/>
    <w:rsid w:val="0050396A"/>
    <w:rPr>
      <w:rFonts w:asciiTheme="minorHAnsi" w:eastAsiaTheme="minorHAnsi" w:hAnsiTheme="minorHAnsi" w:cstheme="minorBidi"/>
      <w:color w:val="000000" w:themeColor="text1"/>
      <w:sz w:val="22"/>
      <w:szCs w:val="22"/>
    </w:rPr>
    <w:tblPr>
      <w:tblStyleRowBandSize w:val="1"/>
      <w:tblStyleColBandSize w:val="1"/>
      <w:tblBorders>
        <w:top w:val="single" w:sz="8" w:space="0" w:color="CC7B38" w:themeColor="accent6"/>
        <w:bottom w:val="single" w:sz="8" w:space="0" w:color="CC7B38" w:themeColor="accent6"/>
      </w:tblBorders>
    </w:tblPr>
    <w:tblStylePr w:type="firstRow">
      <w:rPr>
        <w:rFonts w:asciiTheme="majorHAnsi" w:eastAsiaTheme="majorEastAsia" w:hAnsiTheme="majorHAnsi" w:cstheme="majorBidi"/>
      </w:rPr>
      <w:tblPr/>
      <w:tcPr>
        <w:tcBorders>
          <w:top w:val="nil"/>
          <w:bottom w:val="single" w:sz="8" w:space="0" w:color="CC7B38" w:themeColor="accent6"/>
        </w:tcBorders>
      </w:tcPr>
    </w:tblStylePr>
    <w:tblStylePr w:type="lastRow">
      <w:rPr>
        <w:b/>
        <w:bCs/>
        <w:color w:val="B6B002" w:themeColor="text2"/>
      </w:rPr>
      <w:tblPr/>
      <w:tcPr>
        <w:tcBorders>
          <w:top w:val="single" w:sz="8" w:space="0" w:color="CC7B38" w:themeColor="accent6"/>
          <w:bottom w:val="single" w:sz="8" w:space="0" w:color="CC7B38" w:themeColor="accent6"/>
        </w:tcBorders>
      </w:tcPr>
    </w:tblStylePr>
    <w:tblStylePr w:type="firstCol">
      <w:rPr>
        <w:b/>
        <w:bCs/>
      </w:rPr>
    </w:tblStylePr>
    <w:tblStylePr w:type="lastCol">
      <w:rPr>
        <w:b/>
        <w:bCs/>
      </w:rPr>
      <w:tblPr/>
      <w:tcPr>
        <w:tcBorders>
          <w:top w:val="single" w:sz="8" w:space="0" w:color="CC7B38" w:themeColor="accent6"/>
          <w:bottom w:val="single" w:sz="8" w:space="0" w:color="CC7B38" w:themeColor="accent6"/>
        </w:tcBorders>
      </w:tcPr>
    </w:tblStylePr>
    <w:tblStylePr w:type="band1Vert">
      <w:tblPr/>
      <w:tcPr>
        <w:shd w:val="clear" w:color="auto" w:fill="F2DECD" w:themeFill="accent6" w:themeFillTint="3F"/>
      </w:tcPr>
    </w:tblStylePr>
    <w:tblStylePr w:type="band1Horz">
      <w:tblPr/>
      <w:tcPr>
        <w:shd w:val="clear" w:color="auto" w:fill="F2DECD" w:themeFill="accent6" w:themeFillTint="3F"/>
      </w:tcPr>
    </w:tblStylePr>
  </w:style>
  <w:style w:type="table" w:styleId="Svtlstnovnzvraznn6">
    <w:name w:val="Light Shading Accent 6"/>
    <w:basedOn w:val="Normlntabulka"/>
    <w:uiPriority w:val="60"/>
    <w:rsid w:val="0050396A"/>
    <w:rPr>
      <w:rFonts w:asciiTheme="minorHAnsi" w:eastAsiaTheme="minorHAnsi" w:hAnsiTheme="minorHAnsi" w:cstheme="minorBidi"/>
      <w:color w:val="9A5B27" w:themeColor="accent6" w:themeShade="BF"/>
      <w:sz w:val="22"/>
      <w:szCs w:val="22"/>
    </w:rPr>
    <w:tblPr>
      <w:tblStyleRowBandSize w:val="1"/>
      <w:tblStyleColBandSize w:val="1"/>
      <w:tblBorders>
        <w:top w:val="single" w:sz="4" w:space="0" w:color="FCEECC"/>
        <w:bottom w:val="single" w:sz="4" w:space="0" w:color="FCEECC"/>
      </w:tblBorders>
    </w:tblPr>
    <w:tblStylePr w:type="fir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lastRow">
      <w:pPr>
        <w:spacing w:before="0" w:after="0" w:line="240" w:lineRule="auto"/>
      </w:pPr>
      <w:rPr>
        <w:b/>
        <w:bCs/>
      </w:rPr>
      <w:tblPr/>
      <w:tcPr>
        <w:tcBorders>
          <w:top w:val="single" w:sz="8" w:space="0" w:color="CC7B38" w:themeColor="accent6"/>
          <w:left w:val="nil"/>
          <w:bottom w:val="single" w:sz="8" w:space="0" w:color="CC7B3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ECD" w:themeFill="accent6" w:themeFillTint="3F"/>
      </w:tcPr>
    </w:tblStylePr>
    <w:tblStylePr w:type="band1Horz">
      <w:tblPr/>
      <w:tcPr>
        <w:tcBorders>
          <w:left w:val="nil"/>
          <w:right w:val="nil"/>
          <w:insideH w:val="nil"/>
          <w:insideV w:val="nil"/>
        </w:tcBorders>
        <w:shd w:val="clear" w:color="auto" w:fill="F2DECD" w:themeFill="accent6" w:themeFillTint="3F"/>
      </w:tcPr>
    </w:tblStylePr>
  </w:style>
  <w:style w:type="table" w:customStyle="1" w:styleId="Mkatabulky2">
    <w:name w:val="Mřížka tabulky2"/>
    <w:basedOn w:val="Normlntabulka"/>
    <w:next w:val="Mkatabulky"/>
    <w:uiPriority w:val="39"/>
    <w:rsid w:val="0050396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stnovnzvraznn21">
    <w:name w:val="Světlé stínování – zvýraznění 21"/>
    <w:basedOn w:val="Normlntabulka"/>
    <w:next w:val="Svtlstnovnzvraznn2"/>
    <w:uiPriority w:val="60"/>
    <w:rsid w:val="0050396A"/>
    <w:rPr>
      <w:rFonts w:ascii="Arial" w:eastAsiaTheme="minorHAnsi" w:hAnsi="Arial" w:cs="Arial"/>
      <w:color w:val="C45911"/>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Svtlstnovnzvraznn11">
    <w:name w:val="Světlé stínování – zvýraznění 11"/>
    <w:basedOn w:val="Normlntabulka"/>
    <w:uiPriority w:val="60"/>
    <w:rsid w:val="0050396A"/>
    <w:rPr>
      <w:rFonts w:asciiTheme="minorHAnsi" w:eastAsiaTheme="minorHAnsi" w:hAnsiTheme="minorHAnsi" w:cstheme="minorBidi"/>
      <w:color w:val="2E74B5"/>
      <w:sz w:val="22"/>
      <w:szCs w:val="22"/>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citation">
    <w:name w:val="citation"/>
    <w:basedOn w:val="Standardnpsmoodstavce"/>
    <w:rsid w:val="0050396A"/>
  </w:style>
  <w:style w:type="paragraph" w:customStyle="1" w:styleId="l4">
    <w:name w:val="l4"/>
    <w:basedOn w:val="Normln"/>
    <w:rsid w:val="0050396A"/>
    <w:pPr>
      <w:spacing w:before="100" w:beforeAutospacing="1" w:after="100" w:afterAutospacing="1"/>
      <w:jc w:val="left"/>
    </w:pPr>
    <w:rPr>
      <w:rFonts w:ascii="Times New Roman" w:eastAsia="Times New Roman" w:hAnsi="Times New Roman"/>
      <w:bCs/>
      <w:szCs w:val="24"/>
      <w:lang w:eastAsia="cs-CZ"/>
    </w:rPr>
  </w:style>
  <w:style w:type="paragraph" w:customStyle="1" w:styleId="odst2">
    <w:name w:val="odst2"/>
    <w:basedOn w:val="Normln"/>
    <w:rsid w:val="0050396A"/>
    <w:pPr>
      <w:spacing w:before="72" w:after="72" w:line="360" w:lineRule="atLeast"/>
      <w:ind w:firstLine="480"/>
    </w:pPr>
    <w:rPr>
      <w:rFonts w:ascii="Times New Roman" w:eastAsia="Times New Roman" w:hAnsi="Times New Roman"/>
      <w:szCs w:val="24"/>
      <w:lang w:eastAsia="cs-CZ"/>
    </w:rPr>
  </w:style>
  <w:style w:type="table" w:customStyle="1" w:styleId="Svtlmkazvraznn11">
    <w:name w:val="Světlá mřížka – zvýraznění 11"/>
    <w:basedOn w:val="Normlntabulka"/>
    <w:uiPriority w:val="62"/>
    <w:rsid w:val="0050396A"/>
    <w:rPr>
      <w:rFonts w:asciiTheme="minorHAnsi" w:eastAsiaTheme="minorHAnsi" w:hAnsiTheme="minorHAnsi" w:cstheme="minorBidi"/>
      <w:sz w:val="22"/>
      <w:szCs w:val="22"/>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insideH w:val="single" w:sz="8" w:space="0" w:color="B6B002" w:themeColor="accent1"/>
        <w:insideV w:val="single" w:sz="8" w:space="0" w:color="B6B00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18" w:space="0" w:color="B6B002" w:themeColor="accent1"/>
          <w:right w:val="single" w:sz="8" w:space="0" w:color="B6B002" w:themeColor="accent1"/>
          <w:insideH w:val="nil"/>
          <w:insideV w:val="single" w:sz="8" w:space="0" w:color="B6B00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insideH w:val="nil"/>
          <w:insideV w:val="single" w:sz="8" w:space="0" w:color="B6B00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shd w:val="clear" w:color="auto" w:fill="FEFBAF" w:themeFill="accent1" w:themeFillTint="3F"/>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shd w:val="clear" w:color="auto" w:fill="FEFBAF" w:themeFill="accent1" w:themeFillTint="3F"/>
      </w:tcPr>
    </w:tblStylePr>
    <w:tblStylePr w:type="band2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insideV w:val="single" w:sz="8" w:space="0" w:color="B6B002" w:themeColor="accent1"/>
        </w:tcBorders>
      </w:tcPr>
    </w:tblStylePr>
  </w:style>
  <w:style w:type="character" w:customStyle="1" w:styleId="notranslate">
    <w:name w:val="notranslate"/>
    <w:basedOn w:val="Standardnpsmoodstavce"/>
    <w:rsid w:val="0050396A"/>
  </w:style>
  <w:style w:type="character" w:customStyle="1" w:styleId="reference-text">
    <w:name w:val="reference-text"/>
    <w:basedOn w:val="Standardnpsmoodstavce"/>
    <w:rsid w:val="0050396A"/>
  </w:style>
  <w:style w:type="character" w:customStyle="1" w:styleId="plainlinks">
    <w:name w:val="plainlinks"/>
    <w:basedOn w:val="Standardnpsmoodstavce"/>
    <w:rsid w:val="0050396A"/>
  </w:style>
  <w:style w:type="table" w:customStyle="1" w:styleId="Stednstnovn2zvraznn11">
    <w:name w:val="Střední stínování 2 – zvýraznění 11"/>
    <w:basedOn w:val="Normlntabulka"/>
    <w:uiPriority w:val="64"/>
    <w:rsid w:val="0050396A"/>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B00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B002" w:themeFill="accent1"/>
      </w:tcPr>
    </w:tblStylePr>
    <w:tblStylePr w:type="lastCol">
      <w:rPr>
        <w:b/>
        <w:bCs/>
        <w:color w:val="FFFFFF" w:themeColor="background1"/>
      </w:rPr>
      <w:tblPr/>
      <w:tcPr>
        <w:tcBorders>
          <w:left w:val="nil"/>
          <w:right w:val="nil"/>
          <w:insideH w:val="nil"/>
          <w:insideV w:val="nil"/>
        </w:tcBorders>
        <w:shd w:val="clear" w:color="auto" w:fill="B6B00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tednstnovn1zvraznn11">
    <w:name w:val="Střední stínování 1 – zvýraznění 11"/>
    <w:basedOn w:val="Normlntabulka"/>
    <w:uiPriority w:val="63"/>
    <w:rsid w:val="0050396A"/>
    <w:rPr>
      <w:rFonts w:asciiTheme="minorHAnsi" w:eastAsiaTheme="minorHAnsi" w:hAnsiTheme="minorHAnsi" w:cstheme="minorBidi"/>
      <w:sz w:val="22"/>
      <w:szCs w:val="22"/>
    </w:rPr>
    <w:tblPr>
      <w:tblStyleRowBandSize w:val="1"/>
      <w:tblStyleColBandSize w:val="1"/>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paragraph" w:customStyle="1" w:styleId="font0">
    <w:name w:val="font0"/>
    <w:basedOn w:val="Normln"/>
    <w:rsid w:val="0050396A"/>
    <w:pPr>
      <w:spacing w:before="100" w:beforeAutospacing="1" w:after="100" w:afterAutospacing="1"/>
      <w:jc w:val="left"/>
    </w:pPr>
    <w:rPr>
      <w:rFonts w:ascii="Calibri" w:eastAsia="Times New Roman" w:hAnsi="Calibri"/>
      <w:color w:val="000000"/>
      <w:lang w:eastAsia="cs-CZ"/>
    </w:rPr>
  </w:style>
  <w:style w:type="character" w:customStyle="1" w:styleId="alt-edited">
    <w:name w:val="alt-edited"/>
    <w:basedOn w:val="Standardnpsmoodstavce"/>
    <w:rsid w:val="0050396A"/>
  </w:style>
  <w:style w:type="character" w:customStyle="1" w:styleId="GACRzdrojeChar">
    <w:name w:val="GACR_zdroje Char"/>
    <w:basedOn w:val="Standardnpsmoodstavce"/>
    <w:link w:val="GACRzdroje"/>
    <w:locked/>
    <w:rsid w:val="0050396A"/>
    <w:rPr>
      <w:rFonts w:ascii="Cambria" w:eastAsia="Times New Roman" w:hAnsi="Cambria"/>
      <w:bCs/>
      <w:i/>
      <w:iCs/>
      <w:sz w:val="18"/>
      <w:szCs w:val="24"/>
    </w:rPr>
  </w:style>
  <w:style w:type="paragraph" w:customStyle="1" w:styleId="GACRzdroje">
    <w:name w:val="GACR_zdroje"/>
    <w:basedOn w:val="Normln"/>
    <w:link w:val="GACRzdrojeChar"/>
    <w:rsid w:val="0050396A"/>
    <w:rPr>
      <w:rFonts w:ascii="Cambria" w:eastAsia="Times New Roman" w:hAnsi="Cambria"/>
      <w:bCs/>
      <w:i/>
      <w:iCs/>
      <w:sz w:val="18"/>
      <w:szCs w:val="24"/>
    </w:rPr>
  </w:style>
  <w:style w:type="character" w:customStyle="1" w:styleId="FootnoteTextChar1">
    <w:name w:val="Footnote Text Char1"/>
    <w:basedOn w:val="Standardnpsmoodstavce"/>
    <w:uiPriority w:val="99"/>
    <w:semiHidden/>
    <w:rsid w:val="0050396A"/>
    <w:rPr>
      <w:sz w:val="20"/>
      <w:szCs w:val="20"/>
    </w:rPr>
  </w:style>
  <w:style w:type="character" w:customStyle="1" w:styleId="Nevyeenzmnka1">
    <w:name w:val="Nevyřešená zmínka1"/>
    <w:basedOn w:val="Standardnpsmoodstavce"/>
    <w:uiPriority w:val="99"/>
    <w:semiHidden/>
    <w:unhideWhenUsed/>
    <w:rsid w:val="0050396A"/>
    <w:rPr>
      <w:color w:val="605E5C"/>
      <w:shd w:val="clear" w:color="auto" w:fill="E1DFDD"/>
    </w:rPr>
  </w:style>
  <w:style w:type="character" w:customStyle="1" w:styleId="Nevyeenzmnka2">
    <w:name w:val="Nevyřešená zmínka2"/>
    <w:basedOn w:val="Standardnpsmoodstavce"/>
    <w:uiPriority w:val="99"/>
    <w:semiHidden/>
    <w:unhideWhenUsed/>
    <w:rsid w:val="0050396A"/>
    <w:rPr>
      <w:color w:val="605E5C"/>
      <w:shd w:val="clear" w:color="auto" w:fill="E1DFDD"/>
    </w:rPr>
  </w:style>
  <w:style w:type="table" w:customStyle="1" w:styleId="Svtlseznamzvraznn11">
    <w:name w:val="Světlý seznam – zvýraznění 11"/>
    <w:basedOn w:val="Normlntabulka"/>
    <w:uiPriority w:val="61"/>
    <w:rsid w:val="0050396A"/>
    <w:pPr>
      <w:jc w:val="both"/>
    </w:pPr>
    <w:rPr>
      <w:rFonts w:asciiTheme="minorHAnsi" w:eastAsiaTheme="minorHAnsi" w:hAnsiTheme="minorHAnsi" w:cstheme="minorBidi"/>
      <w:sz w:val="24"/>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tblBorders>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Normln2">
    <w:name w:val="Normální2"/>
    <w:basedOn w:val="Normln"/>
    <w:rsid w:val="0050396A"/>
    <w:rPr>
      <w:rFonts w:eastAsia="Times New Roman"/>
      <w:noProof/>
      <w:lang w:bidi="en-US"/>
    </w:rPr>
  </w:style>
  <w:style w:type="character" w:customStyle="1" w:styleId="Nevyeenzmnka3">
    <w:name w:val="Nevyřešená zmínka3"/>
    <w:basedOn w:val="Standardnpsmoodstavce"/>
    <w:uiPriority w:val="99"/>
    <w:semiHidden/>
    <w:unhideWhenUsed/>
    <w:rsid w:val="0050396A"/>
    <w:rPr>
      <w:color w:val="605E5C"/>
      <w:shd w:val="clear" w:color="auto" w:fill="E1DFDD"/>
    </w:rPr>
  </w:style>
  <w:style w:type="paragraph" w:customStyle="1" w:styleId="l5">
    <w:name w:val="l5"/>
    <w:basedOn w:val="Normln"/>
    <w:uiPriority w:val="99"/>
    <w:rsid w:val="0050396A"/>
    <w:pPr>
      <w:spacing w:before="100" w:beforeAutospacing="1" w:after="100" w:afterAutospacing="1"/>
      <w:jc w:val="left"/>
    </w:pPr>
    <w:rPr>
      <w:rFonts w:ascii="Times New Roman" w:eastAsia="Times New Roman" w:hAnsi="Times New Roman"/>
      <w:szCs w:val="24"/>
      <w:lang w:eastAsia="cs-CZ"/>
    </w:rPr>
  </w:style>
  <w:style w:type="paragraph" w:customStyle="1" w:styleId="l6">
    <w:name w:val="l6"/>
    <w:basedOn w:val="Normln"/>
    <w:uiPriority w:val="99"/>
    <w:rsid w:val="0050396A"/>
    <w:pPr>
      <w:spacing w:before="100" w:beforeAutospacing="1" w:after="100" w:afterAutospacing="1"/>
      <w:jc w:val="left"/>
    </w:pPr>
    <w:rPr>
      <w:rFonts w:ascii="Times New Roman" w:eastAsia="Times New Roman" w:hAnsi="Times New Roman"/>
      <w:szCs w:val="24"/>
      <w:lang w:eastAsia="cs-CZ"/>
    </w:rPr>
  </w:style>
  <w:style w:type="character" w:customStyle="1" w:styleId="highlight">
    <w:name w:val="highlight"/>
    <w:basedOn w:val="Standardnpsmoodstavce"/>
    <w:rsid w:val="0050396A"/>
  </w:style>
  <w:style w:type="character" w:customStyle="1" w:styleId="highlight-disabled">
    <w:name w:val="highlight-disabled"/>
    <w:basedOn w:val="Standardnpsmoodstavce"/>
    <w:rsid w:val="0050396A"/>
  </w:style>
  <w:style w:type="character" w:customStyle="1" w:styleId="h1a">
    <w:name w:val="h1a"/>
    <w:basedOn w:val="Standardnpsmoodstavce"/>
    <w:rsid w:val="0050396A"/>
  </w:style>
  <w:style w:type="table" w:customStyle="1" w:styleId="Tabulkasmkou4zvraznn61">
    <w:name w:val="Tabulka s mřížkou 4 – zvýraznění 61"/>
    <w:basedOn w:val="Normlntabulka"/>
    <w:uiPriority w:val="49"/>
    <w:rsid w:val="0050396A"/>
    <w:rPr>
      <w:rFonts w:asciiTheme="minorHAnsi" w:eastAsiaTheme="minorHAnsi" w:hAnsiTheme="minorHAnsi" w:cstheme="minorBidi"/>
      <w:sz w:val="22"/>
      <w:szCs w:val="22"/>
    </w:rPr>
    <w:tblPr>
      <w:tblStyleRowBandSize w:val="1"/>
      <w:tblStyleColBandSize w:val="1"/>
      <w:tblBorders>
        <w:top w:val="single" w:sz="4" w:space="0" w:color="E0AF87" w:themeColor="accent6" w:themeTint="99"/>
        <w:left w:val="single" w:sz="4" w:space="0" w:color="E0AF87" w:themeColor="accent6" w:themeTint="99"/>
        <w:bottom w:val="single" w:sz="4" w:space="0" w:color="E0AF87" w:themeColor="accent6" w:themeTint="99"/>
        <w:right w:val="single" w:sz="4" w:space="0" w:color="E0AF87" w:themeColor="accent6" w:themeTint="99"/>
        <w:insideH w:val="single" w:sz="4" w:space="0" w:color="E0AF87" w:themeColor="accent6" w:themeTint="99"/>
        <w:insideV w:val="single" w:sz="4" w:space="0" w:color="E0AF87" w:themeColor="accent6" w:themeTint="99"/>
      </w:tblBorders>
    </w:tblPr>
    <w:tblStylePr w:type="firstRow">
      <w:rPr>
        <w:b/>
        <w:bCs/>
        <w:color w:val="FFFFFF" w:themeColor="background1"/>
      </w:rPr>
      <w:tblPr/>
      <w:tcPr>
        <w:tcBorders>
          <w:top w:val="single" w:sz="4" w:space="0" w:color="CC7B38" w:themeColor="accent6"/>
          <w:left w:val="single" w:sz="4" w:space="0" w:color="CC7B38" w:themeColor="accent6"/>
          <w:bottom w:val="single" w:sz="4" w:space="0" w:color="CC7B38" w:themeColor="accent6"/>
          <w:right w:val="single" w:sz="4" w:space="0" w:color="CC7B38" w:themeColor="accent6"/>
          <w:insideH w:val="nil"/>
          <w:insideV w:val="nil"/>
        </w:tcBorders>
        <w:shd w:val="clear" w:color="auto" w:fill="CC7B38" w:themeFill="accent6"/>
      </w:tcPr>
    </w:tblStylePr>
    <w:tblStylePr w:type="lastRow">
      <w:rPr>
        <w:b/>
        <w:bCs/>
      </w:rPr>
      <w:tblPr/>
      <w:tcPr>
        <w:tcBorders>
          <w:top w:val="double" w:sz="4" w:space="0" w:color="CC7B38" w:themeColor="accent6"/>
        </w:tcBorders>
      </w:tcPr>
    </w:tblStylePr>
    <w:tblStylePr w:type="firstCol">
      <w:rPr>
        <w:b/>
        <w:bCs/>
      </w:rPr>
    </w:tblStylePr>
    <w:tblStylePr w:type="lastCol">
      <w:rPr>
        <w:b/>
        <w:bCs/>
      </w:rPr>
    </w:tblStylePr>
    <w:tblStylePr w:type="band1Vert">
      <w:tblPr/>
      <w:tcPr>
        <w:shd w:val="clear" w:color="auto" w:fill="F4E4D7" w:themeFill="accent6" w:themeFillTint="33"/>
      </w:tcPr>
    </w:tblStylePr>
    <w:tblStylePr w:type="band1Horz">
      <w:tblPr/>
      <w:tcPr>
        <w:shd w:val="clear" w:color="auto" w:fill="F4E4D7" w:themeFill="accent6" w:themeFillTint="33"/>
      </w:tcPr>
    </w:tblStylePr>
  </w:style>
  <w:style w:type="character" w:customStyle="1" w:styleId="5yl5">
    <w:name w:val="_5yl5"/>
    <w:basedOn w:val="Standardnpsmoodstavce"/>
    <w:rsid w:val="0050396A"/>
  </w:style>
  <w:style w:type="character" w:customStyle="1" w:styleId="normal-text">
    <w:name w:val="normal-text"/>
    <w:basedOn w:val="Standardnpsmoodstavce"/>
    <w:rsid w:val="0050396A"/>
  </w:style>
  <w:style w:type="paragraph" w:customStyle="1" w:styleId="l7">
    <w:name w:val="l7"/>
    <w:basedOn w:val="Normln"/>
    <w:rsid w:val="0050396A"/>
    <w:pPr>
      <w:spacing w:before="100" w:beforeAutospacing="1" w:after="100" w:afterAutospacing="1"/>
      <w:jc w:val="left"/>
    </w:pPr>
    <w:rPr>
      <w:rFonts w:ascii="Times New Roman" w:eastAsia="Times New Roman" w:hAnsi="Times New Roman"/>
      <w:szCs w:val="24"/>
      <w:lang w:eastAsia="cs-CZ"/>
    </w:rPr>
  </w:style>
  <w:style w:type="numbering" w:customStyle="1" w:styleId="WWOutlineListStyle">
    <w:name w:val="WW_OutlineListStyle"/>
    <w:basedOn w:val="Bezseznamu"/>
    <w:rsid w:val="0050396A"/>
    <w:pPr>
      <w:numPr>
        <w:numId w:val="33"/>
      </w:numPr>
    </w:pPr>
  </w:style>
  <w:style w:type="paragraph" w:customStyle="1" w:styleId="Titulek-mapy">
    <w:name w:val="Titulek - mapy"/>
    <w:basedOn w:val="Titulek"/>
    <w:qFormat/>
    <w:rsid w:val="0050396A"/>
    <w:pPr>
      <w:widowControl/>
      <w:spacing w:after="240"/>
    </w:pPr>
    <w:rPr>
      <w:rFonts w:ascii="Calibri" w:eastAsia="Calibri" w:hAnsi="Calibri"/>
      <w:color w:val="auto"/>
      <w:sz w:val="18"/>
      <w:szCs w:val="18"/>
    </w:rPr>
  </w:style>
  <w:style w:type="paragraph" w:customStyle="1" w:styleId="Odstavecdal">
    <w:name w:val="Odstavec další"/>
    <w:basedOn w:val="Normln"/>
    <w:rsid w:val="0050396A"/>
    <w:pPr>
      <w:autoSpaceDE w:val="0"/>
      <w:autoSpaceDN w:val="0"/>
      <w:adjustRightInd w:val="0"/>
      <w:spacing w:after="0" w:line="360" w:lineRule="auto"/>
      <w:ind w:firstLine="567"/>
    </w:pPr>
    <w:rPr>
      <w:rFonts w:ascii="Times-Roman" w:eastAsia="Times New Roman" w:hAnsi="Times-Roman" w:cs="Times-Roman"/>
      <w:sz w:val="23"/>
      <w:szCs w:val="23"/>
      <w:lang w:eastAsia="cs-CZ"/>
    </w:rPr>
  </w:style>
  <w:style w:type="paragraph" w:customStyle="1" w:styleId="odrazka">
    <w:name w:val="odrazka"/>
    <w:basedOn w:val="Odstavecseseznamem"/>
    <w:link w:val="odrazkaChar"/>
    <w:qFormat/>
    <w:rsid w:val="0050396A"/>
    <w:pPr>
      <w:numPr>
        <w:numId w:val="34"/>
      </w:numPr>
      <w:autoSpaceDE w:val="0"/>
      <w:autoSpaceDN w:val="0"/>
      <w:adjustRightInd w:val="0"/>
      <w:spacing w:after="0" w:line="360" w:lineRule="auto"/>
      <w:ind w:left="1701" w:hanging="425"/>
    </w:pPr>
    <w:rPr>
      <w:rFonts w:ascii="Times New Roman" w:eastAsia="Times New Roman" w:hAnsi="Times New Roman"/>
      <w:szCs w:val="24"/>
      <w:lang w:val="en-GB" w:eastAsia="cs-CZ"/>
    </w:rPr>
  </w:style>
  <w:style w:type="table" w:customStyle="1" w:styleId="Prosttabulka11">
    <w:name w:val="Prostá tabulka 11"/>
    <w:basedOn w:val="Normlntabulka"/>
    <w:uiPriority w:val="41"/>
    <w:rsid w:val="0050396A"/>
    <w:rPr>
      <w:rFonts w:ascii="Times New Roman" w:eastAsia="Times New Roman" w:hAnsi="Times New Roman"/>
      <w:lang w:eastAsia="cs-CZ"/>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drazkaChar">
    <w:name w:val="odrazka Char"/>
    <w:basedOn w:val="OdstavecseseznamemChar"/>
    <w:link w:val="odrazka"/>
    <w:rsid w:val="0050396A"/>
    <w:rPr>
      <w:rFonts w:ascii="Times New Roman" w:eastAsia="Times New Roman" w:hAnsi="Times New Roman"/>
      <w:sz w:val="24"/>
      <w:szCs w:val="24"/>
      <w:lang w:val="en-GB" w:eastAsia="cs-CZ"/>
    </w:rPr>
  </w:style>
  <w:style w:type="paragraph" w:customStyle="1" w:styleId="obazek">
    <w:name w:val="obazek"/>
    <w:basedOn w:val="Normln"/>
    <w:link w:val="obazekChar"/>
    <w:qFormat/>
    <w:rsid w:val="0050396A"/>
    <w:pPr>
      <w:autoSpaceDE w:val="0"/>
      <w:autoSpaceDN w:val="0"/>
      <w:adjustRightInd w:val="0"/>
      <w:spacing w:before="240" w:after="60"/>
      <w:jc w:val="center"/>
    </w:pPr>
    <w:rPr>
      <w:rFonts w:ascii="Times New Roman" w:eastAsia="Times New Roman" w:hAnsi="Times New Roman"/>
      <w:noProof/>
      <w:szCs w:val="24"/>
      <w:lang w:eastAsia="cs-CZ"/>
    </w:rPr>
  </w:style>
  <w:style w:type="character" w:customStyle="1" w:styleId="obazekChar">
    <w:name w:val="obazek Char"/>
    <w:basedOn w:val="Standardnpsmoodstavce"/>
    <w:link w:val="obazek"/>
    <w:rsid w:val="0050396A"/>
    <w:rPr>
      <w:rFonts w:ascii="Times New Roman" w:eastAsia="Times New Roman" w:hAnsi="Times New Roman"/>
      <w:noProof/>
      <w:sz w:val="24"/>
      <w:szCs w:val="24"/>
      <w:lang w:eastAsia="cs-CZ"/>
    </w:rPr>
  </w:style>
  <w:style w:type="paragraph" w:customStyle="1" w:styleId="kola">
    <w:name w:val="Škola"/>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36"/>
      <w:szCs w:val="24"/>
      <w:lang w:eastAsia="cs-CZ"/>
    </w:rPr>
  </w:style>
  <w:style w:type="table" w:customStyle="1" w:styleId="Svtlseznam1">
    <w:name w:val="Světlý seznam1"/>
    <w:basedOn w:val="Normlntabulka"/>
    <w:uiPriority w:val="61"/>
    <w:rsid w:val="0050396A"/>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Jmnoapjmen">
    <w:name w:val="Jméno a příjmení"/>
    <w:basedOn w:val="Normln"/>
    <w:rsid w:val="0050396A"/>
    <w:pPr>
      <w:autoSpaceDE w:val="0"/>
      <w:autoSpaceDN w:val="0"/>
      <w:adjustRightInd w:val="0"/>
      <w:spacing w:after="0" w:line="360" w:lineRule="auto"/>
      <w:ind w:firstLine="851"/>
      <w:jc w:val="center"/>
    </w:pPr>
    <w:rPr>
      <w:rFonts w:ascii="Times New Roman" w:eastAsia="Times New Roman" w:hAnsi="Times New Roman"/>
      <w:b/>
      <w:bCs/>
      <w:sz w:val="40"/>
      <w:szCs w:val="24"/>
      <w:lang w:eastAsia="cs-CZ"/>
    </w:rPr>
  </w:style>
  <w:style w:type="paragraph" w:customStyle="1" w:styleId="stitle-article-norm">
    <w:name w:val="stitle-article-norm"/>
    <w:basedOn w:val="Normln"/>
    <w:rsid w:val="0050396A"/>
    <w:pPr>
      <w:spacing w:before="240"/>
      <w:jc w:val="center"/>
    </w:pPr>
    <w:rPr>
      <w:rFonts w:ascii="Times New Roman" w:eastAsia="Times New Roman" w:hAnsi="Times New Roman"/>
      <w:b/>
      <w:bCs/>
      <w:szCs w:val="24"/>
      <w:lang w:eastAsia="cs-CZ"/>
    </w:rPr>
  </w:style>
  <w:style w:type="paragraph" w:customStyle="1" w:styleId="title-article-norm">
    <w:name w:val="title-article-norm"/>
    <w:basedOn w:val="Normln"/>
    <w:rsid w:val="0050396A"/>
    <w:pPr>
      <w:spacing w:before="240"/>
      <w:jc w:val="center"/>
    </w:pPr>
    <w:rPr>
      <w:rFonts w:ascii="Times New Roman" w:eastAsia="Times New Roman" w:hAnsi="Times New Roman"/>
      <w:i/>
      <w:iCs/>
      <w:szCs w:val="24"/>
      <w:lang w:eastAsia="cs-CZ"/>
    </w:rPr>
  </w:style>
  <w:style w:type="paragraph" w:customStyle="1" w:styleId="title-division-1">
    <w:name w:val="title-division-1"/>
    <w:basedOn w:val="Normln"/>
    <w:rsid w:val="0050396A"/>
    <w:pPr>
      <w:jc w:val="center"/>
    </w:pPr>
    <w:rPr>
      <w:rFonts w:ascii="Times New Roman" w:eastAsia="Times New Roman" w:hAnsi="Times New Roman"/>
      <w:szCs w:val="24"/>
      <w:lang w:eastAsia="cs-CZ"/>
    </w:rPr>
  </w:style>
  <w:style w:type="paragraph" w:customStyle="1" w:styleId="title-division-2">
    <w:name w:val="title-division-2"/>
    <w:basedOn w:val="Normln"/>
    <w:rsid w:val="0050396A"/>
    <w:pPr>
      <w:jc w:val="center"/>
    </w:pPr>
    <w:rPr>
      <w:rFonts w:ascii="Times New Roman" w:eastAsia="Times New Roman" w:hAnsi="Times New Roman"/>
      <w:b/>
      <w:bCs/>
      <w:szCs w:val="24"/>
      <w:lang w:eastAsia="cs-CZ"/>
    </w:rPr>
  </w:style>
  <w:style w:type="character" w:customStyle="1" w:styleId="boldface">
    <w:name w:val="boldface"/>
    <w:basedOn w:val="Standardnpsmoodstavce"/>
    <w:rsid w:val="0050396A"/>
    <w:rPr>
      <w:b/>
      <w:bCs/>
    </w:rPr>
  </w:style>
  <w:style w:type="character" w:customStyle="1" w:styleId="italics">
    <w:name w:val="italics"/>
    <w:basedOn w:val="Standardnpsmoodstavce"/>
    <w:rsid w:val="0050396A"/>
    <w:rPr>
      <w:i/>
      <w:iCs/>
    </w:rPr>
  </w:style>
  <w:style w:type="character" w:customStyle="1" w:styleId="h1a5">
    <w:name w:val="h1a5"/>
    <w:basedOn w:val="Standardnpsmoodstavce"/>
    <w:rsid w:val="0050396A"/>
    <w:rPr>
      <w:rFonts w:ascii="Arial" w:hAnsi="Arial" w:cs="Arial" w:hint="default"/>
      <w:i/>
      <w:iCs/>
      <w:vanish w:val="0"/>
      <w:webHidden w:val="0"/>
      <w:sz w:val="26"/>
      <w:szCs w:val="26"/>
      <w:specVanish w:val="0"/>
    </w:rPr>
  </w:style>
  <w:style w:type="table" w:customStyle="1" w:styleId="Svtlstnovnzvraznn12">
    <w:name w:val="Světlé stínování – zvýraznění 12"/>
    <w:basedOn w:val="Normlntabulka"/>
    <w:uiPriority w:val="60"/>
    <w:rsid w:val="0050396A"/>
    <w:rPr>
      <w:rFonts w:asciiTheme="minorHAnsi" w:eastAsiaTheme="minorHAnsi" w:hAnsiTheme="minorHAnsi" w:cstheme="minorBidi"/>
      <w:color w:val="888301" w:themeColor="accent1" w:themeShade="BF"/>
      <w:sz w:val="22"/>
      <w:szCs w:val="22"/>
    </w:rPr>
    <w:tblPr>
      <w:tblStyleRowBandSize w:val="1"/>
      <w:tblStyleColBandSize w:val="1"/>
      <w:tblBorders>
        <w:top w:val="single" w:sz="8" w:space="0" w:color="B6B002" w:themeColor="accent1"/>
        <w:bottom w:val="single" w:sz="8" w:space="0" w:color="B6B002" w:themeColor="accent1"/>
      </w:tblBorders>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paragraph" w:customStyle="1" w:styleId="textMPSV">
    <w:name w:val="text_MPSV"/>
    <w:basedOn w:val="Normln"/>
    <w:link w:val="textMPSVChar"/>
    <w:rsid w:val="0050396A"/>
    <w:pPr>
      <w:spacing w:after="200" w:line="360" w:lineRule="auto"/>
      <w:ind w:firstLine="709"/>
    </w:pPr>
    <w:rPr>
      <w:rFonts w:asciiTheme="majorHAnsi" w:eastAsiaTheme="minorHAnsi" w:hAnsiTheme="majorHAnsi"/>
      <w:noProof/>
      <w:lang w:val="en-GB"/>
    </w:rPr>
  </w:style>
  <w:style w:type="character" w:customStyle="1" w:styleId="textMPSVChar">
    <w:name w:val="text_MPSV Char"/>
    <w:basedOn w:val="Standardnpsmoodstavce"/>
    <w:link w:val="textMPSV"/>
    <w:rsid w:val="0050396A"/>
    <w:rPr>
      <w:rFonts w:asciiTheme="majorHAnsi" w:eastAsiaTheme="minorHAnsi" w:hAnsiTheme="majorHAnsi"/>
      <w:noProof/>
      <w:sz w:val="24"/>
      <w:szCs w:val="22"/>
      <w:lang w:val="en-GB"/>
    </w:rPr>
  </w:style>
  <w:style w:type="paragraph" w:customStyle="1" w:styleId="BIBLIO2">
    <w:name w:val="BIBLIO2"/>
    <w:basedOn w:val="Normln"/>
    <w:rsid w:val="0050396A"/>
    <w:pPr>
      <w:autoSpaceDE w:val="0"/>
      <w:autoSpaceDN w:val="0"/>
      <w:spacing w:after="20"/>
      <w:ind w:left="709" w:hanging="709"/>
    </w:pPr>
    <w:rPr>
      <w:rFonts w:ascii="Times New Roman" w:eastAsia="Times New Roman" w:hAnsi="Times New Roman"/>
      <w:sz w:val="22"/>
      <w:lang w:eastAsia="cs-CZ"/>
    </w:rPr>
  </w:style>
  <w:style w:type="table" w:customStyle="1" w:styleId="Prosttabulka41">
    <w:name w:val="Prostá tabulka 41"/>
    <w:basedOn w:val="Normlntabulka"/>
    <w:uiPriority w:val="44"/>
    <w:rsid w:val="0050396A"/>
    <w:rPr>
      <w:rFonts w:asciiTheme="minorHAnsi" w:eastAsiaTheme="minorHAnsi" w:hAnsiTheme="min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pcrhlvpravouhpozn">
    <w:name w:val="upcrhlvpravouhpozn"/>
    <w:basedOn w:val="Standardnpsmoodstavce"/>
    <w:rsid w:val="0050396A"/>
  </w:style>
  <w:style w:type="character" w:customStyle="1" w:styleId="odkaz-style-wrapper">
    <w:name w:val="odkaz-style-wrapper"/>
    <w:basedOn w:val="Standardnpsmoodstavce"/>
    <w:rsid w:val="0050396A"/>
  </w:style>
  <w:style w:type="paragraph" w:customStyle="1" w:styleId="CE-StandardText">
    <w:name w:val="CE-StandardText"/>
    <w:basedOn w:val="Normln"/>
    <w:link w:val="CE-StandardTextZchn"/>
    <w:rsid w:val="0050396A"/>
    <w:pPr>
      <w:spacing w:after="0" w:line="276" w:lineRule="auto"/>
    </w:pPr>
    <w:rPr>
      <w:rFonts w:ascii="Trebuchet MS" w:eastAsia="Times New Roman" w:hAnsi="Trebuchet MS"/>
      <w:color w:val="B6B002" w:themeColor="text2"/>
      <w:sz w:val="20"/>
      <w:szCs w:val="18"/>
      <w:lang w:val="en-GB"/>
    </w:rPr>
  </w:style>
  <w:style w:type="character" w:customStyle="1" w:styleId="CE-StandardTextZchn">
    <w:name w:val="CE-StandardText Zchn"/>
    <w:basedOn w:val="Standardnpsmoodstavce"/>
    <w:link w:val="CE-StandardText"/>
    <w:rsid w:val="0050396A"/>
    <w:rPr>
      <w:rFonts w:ascii="Trebuchet MS" w:eastAsia="Times New Roman" w:hAnsi="Trebuchet MS"/>
      <w:color w:val="B6B002" w:themeColor="text2"/>
      <w:szCs w:val="18"/>
      <w:lang w:val="en-GB"/>
    </w:rPr>
  </w:style>
  <w:style w:type="table" w:customStyle="1" w:styleId="TableGrid">
    <w:name w:val="TableGrid"/>
    <w:rsid w:val="0050396A"/>
    <w:rPr>
      <w:rFonts w:asciiTheme="minorHAnsi" w:eastAsiaTheme="minorEastAsia" w:hAnsiTheme="minorHAnsi" w:cstheme="minorBidi"/>
      <w:sz w:val="22"/>
      <w:szCs w:val="22"/>
      <w:lang w:eastAsia="cs-CZ"/>
    </w:rPr>
    <w:tblPr>
      <w:tblCellMar>
        <w:top w:w="0" w:type="dxa"/>
        <w:left w:w="0" w:type="dxa"/>
        <w:bottom w:w="0" w:type="dxa"/>
        <w:right w:w="0" w:type="dxa"/>
      </w:tblCellMar>
    </w:tblPr>
  </w:style>
  <w:style w:type="character" w:styleId="Odkazjemn">
    <w:name w:val="Subtle Reference"/>
    <w:basedOn w:val="Standardnpsmoodstavce"/>
    <w:uiPriority w:val="23"/>
    <w:qFormat/>
    <w:rsid w:val="0050396A"/>
    <w:rPr>
      <w:smallCaps/>
      <w:color w:val="5A5A5A" w:themeColor="text1" w:themeTint="A5"/>
    </w:rPr>
  </w:style>
  <w:style w:type="character" w:customStyle="1" w:styleId="Nevyeenzmnka4">
    <w:name w:val="Nevyřešená zmínka4"/>
    <w:basedOn w:val="Standardnpsmoodstavce"/>
    <w:uiPriority w:val="99"/>
    <w:semiHidden/>
    <w:unhideWhenUsed/>
    <w:rsid w:val="0050396A"/>
    <w:rPr>
      <w:color w:val="605E5C"/>
      <w:shd w:val="clear" w:color="auto" w:fill="E1DFDD"/>
    </w:rPr>
  </w:style>
  <w:style w:type="paragraph" w:customStyle="1" w:styleId="Pa16">
    <w:name w:val="Pa16"/>
    <w:basedOn w:val="Default"/>
    <w:next w:val="Default"/>
    <w:uiPriority w:val="99"/>
    <w:rsid w:val="0050396A"/>
    <w:pPr>
      <w:spacing w:line="255" w:lineRule="atLeast"/>
    </w:pPr>
    <w:rPr>
      <w:rFonts w:ascii="Source Sans Pro" w:eastAsia="Calibri" w:hAnsi="Source Sans Pro" w:cs="Times New Roman"/>
      <w:color w:val="auto"/>
    </w:rPr>
  </w:style>
  <w:style w:type="character" w:customStyle="1" w:styleId="tooltip">
    <w:name w:val="tooltip"/>
    <w:basedOn w:val="Standardnpsmoodstavce"/>
    <w:rsid w:val="0050396A"/>
  </w:style>
  <w:style w:type="character" w:customStyle="1" w:styleId="Nevyeenzmnka5">
    <w:name w:val="Nevyřešená zmínka5"/>
    <w:basedOn w:val="Standardnpsmoodstavce"/>
    <w:uiPriority w:val="99"/>
    <w:semiHidden/>
    <w:unhideWhenUsed/>
    <w:rsid w:val="0050396A"/>
    <w:rPr>
      <w:color w:val="605E5C"/>
      <w:shd w:val="clear" w:color="auto" w:fill="E1DFDD"/>
    </w:rPr>
  </w:style>
  <w:style w:type="table" w:customStyle="1" w:styleId="Tabulkaseznamu21">
    <w:name w:val="Tabulka seznamu 21"/>
    <w:basedOn w:val="Normlntabulka"/>
    <w:uiPriority w:val="47"/>
    <w:rsid w:val="00BF2B5E"/>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Svtltabulkaseznamu11">
    <w:name w:val="Světlá tabulka seznamu 11"/>
    <w:basedOn w:val="Normlntabulka"/>
    <w:uiPriority w:val="46"/>
    <w:rsid w:val="00BF2B5E"/>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Nadpis2A0">
    <w:name w:val="Nadpis 2 (A.)"/>
    <w:basedOn w:val="Nadpis2"/>
    <w:next w:val="Normln"/>
    <w:autoRedefine/>
    <w:qFormat/>
    <w:rsid w:val="007076C8"/>
    <w:pPr>
      <w:numPr>
        <w:ilvl w:val="0"/>
        <w:numId w:val="0"/>
      </w:numPr>
      <w:tabs>
        <w:tab w:val="num" w:pos="851"/>
        <w:tab w:val="left" w:pos="1134"/>
      </w:tabs>
      <w:ind w:left="851" w:hanging="567"/>
    </w:pPr>
    <w:rPr>
      <w:rFonts w:ascii="Times New Roman" w:hAnsi="Times New Roman" w:cs="Arial"/>
      <w:iCs/>
      <w:smallCaps/>
      <w:sz w:val="24"/>
      <w:szCs w:val="28"/>
    </w:rPr>
  </w:style>
  <w:style w:type="paragraph" w:customStyle="1" w:styleId="Nadpis31">
    <w:name w:val="Nadpis 3 (1.)"/>
    <w:basedOn w:val="Nadpis3"/>
    <w:next w:val="Text1-11-111"/>
    <w:autoRedefine/>
    <w:qFormat/>
    <w:rsid w:val="007076C8"/>
    <w:pPr>
      <w:numPr>
        <w:ilvl w:val="0"/>
        <w:numId w:val="0"/>
      </w:numPr>
      <w:tabs>
        <w:tab w:val="num" w:pos="1276"/>
        <w:tab w:val="left" w:pos="1843"/>
      </w:tabs>
      <w:ind w:left="1276" w:hanging="425"/>
    </w:pPr>
    <w:rPr>
      <w:rFonts w:ascii="Times New Roman" w:hAnsi="Times New Roman" w:cs="Arial"/>
      <w:szCs w:val="26"/>
    </w:rPr>
  </w:style>
  <w:style w:type="paragraph" w:customStyle="1" w:styleId="Text1-11-111">
    <w:name w:val="Text 1.-1.1-1.1.1"/>
    <w:basedOn w:val="Normln"/>
    <w:link w:val="Text1-11-111Char"/>
    <w:qFormat/>
    <w:rsid w:val="007076C8"/>
    <w:pPr>
      <w:ind w:left="1276"/>
    </w:pPr>
    <w:rPr>
      <w:rFonts w:ascii="Times New Roman" w:eastAsia="Times New Roman" w:hAnsi="Times New Roman"/>
      <w:szCs w:val="20"/>
    </w:rPr>
  </w:style>
  <w:style w:type="character" w:customStyle="1" w:styleId="Text1-11-111Char">
    <w:name w:val="Text 1.-1.1-1.1.1 Char"/>
    <w:basedOn w:val="Standardnpsmoodstavce"/>
    <w:link w:val="Text1-11-111"/>
    <w:rsid w:val="007076C8"/>
    <w:rPr>
      <w:rFonts w:ascii="Times New Roman" w:eastAsia="Times New Roman" w:hAnsi="Times New Roman"/>
      <w:sz w:val="24"/>
    </w:rPr>
  </w:style>
  <w:style w:type="paragraph" w:customStyle="1" w:styleId="Nadpis411">
    <w:name w:val="Nadpis 4 (1.1)"/>
    <w:basedOn w:val="Nadpis4"/>
    <w:link w:val="Nadpis411Char"/>
    <w:autoRedefine/>
    <w:qFormat/>
    <w:rsid w:val="007076C8"/>
    <w:pPr>
      <w:keepLines w:val="0"/>
      <w:numPr>
        <w:numId w:val="0"/>
      </w:numPr>
      <w:tabs>
        <w:tab w:val="num" w:pos="1843"/>
      </w:tabs>
      <w:ind w:left="1843" w:hanging="567"/>
    </w:pPr>
    <w:rPr>
      <w:rFonts w:ascii="Times New Roman" w:hAnsi="Times New Roman"/>
      <w:i w:val="0"/>
      <w:iCs w:val="0"/>
      <w:color w:val="auto"/>
      <w:sz w:val="24"/>
      <w:szCs w:val="28"/>
    </w:rPr>
  </w:style>
  <w:style w:type="character" w:customStyle="1" w:styleId="Nadpis411Char">
    <w:name w:val="Nadpis 4 (1.1) Char"/>
    <w:basedOn w:val="Standardnpsmoodstavce"/>
    <w:link w:val="Nadpis411"/>
    <w:rsid w:val="007076C8"/>
    <w:rPr>
      <w:rFonts w:ascii="Times New Roman" w:eastAsia="Times New Roman" w:hAnsi="Times New Roman"/>
      <w:b/>
      <w:bCs/>
      <w:sz w:val="24"/>
      <w:szCs w:val="28"/>
    </w:rPr>
  </w:style>
  <w:style w:type="paragraph" w:customStyle="1" w:styleId="Nadpis5111">
    <w:name w:val="Nadpis 5 (1.1.1)"/>
    <w:basedOn w:val="Nadpis5"/>
    <w:autoRedefine/>
    <w:qFormat/>
    <w:rsid w:val="007076C8"/>
    <w:pPr>
      <w:keepNext/>
      <w:tabs>
        <w:tab w:val="num" w:pos="1843"/>
      </w:tabs>
      <w:ind w:left="1843" w:hanging="567"/>
    </w:pPr>
    <w:rPr>
      <w:rFonts w:ascii="Times New Roman" w:hAnsi="Times New Roman"/>
      <w:i w:val="0"/>
      <w:sz w:val="24"/>
    </w:rPr>
  </w:style>
  <w:style w:type="paragraph" w:customStyle="1" w:styleId="Nadpis61111">
    <w:name w:val="Nadpis 6 (1.1.1.1)"/>
    <w:basedOn w:val="Nadpis6"/>
    <w:qFormat/>
    <w:rsid w:val="007076C8"/>
    <w:pPr>
      <w:keepNext/>
      <w:numPr>
        <w:ilvl w:val="0"/>
        <w:numId w:val="0"/>
      </w:numPr>
      <w:tabs>
        <w:tab w:val="num" w:pos="2126"/>
      </w:tabs>
      <w:spacing w:before="120" w:after="120"/>
      <w:ind w:left="2126" w:hanging="850"/>
    </w:pPr>
    <w:rPr>
      <w:rFonts w:ascii="Times New Roman" w:hAnsi="Times New Roman"/>
      <w:b/>
      <w:i/>
      <w:color w:val="000000" w:themeColor="text1"/>
      <w:szCs w:val="24"/>
    </w:rPr>
  </w:style>
  <w:style w:type="paragraph" w:customStyle="1" w:styleId="Odrazka11">
    <w:name w:val="Odrazka 1.1"/>
    <w:basedOn w:val="Normln"/>
    <w:link w:val="Odrazka11Char"/>
    <w:qFormat/>
    <w:rsid w:val="00A06010"/>
    <w:pPr>
      <w:numPr>
        <w:numId w:val="35"/>
      </w:numPr>
      <w:spacing w:line="276" w:lineRule="auto"/>
      <w:ind w:left="1701" w:hanging="425"/>
    </w:pPr>
    <w:rPr>
      <w:rFonts w:ascii="Times New Roman" w:eastAsia="Times New Roman" w:hAnsi="Times New Roman"/>
      <w:color w:val="000000" w:themeColor="text1"/>
      <w:szCs w:val="24"/>
    </w:rPr>
  </w:style>
  <w:style w:type="character" w:customStyle="1" w:styleId="Odrazka11Char">
    <w:name w:val="Odrazka 1.1 Char"/>
    <w:basedOn w:val="Standardnpsmoodstavce"/>
    <w:link w:val="Odrazka11"/>
    <w:rsid w:val="00A06010"/>
    <w:rPr>
      <w:rFonts w:ascii="Times New Roman" w:eastAsia="Times New Roman" w:hAnsi="Times New Roman"/>
      <w:color w:val="000000" w:themeColor="text1"/>
      <w:sz w:val="24"/>
      <w:szCs w:val="24"/>
    </w:rPr>
  </w:style>
  <w:style w:type="paragraph" w:customStyle="1" w:styleId="Text1">
    <w:name w:val="Text 1"/>
    <w:basedOn w:val="Normln"/>
    <w:link w:val="Text1Char"/>
    <w:qFormat/>
    <w:rsid w:val="00A3474F"/>
    <w:pPr>
      <w:ind w:left="567"/>
    </w:pPr>
    <w:rPr>
      <w:rFonts w:ascii="Times New Roman" w:eastAsia="Times New Roman" w:hAnsi="Times New Roman"/>
      <w:szCs w:val="20"/>
    </w:rPr>
  </w:style>
  <w:style w:type="character" w:customStyle="1" w:styleId="Text1Char">
    <w:name w:val="Text 1 Char"/>
    <w:basedOn w:val="Standardnpsmoodstavce"/>
    <w:link w:val="Text1"/>
    <w:rsid w:val="00A3474F"/>
    <w:rPr>
      <w:rFonts w:ascii="Times New Roman" w:eastAsia="Times New Roman" w:hAnsi="Times New Roman"/>
      <w:sz w:val="24"/>
    </w:rPr>
  </w:style>
  <w:style w:type="character" w:customStyle="1" w:styleId="preformatted">
    <w:name w:val="preformatted"/>
    <w:basedOn w:val="Standardnpsmoodstavce"/>
    <w:rsid w:val="00A3110D"/>
  </w:style>
  <w:style w:type="character" w:customStyle="1" w:styleId="Nevyeenzmnka6">
    <w:name w:val="Nevyřešená zmínka6"/>
    <w:basedOn w:val="Standardnpsmoodstavce"/>
    <w:uiPriority w:val="99"/>
    <w:semiHidden/>
    <w:unhideWhenUsed/>
    <w:rsid w:val="003A3AD8"/>
    <w:rPr>
      <w:color w:val="605E5C"/>
      <w:shd w:val="clear" w:color="auto" w:fill="E1DFDD"/>
    </w:rPr>
  </w:style>
  <w:style w:type="character" w:customStyle="1" w:styleId="rs-person">
    <w:name w:val="rs-person"/>
    <w:basedOn w:val="Standardnpsmoodstavce"/>
    <w:rsid w:val="00127226"/>
  </w:style>
  <w:style w:type="character" w:customStyle="1" w:styleId="author">
    <w:name w:val="author"/>
    <w:basedOn w:val="Standardnpsmoodstavce"/>
    <w:rsid w:val="00127226"/>
  </w:style>
  <w:style w:type="character" w:customStyle="1" w:styleId="Marker">
    <w:name w:val="Marker"/>
    <w:basedOn w:val="Standardnpsmoodstavce"/>
    <w:rsid w:val="004A55DB"/>
    <w:rPr>
      <w:color w:val="0000FF"/>
      <w:shd w:val="clear" w:color="auto" w:fill="auto"/>
    </w:rPr>
  </w:style>
  <w:style w:type="paragraph" w:customStyle="1" w:styleId="Pagedecouverture">
    <w:name w:val="Page de couverture"/>
    <w:basedOn w:val="Normln"/>
    <w:next w:val="Normln"/>
    <w:rsid w:val="004A55DB"/>
    <w:pPr>
      <w:spacing w:before="0" w:after="0"/>
    </w:pPr>
    <w:rPr>
      <w:rFonts w:ascii="Times New Roman" w:eastAsiaTheme="minorHAnsi" w:hAnsi="Times New Roman"/>
      <w:lang w:val="en-GB"/>
    </w:rPr>
  </w:style>
  <w:style w:type="paragraph" w:customStyle="1" w:styleId="FooterCoverPage">
    <w:name w:val="Footer Cover Page"/>
    <w:basedOn w:val="Normln"/>
    <w:link w:val="FooterCoverPageChar"/>
    <w:rsid w:val="004A55DB"/>
    <w:pPr>
      <w:tabs>
        <w:tab w:val="center" w:pos="4535"/>
        <w:tab w:val="right" w:pos="9071"/>
        <w:tab w:val="right" w:pos="9921"/>
      </w:tabs>
      <w:spacing w:before="360" w:after="0"/>
      <w:ind w:left="-850" w:right="-850"/>
      <w:jc w:val="left"/>
    </w:pPr>
    <w:rPr>
      <w:rFonts w:ascii="Times New Roman" w:eastAsiaTheme="minorHAnsi" w:hAnsi="Times New Roman"/>
      <w:lang w:val="en-GB"/>
    </w:rPr>
  </w:style>
  <w:style w:type="character" w:customStyle="1" w:styleId="FooterCoverPageChar">
    <w:name w:val="Footer Cover Page Char"/>
    <w:basedOn w:val="Standardnpsmoodstavce"/>
    <w:link w:val="FooterCoverPage"/>
    <w:rsid w:val="004A55DB"/>
    <w:rPr>
      <w:rFonts w:ascii="Times New Roman" w:eastAsiaTheme="minorHAnsi" w:hAnsi="Times New Roman"/>
      <w:sz w:val="24"/>
      <w:szCs w:val="22"/>
      <w:lang w:val="en-GB"/>
    </w:rPr>
  </w:style>
  <w:style w:type="paragraph" w:customStyle="1" w:styleId="HeaderCoverPage">
    <w:name w:val="Header Cover Page"/>
    <w:basedOn w:val="Normln"/>
    <w:link w:val="HeaderCoverPageChar"/>
    <w:rsid w:val="004A55DB"/>
    <w:pPr>
      <w:tabs>
        <w:tab w:val="center" w:pos="4535"/>
        <w:tab w:val="right" w:pos="9071"/>
      </w:tabs>
      <w:spacing w:before="0"/>
    </w:pPr>
    <w:rPr>
      <w:rFonts w:ascii="Times New Roman" w:eastAsiaTheme="minorHAnsi" w:hAnsi="Times New Roman"/>
      <w:lang w:val="en-GB"/>
    </w:rPr>
  </w:style>
  <w:style w:type="character" w:customStyle="1" w:styleId="HeaderCoverPageChar">
    <w:name w:val="Header Cover Page Char"/>
    <w:basedOn w:val="Standardnpsmoodstavce"/>
    <w:link w:val="HeaderCoverPage"/>
    <w:rsid w:val="004A55DB"/>
    <w:rPr>
      <w:rFonts w:ascii="Times New Roman" w:eastAsiaTheme="minorHAnsi" w:hAnsi="Times New Roman"/>
      <w:sz w:val="24"/>
      <w:szCs w:val="22"/>
      <w:lang w:val="en-GB"/>
    </w:rPr>
  </w:style>
  <w:style w:type="paragraph" w:customStyle="1" w:styleId="HeaderLandscape">
    <w:name w:val="HeaderLandscape"/>
    <w:basedOn w:val="Normln"/>
    <w:rsid w:val="004A55DB"/>
    <w:pPr>
      <w:tabs>
        <w:tab w:val="center" w:pos="7285"/>
        <w:tab w:val="right" w:pos="14003"/>
      </w:tabs>
      <w:spacing w:before="0"/>
    </w:pPr>
    <w:rPr>
      <w:rFonts w:ascii="Times New Roman" w:eastAsiaTheme="minorHAnsi" w:hAnsi="Times New Roman"/>
      <w:lang w:val="en-GB"/>
    </w:rPr>
  </w:style>
  <w:style w:type="paragraph" w:customStyle="1" w:styleId="FooterLandscape">
    <w:name w:val="FooterLandscape"/>
    <w:basedOn w:val="Normln"/>
    <w:rsid w:val="004A55DB"/>
    <w:pPr>
      <w:tabs>
        <w:tab w:val="center" w:pos="7285"/>
        <w:tab w:val="center" w:pos="10913"/>
        <w:tab w:val="right" w:pos="15137"/>
      </w:tabs>
      <w:spacing w:before="360" w:after="0"/>
      <w:ind w:left="-567" w:right="-567"/>
      <w:jc w:val="left"/>
    </w:pPr>
    <w:rPr>
      <w:rFonts w:ascii="Times New Roman" w:eastAsiaTheme="minorHAnsi" w:hAnsi="Times New Roman"/>
      <w:lang w:val="en-GB"/>
    </w:rPr>
  </w:style>
  <w:style w:type="paragraph" w:customStyle="1" w:styleId="Text2">
    <w:name w:val="Text 2"/>
    <w:basedOn w:val="Normln"/>
    <w:rsid w:val="004A55DB"/>
    <w:pPr>
      <w:ind w:left="1417"/>
    </w:pPr>
    <w:rPr>
      <w:rFonts w:ascii="Times New Roman" w:eastAsiaTheme="minorHAnsi" w:hAnsi="Times New Roman"/>
      <w:lang w:val="en-GB"/>
    </w:rPr>
  </w:style>
  <w:style w:type="paragraph" w:customStyle="1" w:styleId="Text3">
    <w:name w:val="Text 3"/>
    <w:basedOn w:val="Normln"/>
    <w:rsid w:val="004A55DB"/>
    <w:pPr>
      <w:ind w:left="1984"/>
    </w:pPr>
    <w:rPr>
      <w:rFonts w:ascii="Times New Roman" w:eastAsiaTheme="minorHAnsi" w:hAnsi="Times New Roman"/>
      <w:lang w:val="en-GB"/>
    </w:rPr>
  </w:style>
  <w:style w:type="paragraph" w:customStyle="1" w:styleId="Text4">
    <w:name w:val="Text 4"/>
    <w:basedOn w:val="Normln"/>
    <w:uiPriority w:val="99"/>
    <w:rsid w:val="004A55DB"/>
    <w:pPr>
      <w:ind w:left="2551"/>
    </w:pPr>
    <w:rPr>
      <w:rFonts w:ascii="Times New Roman" w:eastAsiaTheme="minorHAnsi" w:hAnsi="Times New Roman"/>
      <w:lang w:val="en-GB"/>
    </w:rPr>
  </w:style>
  <w:style w:type="paragraph" w:customStyle="1" w:styleId="NormalCentered">
    <w:name w:val="Normal Centered"/>
    <w:basedOn w:val="Normln"/>
    <w:uiPriority w:val="99"/>
    <w:rsid w:val="004A55DB"/>
    <w:pPr>
      <w:jc w:val="center"/>
    </w:pPr>
    <w:rPr>
      <w:rFonts w:ascii="Times New Roman" w:eastAsiaTheme="minorHAnsi" w:hAnsi="Times New Roman"/>
      <w:lang w:val="en-GB"/>
    </w:rPr>
  </w:style>
  <w:style w:type="paragraph" w:customStyle="1" w:styleId="NormalLeft">
    <w:name w:val="Normal Left"/>
    <w:basedOn w:val="Normln"/>
    <w:rsid w:val="004A55DB"/>
    <w:pPr>
      <w:jc w:val="left"/>
    </w:pPr>
    <w:rPr>
      <w:rFonts w:ascii="Times New Roman" w:eastAsiaTheme="minorHAnsi" w:hAnsi="Times New Roman"/>
      <w:lang w:val="en-GB"/>
    </w:rPr>
  </w:style>
  <w:style w:type="paragraph" w:customStyle="1" w:styleId="NormalRight">
    <w:name w:val="Normal Right"/>
    <w:basedOn w:val="Normln"/>
    <w:rsid w:val="004A55DB"/>
    <w:pPr>
      <w:jc w:val="right"/>
    </w:pPr>
    <w:rPr>
      <w:rFonts w:ascii="Times New Roman" w:eastAsiaTheme="minorHAnsi" w:hAnsi="Times New Roman"/>
      <w:lang w:val="en-GB"/>
    </w:rPr>
  </w:style>
  <w:style w:type="paragraph" w:customStyle="1" w:styleId="QuotedText">
    <w:name w:val="Quoted Text"/>
    <w:basedOn w:val="Normln"/>
    <w:rsid w:val="004A55DB"/>
    <w:pPr>
      <w:ind w:left="1417"/>
    </w:pPr>
    <w:rPr>
      <w:rFonts w:ascii="Times New Roman" w:eastAsiaTheme="minorHAnsi" w:hAnsi="Times New Roman"/>
      <w:lang w:val="en-GB"/>
    </w:rPr>
  </w:style>
  <w:style w:type="paragraph" w:customStyle="1" w:styleId="Point0">
    <w:name w:val="Point 0"/>
    <w:basedOn w:val="Normln"/>
    <w:uiPriority w:val="99"/>
    <w:rsid w:val="004A55DB"/>
    <w:pPr>
      <w:ind w:left="850" w:hanging="850"/>
    </w:pPr>
    <w:rPr>
      <w:rFonts w:ascii="Times New Roman" w:eastAsiaTheme="minorHAnsi" w:hAnsi="Times New Roman"/>
      <w:lang w:val="en-GB"/>
    </w:rPr>
  </w:style>
  <w:style w:type="paragraph" w:customStyle="1" w:styleId="Point4">
    <w:name w:val="Point 4"/>
    <w:basedOn w:val="Normln"/>
    <w:rsid w:val="004A55DB"/>
    <w:pPr>
      <w:ind w:left="3118" w:hanging="567"/>
    </w:pPr>
    <w:rPr>
      <w:rFonts w:ascii="Times New Roman" w:eastAsiaTheme="minorHAnsi" w:hAnsi="Times New Roman"/>
      <w:lang w:val="en-GB"/>
    </w:rPr>
  </w:style>
  <w:style w:type="paragraph" w:customStyle="1" w:styleId="Tiret0">
    <w:name w:val="Tiret 0"/>
    <w:basedOn w:val="Point0"/>
    <w:uiPriority w:val="99"/>
    <w:rsid w:val="004A55DB"/>
    <w:pPr>
      <w:numPr>
        <w:numId w:val="37"/>
      </w:numPr>
    </w:pPr>
  </w:style>
  <w:style w:type="paragraph" w:customStyle="1" w:styleId="Tiret1">
    <w:name w:val="Tiret 1"/>
    <w:basedOn w:val="Point1"/>
    <w:uiPriority w:val="99"/>
    <w:rsid w:val="004A55DB"/>
    <w:pPr>
      <w:widowControl/>
      <w:numPr>
        <w:numId w:val="38"/>
      </w:numPr>
    </w:pPr>
    <w:rPr>
      <w:rFonts w:eastAsiaTheme="minorHAnsi"/>
      <w:szCs w:val="22"/>
      <w:lang w:val="en-GB" w:eastAsia="en-US"/>
    </w:rPr>
  </w:style>
  <w:style w:type="paragraph" w:customStyle="1" w:styleId="Tiret2">
    <w:name w:val="Tiret 2"/>
    <w:basedOn w:val="Point2"/>
    <w:rsid w:val="004A55DB"/>
    <w:pPr>
      <w:numPr>
        <w:numId w:val="39"/>
      </w:numPr>
      <w:spacing w:line="240" w:lineRule="auto"/>
      <w:jc w:val="both"/>
    </w:pPr>
    <w:rPr>
      <w:rFonts w:eastAsiaTheme="minorHAnsi"/>
      <w:szCs w:val="22"/>
      <w:lang w:val="en-GB"/>
    </w:rPr>
  </w:style>
  <w:style w:type="paragraph" w:customStyle="1" w:styleId="Tiret3">
    <w:name w:val="Tiret 3"/>
    <w:basedOn w:val="Point3"/>
    <w:rsid w:val="004A55DB"/>
    <w:pPr>
      <w:numPr>
        <w:numId w:val="40"/>
      </w:numPr>
      <w:spacing w:line="240" w:lineRule="auto"/>
      <w:jc w:val="both"/>
    </w:pPr>
    <w:rPr>
      <w:rFonts w:eastAsiaTheme="minorHAnsi"/>
      <w:szCs w:val="22"/>
      <w:lang w:val="en-GB"/>
    </w:rPr>
  </w:style>
  <w:style w:type="paragraph" w:customStyle="1" w:styleId="Tiret4">
    <w:name w:val="Tiret 4"/>
    <w:basedOn w:val="Point4"/>
    <w:rsid w:val="004A55DB"/>
    <w:pPr>
      <w:numPr>
        <w:numId w:val="41"/>
      </w:numPr>
    </w:pPr>
  </w:style>
  <w:style w:type="paragraph" w:customStyle="1" w:styleId="PointDouble0">
    <w:name w:val="PointDouble 0"/>
    <w:basedOn w:val="Normln"/>
    <w:rsid w:val="004A55DB"/>
    <w:pPr>
      <w:tabs>
        <w:tab w:val="left" w:pos="850"/>
      </w:tabs>
      <w:ind w:left="1417" w:hanging="1417"/>
    </w:pPr>
    <w:rPr>
      <w:rFonts w:ascii="Times New Roman" w:eastAsiaTheme="minorHAnsi" w:hAnsi="Times New Roman"/>
      <w:lang w:val="en-GB"/>
    </w:rPr>
  </w:style>
  <w:style w:type="paragraph" w:customStyle="1" w:styleId="PointDouble1">
    <w:name w:val="PointDouble 1"/>
    <w:basedOn w:val="Normln"/>
    <w:rsid w:val="004A55DB"/>
    <w:pPr>
      <w:tabs>
        <w:tab w:val="left" w:pos="1417"/>
      </w:tabs>
      <w:ind w:left="1984" w:hanging="1134"/>
    </w:pPr>
    <w:rPr>
      <w:rFonts w:ascii="Times New Roman" w:eastAsiaTheme="minorHAnsi" w:hAnsi="Times New Roman"/>
      <w:lang w:val="en-GB"/>
    </w:rPr>
  </w:style>
  <w:style w:type="paragraph" w:customStyle="1" w:styleId="PointDouble2">
    <w:name w:val="PointDouble 2"/>
    <w:basedOn w:val="Normln"/>
    <w:rsid w:val="004A55DB"/>
    <w:pPr>
      <w:tabs>
        <w:tab w:val="left" w:pos="1984"/>
      </w:tabs>
      <w:ind w:left="2551" w:hanging="1134"/>
    </w:pPr>
    <w:rPr>
      <w:rFonts w:ascii="Times New Roman" w:eastAsiaTheme="minorHAnsi" w:hAnsi="Times New Roman"/>
      <w:lang w:val="en-GB"/>
    </w:rPr>
  </w:style>
  <w:style w:type="paragraph" w:customStyle="1" w:styleId="PointDouble3">
    <w:name w:val="PointDouble 3"/>
    <w:basedOn w:val="Normln"/>
    <w:rsid w:val="004A55DB"/>
    <w:pPr>
      <w:tabs>
        <w:tab w:val="left" w:pos="2551"/>
      </w:tabs>
      <w:ind w:left="3118" w:hanging="1134"/>
    </w:pPr>
    <w:rPr>
      <w:rFonts w:ascii="Times New Roman" w:eastAsiaTheme="minorHAnsi" w:hAnsi="Times New Roman"/>
      <w:lang w:val="en-GB"/>
    </w:rPr>
  </w:style>
  <w:style w:type="paragraph" w:customStyle="1" w:styleId="PointDouble4">
    <w:name w:val="PointDouble 4"/>
    <w:basedOn w:val="Normln"/>
    <w:rsid w:val="004A55DB"/>
    <w:pPr>
      <w:tabs>
        <w:tab w:val="left" w:pos="3118"/>
      </w:tabs>
      <w:ind w:left="3685" w:hanging="1134"/>
    </w:pPr>
    <w:rPr>
      <w:rFonts w:ascii="Times New Roman" w:eastAsiaTheme="minorHAnsi" w:hAnsi="Times New Roman"/>
      <w:lang w:val="en-GB"/>
    </w:rPr>
  </w:style>
  <w:style w:type="paragraph" w:customStyle="1" w:styleId="PointTriple0">
    <w:name w:val="PointTriple 0"/>
    <w:basedOn w:val="Normln"/>
    <w:rsid w:val="004A55DB"/>
    <w:pPr>
      <w:tabs>
        <w:tab w:val="left" w:pos="850"/>
        <w:tab w:val="left" w:pos="1417"/>
      </w:tabs>
      <w:ind w:left="1984" w:hanging="1984"/>
    </w:pPr>
    <w:rPr>
      <w:rFonts w:ascii="Times New Roman" w:eastAsiaTheme="minorHAnsi" w:hAnsi="Times New Roman"/>
      <w:lang w:val="en-GB"/>
    </w:rPr>
  </w:style>
  <w:style w:type="paragraph" w:customStyle="1" w:styleId="PointTriple1">
    <w:name w:val="PointTriple 1"/>
    <w:basedOn w:val="Normln"/>
    <w:rsid w:val="004A55DB"/>
    <w:pPr>
      <w:tabs>
        <w:tab w:val="left" w:pos="1417"/>
        <w:tab w:val="left" w:pos="1984"/>
      </w:tabs>
      <w:ind w:left="2551" w:hanging="1701"/>
    </w:pPr>
    <w:rPr>
      <w:rFonts w:ascii="Times New Roman" w:eastAsiaTheme="minorHAnsi" w:hAnsi="Times New Roman"/>
      <w:lang w:val="en-GB"/>
    </w:rPr>
  </w:style>
  <w:style w:type="paragraph" w:customStyle="1" w:styleId="PointTriple2">
    <w:name w:val="PointTriple 2"/>
    <w:basedOn w:val="Normln"/>
    <w:rsid w:val="004A55DB"/>
    <w:pPr>
      <w:tabs>
        <w:tab w:val="left" w:pos="1984"/>
        <w:tab w:val="left" w:pos="2551"/>
      </w:tabs>
      <w:ind w:left="3118" w:hanging="1701"/>
    </w:pPr>
    <w:rPr>
      <w:rFonts w:ascii="Times New Roman" w:eastAsiaTheme="minorHAnsi" w:hAnsi="Times New Roman"/>
      <w:lang w:val="en-GB"/>
    </w:rPr>
  </w:style>
  <w:style w:type="paragraph" w:customStyle="1" w:styleId="PointTriple3">
    <w:name w:val="PointTriple 3"/>
    <w:basedOn w:val="Normln"/>
    <w:rsid w:val="004A55DB"/>
    <w:pPr>
      <w:tabs>
        <w:tab w:val="left" w:pos="2551"/>
        <w:tab w:val="left" w:pos="3118"/>
      </w:tabs>
      <w:ind w:left="3685" w:hanging="1701"/>
    </w:pPr>
    <w:rPr>
      <w:rFonts w:ascii="Times New Roman" w:eastAsiaTheme="minorHAnsi" w:hAnsi="Times New Roman"/>
      <w:lang w:val="en-GB"/>
    </w:rPr>
  </w:style>
  <w:style w:type="paragraph" w:customStyle="1" w:styleId="PointTriple4">
    <w:name w:val="PointTriple 4"/>
    <w:basedOn w:val="Normln"/>
    <w:rsid w:val="004A55DB"/>
    <w:pPr>
      <w:tabs>
        <w:tab w:val="left" w:pos="3118"/>
        <w:tab w:val="left" w:pos="3685"/>
      </w:tabs>
      <w:ind w:left="4252" w:hanging="1701"/>
    </w:pPr>
    <w:rPr>
      <w:rFonts w:ascii="Times New Roman" w:eastAsiaTheme="minorHAnsi" w:hAnsi="Times New Roman"/>
      <w:lang w:val="en-GB"/>
    </w:rPr>
  </w:style>
  <w:style w:type="paragraph" w:customStyle="1" w:styleId="NumPar1">
    <w:name w:val="NumPar 1"/>
    <w:basedOn w:val="Normln"/>
    <w:next w:val="Text1"/>
    <w:rsid w:val="004A55DB"/>
    <w:pPr>
      <w:numPr>
        <w:numId w:val="42"/>
      </w:numPr>
    </w:pPr>
    <w:rPr>
      <w:rFonts w:ascii="Times New Roman" w:eastAsiaTheme="minorHAnsi" w:hAnsi="Times New Roman"/>
      <w:lang w:val="en-GB"/>
    </w:rPr>
  </w:style>
  <w:style w:type="paragraph" w:customStyle="1" w:styleId="NumPar2">
    <w:name w:val="NumPar 2"/>
    <w:basedOn w:val="Normln"/>
    <w:next w:val="Text1"/>
    <w:rsid w:val="004A55DB"/>
    <w:pPr>
      <w:numPr>
        <w:ilvl w:val="1"/>
        <w:numId w:val="42"/>
      </w:numPr>
    </w:pPr>
    <w:rPr>
      <w:rFonts w:ascii="Times New Roman" w:eastAsiaTheme="minorHAnsi" w:hAnsi="Times New Roman"/>
      <w:lang w:val="en-GB"/>
    </w:rPr>
  </w:style>
  <w:style w:type="paragraph" w:customStyle="1" w:styleId="NumPar3">
    <w:name w:val="NumPar 3"/>
    <w:basedOn w:val="Normln"/>
    <w:next w:val="Text1"/>
    <w:rsid w:val="004A55DB"/>
    <w:pPr>
      <w:numPr>
        <w:ilvl w:val="2"/>
        <w:numId w:val="42"/>
      </w:numPr>
    </w:pPr>
    <w:rPr>
      <w:rFonts w:ascii="Times New Roman" w:eastAsiaTheme="minorHAnsi" w:hAnsi="Times New Roman"/>
      <w:lang w:val="en-GB"/>
    </w:rPr>
  </w:style>
  <w:style w:type="paragraph" w:customStyle="1" w:styleId="NumPar4">
    <w:name w:val="NumPar 4"/>
    <w:basedOn w:val="Normln"/>
    <w:next w:val="Text1"/>
    <w:rsid w:val="004A55DB"/>
    <w:pPr>
      <w:numPr>
        <w:ilvl w:val="3"/>
        <w:numId w:val="42"/>
      </w:numPr>
    </w:pPr>
    <w:rPr>
      <w:rFonts w:ascii="Times New Roman" w:eastAsiaTheme="minorHAnsi" w:hAnsi="Times New Roman"/>
      <w:lang w:val="en-GB"/>
    </w:rPr>
  </w:style>
  <w:style w:type="paragraph" w:customStyle="1" w:styleId="ManualNumPar1">
    <w:name w:val="Manual NumPar 1"/>
    <w:basedOn w:val="Normln"/>
    <w:next w:val="Text1"/>
    <w:rsid w:val="004A55DB"/>
    <w:pPr>
      <w:ind w:left="850" w:hanging="850"/>
    </w:pPr>
    <w:rPr>
      <w:rFonts w:ascii="Times New Roman" w:eastAsiaTheme="minorHAnsi" w:hAnsi="Times New Roman"/>
      <w:lang w:val="en-GB"/>
    </w:rPr>
  </w:style>
  <w:style w:type="paragraph" w:customStyle="1" w:styleId="ManualNumPar2">
    <w:name w:val="Manual NumPar 2"/>
    <w:basedOn w:val="Normln"/>
    <w:next w:val="Text1"/>
    <w:rsid w:val="004A55DB"/>
    <w:pPr>
      <w:ind w:left="850" w:hanging="850"/>
    </w:pPr>
    <w:rPr>
      <w:rFonts w:ascii="Times New Roman" w:eastAsiaTheme="minorHAnsi" w:hAnsi="Times New Roman"/>
      <w:lang w:val="en-GB"/>
    </w:rPr>
  </w:style>
  <w:style w:type="paragraph" w:customStyle="1" w:styleId="ManualNumPar3">
    <w:name w:val="Manual NumPar 3"/>
    <w:basedOn w:val="Normln"/>
    <w:next w:val="Text1"/>
    <w:rsid w:val="004A55DB"/>
    <w:pPr>
      <w:ind w:left="850" w:hanging="850"/>
    </w:pPr>
    <w:rPr>
      <w:rFonts w:ascii="Times New Roman" w:eastAsiaTheme="minorHAnsi" w:hAnsi="Times New Roman"/>
      <w:lang w:val="en-GB"/>
    </w:rPr>
  </w:style>
  <w:style w:type="paragraph" w:customStyle="1" w:styleId="ManualNumPar4">
    <w:name w:val="Manual NumPar 4"/>
    <w:basedOn w:val="Normln"/>
    <w:next w:val="Text1"/>
    <w:rsid w:val="004A55DB"/>
    <w:pPr>
      <w:ind w:left="850" w:hanging="850"/>
    </w:pPr>
    <w:rPr>
      <w:rFonts w:ascii="Times New Roman" w:eastAsiaTheme="minorHAnsi" w:hAnsi="Times New Roman"/>
      <w:lang w:val="en-GB"/>
    </w:rPr>
  </w:style>
  <w:style w:type="paragraph" w:customStyle="1" w:styleId="QuotedNumPar">
    <w:name w:val="Quoted NumPar"/>
    <w:basedOn w:val="Normln"/>
    <w:rsid w:val="004A55DB"/>
    <w:pPr>
      <w:ind w:left="1417" w:hanging="567"/>
    </w:pPr>
    <w:rPr>
      <w:rFonts w:ascii="Times New Roman" w:eastAsiaTheme="minorHAnsi" w:hAnsi="Times New Roman"/>
      <w:lang w:val="en-GB"/>
    </w:rPr>
  </w:style>
  <w:style w:type="paragraph" w:customStyle="1" w:styleId="ManualHeading1">
    <w:name w:val="Manual Heading 1"/>
    <w:basedOn w:val="Normln"/>
    <w:next w:val="Text1"/>
    <w:rsid w:val="004A55DB"/>
    <w:pPr>
      <w:keepNext/>
      <w:tabs>
        <w:tab w:val="left" w:pos="850"/>
      </w:tabs>
      <w:spacing w:before="360"/>
      <w:ind w:left="850" w:hanging="850"/>
      <w:outlineLvl w:val="0"/>
    </w:pPr>
    <w:rPr>
      <w:rFonts w:ascii="Times New Roman" w:eastAsiaTheme="minorHAnsi" w:hAnsi="Times New Roman"/>
      <w:b/>
      <w:smallCaps/>
      <w:lang w:val="en-GB"/>
    </w:rPr>
  </w:style>
  <w:style w:type="paragraph" w:customStyle="1" w:styleId="ManualHeading2">
    <w:name w:val="Manual Heading 2"/>
    <w:basedOn w:val="Normln"/>
    <w:next w:val="Text1"/>
    <w:rsid w:val="004A55DB"/>
    <w:pPr>
      <w:keepNext/>
      <w:tabs>
        <w:tab w:val="left" w:pos="850"/>
      </w:tabs>
      <w:ind w:left="850" w:hanging="850"/>
      <w:outlineLvl w:val="1"/>
    </w:pPr>
    <w:rPr>
      <w:rFonts w:ascii="Times New Roman" w:eastAsiaTheme="minorHAnsi" w:hAnsi="Times New Roman"/>
      <w:b/>
      <w:lang w:val="en-GB"/>
    </w:rPr>
  </w:style>
  <w:style w:type="paragraph" w:customStyle="1" w:styleId="ManualHeading3">
    <w:name w:val="Manual Heading 3"/>
    <w:basedOn w:val="Normln"/>
    <w:next w:val="Text1"/>
    <w:rsid w:val="004A55DB"/>
    <w:pPr>
      <w:keepNext/>
      <w:tabs>
        <w:tab w:val="left" w:pos="850"/>
      </w:tabs>
      <w:ind w:left="850" w:hanging="850"/>
      <w:outlineLvl w:val="2"/>
    </w:pPr>
    <w:rPr>
      <w:rFonts w:ascii="Times New Roman" w:eastAsiaTheme="minorHAnsi" w:hAnsi="Times New Roman"/>
      <w:i/>
      <w:lang w:val="en-GB"/>
    </w:rPr>
  </w:style>
  <w:style w:type="paragraph" w:customStyle="1" w:styleId="ManualHeading4">
    <w:name w:val="Manual Heading 4"/>
    <w:basedOn w:val="Normln"/>
    <w:next w:val="Text1"/>
    <w:rsid w:val="004A55DB"/>
    <w:pPr>
      <w:keepNext/>
      <w:tabs>
        <w:tab w:val="left" w:pos="850"/>
      </w:tabs>
      <w:ind w:left="850" w:hanging="850"/>
      <w:outlineLvl w:val="3"/>
    </w:pPr>
    <w:rPr>
      <w:rFonts w:ascii="Times New Roman" w:eastAsiaTheme="minorHAnsi" w:hAnsi="Times New Roman"/>
      <w:lang w:val="en-GB"/>
    </w:rPr>
  </w:style>
  <w:style w:type="paragraph" w:customStyle="1" w:styleId="ChapterTitle">
    <w:name w:val="ChapterTitle"/>
    <w:basedOn w:val="Normln"/>
    <w:next w:val="Normln"/>
    <w:rsid w:val="004A55DB"/>
    <w:pPr>
      <w:keepNext/>
      <w:spacing w:after="360"/>
      <w:jc w:val="center"/>
    </w:pPr>
    <w:rPr>
      <w:rFonts w:ascii="Times New Roman" w:eastAsiaTheme="minorHAnsi" w:hAnsi="Times New Roman"/>
      <w:b/>
      <w:sz w:val="32"/>
      <w:lang w:val="en-GB"/>
    </w:rPr>
  </w:style>
  <w:style w:type="paragraph" w:customStyle="1" w:styleId="PartTitle">
    <w:name w:val="PartTitle"/>
    <w:basedOn w:val="Normln"/>
    <w:next w:val="ChapterTitle"/>
    <w:rsid w:val="004A55DB"/>
    <w:pPr>
      <w:keepNext/>
      <w:pageBreakBefore/>
      <w:spacing w:after="360"/>
      <w:jc w:val="center"/>
    </w:pPr>
    <w:rPr>
      <w:rFonts w:ascii="Times New Roman" w:eastAsiaTheme="minorHAnsi" w:hAnsi="Times New Roman"/>
      <w:b/>
      <w:sz w:val="36"/>
      <w:lang w:val="en-GB"/>
    </w:rPr>
  </w:style>
  <w:style w:type="paragraph" w:customStyle="1" w:styleId="SectionTitle">
    <w:name w:val="SectionTitle"/>
    <w:basedOn w:val="Normln"/>
    <w:next w:val="Nadpis1"/>
    <w:uiPriority w:val="99"/>
    <w:rsid w:val="004A55DB"/>
    <w:pPr>
      <w:keepNext/>
      <w:spacing w:after="360"/>
      <w:jc w:val="center"/>
    </w:pPr>
    <w:rPr>
      <w:rFonts w:ascii="Times New Roman" w:eastAsiaTheme="minorHAnsi" w:hAnsi="Times New Roman"/>
      <w:b/>
      <w:smallCaps/>
      <w:sz w:val="28"/>
      <w:lang w:val="en-GB"/>
    </w:rPr>
  </w:style>
  <w:style w:type="paragraph" w:customStyle="1" w:styleId="TableTitle">
    <w:name w:val="Table Title"/>
    <w:basedOn w:val="Normln"/>
    <w:next w:val="Normln"/>
    <w:rsid w:val="004A55DB"/>
    <w:pPr>
      <w:jc w:val="center"/>
    </w:pPr>
    <w:rPr>
      <w:rFonts w:ascii="Times New Roman" w:eastAsiaTheme="minorHAnsi" w:hAnsi="Times New Roman"/>
      <w:b/>
      <w:lang w:val="en-GB"/>
    </w:rPr>
  </w:style>
  <w:style w:type="character" w:customStyle="1" w:styleId="Marker1">
    <w:name w:val="Marker1"/>
    <w:basedOn w:val="Standardnpsmoodstavce"/>
    <w:rsid w:val="004A55DB"/>
    <w:rPr>
      <w:color w:val="008000"/>
      <w:shd w:val="clear" w:color="auto" w:fill="auto"/>
    </w:rPr>
  </w:style>
  <w:style w:type="character" w:customStyle="1" w:styleId="Marker2">
    <w:name w:val="Marker2"/>
    <w:basedOn w:val="Standardnpsmoodstavce"/>
    <w:rsid w:val="004A55DB"/>
    <w:rPr>
      <w:color w:val="FF0000"/>
      <w:shd w:val="clear" w:color="auto" w:fill="auto"/>
    </w:rPr>
  </w:style>
  <w:style w:type="paragraph" w:customStyle="1" w:styleId="Point0number">
    <w:name w:val="Point 0 (number)"/>
    <w:basedOn w:val="Normln"/>
    <w:rsid w:val="004A55DB"/>
    <w:pPr>
      <w:numPr>
        <w:numId w:val="43"/>
      </w:numPr>
    </w:pPr>
    <w:rPr>
      <w:rFonts w:ascii="Times New Roman" w:eastAsiaTheme="minorHAnsi" w:hAnsi="Times New Roman"/>
      <w:lang w:val="en-GB"/>
    </w:rPr>
  </w:style>
  <w:style w:type="paragraph" w:customStyle="1" w:styleId="Point1number">
    <w:name w:val="Point 1 (number)"/>
    <w:basedOn w:val="Normln"/>
    <w:rsid w:val="004A55DB"/>
    <w:pPr>
      <w:numPr>
        <w:ilvl w:val="2"/>
        <w:numId w:val="43"/>
      </w:numPr>
    </w:pPr>
    <w:rPr>
      <w:rFonts w:ascii="Times New Roman" w:eastAsiaTheme="minorHAnsi" w:hAnsi="Times New Roman"/>
      <w:lang w:val="en-GB"/>
    </w:rPr>
  </w:style>
  <w:style w:type="paragraph" w:customStyle="1" w:styleId="Point2number">
    <w:name w:val="Point 2 (number)"/>
    <w:basedOn w:val="Normln"/>
    <w:rsid w:val="004A55DB"/>
    <w:pPr>
      <w:numPr>
        <w:ilvl w:val="4"/>
        <w:numId w:val="43"/>
      </w:numPr>
    </w:pPr>
    <w:rPr>
      <w:rFonts w:ascii="Times New Roman" w:eastAsiaTheme="minorHAnsi" w:hAnsi="Times New Roman"/>
      <w:lang w:val="en-GB"/>
    </w:rPr>
  </w:style>
  <w:style w:type="paragraph" w:customStyle="1" w:styleId="Point3number">
    <w:name w:val="Point 3 (number)"/>
    <w:basedOn w:val="Normln"/>
    <w:rsid w:val="004A55DB"/>
    <w:pPr>
      <w:numPr>
        <w:ilvl w:val="6"/>
        <w:numId w:val="43"/>
      </w:numPr>
    </w:pPr>
    <w:rPr>
      <w:rFonts w:ascii="Times New Roman" w:eastAsiaTheme="minorHAnsi" w:hAnsi="Times New Roman"/>
      <w:lang w:val="en-GB"/>
    </w:rPr>
  </w:style>
  <w:style w:type="paragraph" w:customStyle="1" w:styleId="Point0letter">
    <w:name w:val="Point 0 (letter)"/>
    <w:basedOn w:val="Normln"/>
    <w:rsid w:val="004A55DB"/>
    <w:pPr>
      <w:numPr>
        <w:ilvl w:val="1"/>
        <w:numId w:val="43"/>
      </w:numPr>
    </w:pPr>
    <w:rPr>
      <w:rFonts w:ascii="Times New Roman" w:eastAsiaTheme="minorHAnsi" w:hAnsi="Times New Roman"/>
      <w:lang w:val="en-GB"/>
    </w:rPr>
  </w:style>
  <w:style w:type="paragraph" w:customStyle="1" w:styleId="Point1letter">
    <w:name w:val="Point 1 (letter)"/>
    <w:basedOn w:val="Normln"/>
    <w:rsid w:val="004A55DB"/>
    <w:pPr>
      <w:numPr>
        <w:ilvl w:val="3"/>
        <w:numId w:val="43"/>
      </w:numPr>
    </w:pPr>
    <w:rPr>
      <w:rFonts w:ascii="Times New Roman" w:eastAsiaTheme="minorHAnsi" w:hAnsi="Times New Roman"/>
      <w:lang w:val="en-GB"/>
    </w:rPr>
  </w:style>
  <w:style w:type="paragraph" w:customStyle="1" w:styleId="Point2letter">
    <w:name w:val="Point 2 (letter)"/>
    <w:basedOn w:val="Normln"/>
    <w:rsid w:val="004A55DB"/>
    <w:pPr>
      <w:numPr>
        <w:ilvl w:val="5"/>
        <w:numId w:val="43"/>
      </w:numPr>
    </w:pPr>
    <w:rPr>
      <w:rFonts w:ascii="Times New Roman" w:eastAsiaTheme="minorHAnsi" w:hAnsi="Times New Roman"/>
      <w:lang w:val="en-GB"/>
    </w:rPr>
  </w:style>
  <w:style w:type="paragraph" w:customStyle="1" w:styleId="Point3letter">
    <w:name w:val="Point 3 (letter)"/>
    <w:basedOn w:val="Normln"/>
    <w:rsid w:val="004A55DB"/>
    <w:pPr>
      <w:numPr>
        <w:ilvl w:val="7"/>
        <w:numId w:val="43"/>
      </w:numPr>
    </w:pPr>
    <w:rPr>
      <w:rFonts w:ascii="Times New Roman" w:eastAsiaTheme="minorHAnsi" w:hAnsi="Times New Roman"/>
      <w:lang w:val="en-GB"/>
    </w:rPr>
  </w:style>
  <w:style w:type="paragraph" w:customStyle="1" w:styleId="Point4letter">
    <w:name w:val="Point 4 (letter)"/>
    <w:basedOn w:val="Normln"/>
    <w:rsid w:val="004A55DB"/>
    <w:pPr>
      <w:numPr>
        <w:ilvl w:val="8"/>
        <w:numId w:val="43"/>
      </w:numPr>
    </w:pPr>
    <w:rPr>
      <w:rFonts w:ascii="Times New Roman" w:eastAsiaTheme="minorHAnsi" w:hAnsi="Times New Roman"/>
      <w:lang w:val="en-GB"/>
    </w:rPr>
  </w:style>
  <w:style w:type="paragraph" w:customStyle="1" w:styleId="Bullet0">
    <w:name w:val="Bullet 0"/>
    <w:basedOn w:val="Normln"/>
    <w:uiPriority w:val="99"/>
    <w:rsid w:val="004A55DB"/>
    <w:pPr>
      <w:numPr>
        <w:numId w:val="44"/>
      </w:numPr>
    </w:pPr>
    <w:rPr>
      <w:rFonts w:ascii="Times New Roman" w:eastAsiaTheme="minorHAnsi" w:hAnsi="Times New Roman"/>
      <w:lang w:val="en-GB"/>
    </w:rPr>
  </w:style>
  <w:style w:type="paragraph" w:customStyle="1" w:styleId="Bullet3">
    <w:name w:val="Bullet 3"/>
    <w:basedOn w:val="Normln"/>
    <w:rsid w:val="004A55DB"/>
    <w:pPr>
      <w:numPr>
        <w:numId w:val="45"/>
      </w:numPr>
    </w:pPr>
    <w:rPr>
      <w:rFonts w:ascii="Times New Roman" w:eastAsiaTheme="minorHAnsi" w:hAnsi="Times New Roman"/>
      <w:lang w:val="en-GB"/>
    </w:rPr>
  </w:style>
  <w:style w:type="paragraph" w:customStyle="1" w:styleId="Bullet4">
    <w:name w:val="Bullet 4"/>
    <w:basedOn w:val="Normln"/>
    <w:rsid w:val="004A55DB"/>
    <w:pPr>
      <w:numPr>
        <w:numId w:val="46"/>
      </w:numPr>
    </w:pPr>
    <w:rPr>
      <w:rFonts w:ascii="Times New Roman" w:eastAsiaTheme="minorHAnsi" w:hAnsi="Times New Roman"/>
      <w:lang w:val="en-GB"/>
    </w:rPr>
  </w:style>
  <w:style w:type="paragraph" w:customStyle="1" w:styleId="Annexetitreexpos">
    <w:name w:val="Annexe titre (exposé)"/>
    <w:basedOn w:val="Normln"/>
    <w:next w:val="Normln"/>
    <w:rsid w:val="004A55DB"/>
    <w:pPr>
      <w:jc w:val="center"/>
    </w:pPr>
    <w:rPr>
      <w:rFonts w:ascii="Times New Roman" w:eastAsiaTheme="minorHAnsi" w:hAnsi="Times New Roman"/>
      <w:b/>
      <w:u w:val="single"/>
      <w:lang w:val="en-GB"/>
    </w:rPr>
  </w:style>
  <w:style w:type="paragraph" w:customStyle="1" w:styleId="Annexetitre">
    <w:name w:val="Annexe titre"/>
    <w:basedOn w:val="Normln"/>
    <w:next w:val="Normln"/>
    <w:rsid w:val="004A55DB"/>
    <w:pPr>
      <w:jc w:val="center"/>
    </w:pPr>
    <w:rPr>
      <w:rFonts w:ascii="Times New Roman" w:eastAsiaTheme="minorHAnsi" w:hAnsi="Times New Roman"/>
      <w:b/>
      <w:u w:val="single"/>
      <w:lang w:val="en-GB"/>
    </w:rPr>
  </w:style>
  <w:style w:type="paragraph" w:customStyle="1" w:styleId="Annexetitrefichefinancire">
    <w:name w:val="Annexe titre (fiche financière)"/>
    <w:basedOn w:val="Normln"/>
    <w:next w:val="Normln"/>
    <w:rsid w:val="004A55DB"/>
    <w:pPr>
      <w:jc w:val="center"/>
    </w:pPr>
    <w:rPr>
      <w:rFonts w:ascii="Times New Roman" w:eastAsiaTheme="minorHAnsi" w:hAnsi="Times New Roman"/>
      <w:b/>
      <w:u w:val="single"/>
      <w:lang w:val="en-GB"/>
    </w:rPr>
  </w:style>
  <w:style w:type="paragraph" w:customStyle="1" w:styleId="Applicationdirecte">
    <w:name w:val="Application directe"/>
    <w:basedOn w:val="Normln"/>
    <w:next w:val="Fait"/>
    <w:rsid w:val="004A55DB"/>
    <w:pPr>
      <w:spacing w:before="480"/>
    </w:pPr>
    <w:rPr>
      <w:rFonts w:ascii="Times New Roman" w:eastAsiaTheme="minorHAnsi" w:hAnsi="Times New Roman"/>
      <w:lang w:val="en-GB"/>
    </w:rPr>
  </w:style>
  <w:style w:type="paragraph" w:customStyle="1" w:styleId="Avertissementtitre">
    <w:name w:val="Avertissement titre"/>
    <w:basedOn w:val="Normln"/>
    <w:next w:val="Normln"/>
    <w:rsid w:val="004A55DB"/>
    <w:pPr>
      <w:keepNext/>
      <w:spacing w:before="480"/>
    </w:pPr>
    <w:rPr>
      <w:rFonts w:ascii="Times New Roman" w:eastAsiaTheme="minorHAnsi" w:hAnsi="Times New Roman"/>
      <w:u w:val="single"/>
      <w:lang w:val="en-GB"/>
    </w:rPr>
  </w:style>
  <w:style w:type="paragraph" w:customStyle="1" w:styleId="Confidence">
    <w:name w:val="Confidence"/>
    <w:basedOn w:val="Normln"/>
    <w:next w:val="Normln"/>
    <w:rsid w:val="004A55DB"/>
    <w:pPr>
      <w:spacing w:before="360"/>
      <w:jc w:val="center"/>
    </w:pPr>
    <w:rPr>
      <w:rFonts w:ascii="Times New Roman" w:eastAsiaTheme="minorHAnsi" w:hAnsi="Times New Roman"/>
      <w:lang w:val="en-GB"/>
    </w:rPr>
  </w:style>
  <w:style w:type="paragraph" w:customStyle="1" w:styleId="Considrant">
    <w:name w:val="Considérant"/>
    <w:basedOn w:val="Normln"/>
    <w:rsid w:val="004A55DB"/>
    <w:pPr>
      <w:numPr>
        <w:numId w:val="47"/>
      </w:numPr>
    </w:pPr>
    <w:rPr>
      <w:rFonts w:ascii="Times New Roman" w:eastAsiaTheme="minorHAnsi" w:hAnsi="Times New Roman"/>
      <w:lang w:val="en-GB"/>
    </w:rPr>
  </w:style>
  <w:style w:type="paragraph" w:customStyle="1" w:styleId="Corrigendum">
    <w:name w:val="Corrigendum"/>
    <w:basedOn w:val="Normln"/>
    <w:next w:val="Normln"/>
    <w:rsid w:val="004A55DB"/>
    <w:pPr>
      <w:spacing w:before="0" w:after="240"/>
      <w:jc w:val="left"/>
    </w:pPr>
    <w:rPr>
      <w:rFonts w:ascii="Times New Roman" w:eastAsiaTheme="minorHAnsi" w:hAnsi="Times New Roman"/>
      <w:lang w:val="en-GB"/>
    </w:rPr>
  </w:style>
  <w:style w:type="paragraph" w:customStyle="1" w:styleId="Datedadoption">
    <w:name w:val="Date d'adoption"/>
    <w:basedOn w:val="Normln"/>
    <w:next w:val="Titreobjet"/>
    <w:rsid w:val="004A55DB"/>
    <w:pPr>
      <w:spacing w:before="360" w:after="0"/>
      <w:jc w:val="center"/>
    </w:pPr>
    <w:rPr>
      <w:rFonts w:ascii="Times New Roman" w:eastAsiaTheme="minorHAnsi" w:hAnsi="Times New Roman"/>
      <w:b/>
      <w:lang w:val="en-GB"/>
    </w:rPr>
  </w:style>
  <w:style w:type="paragraph" w:customStyle="1" w:styleId="Emission">
    <w:name w:val="Emission"/>
    <w:basedOn w:val="Normln"/>
    <w:next w:val="Rfrenceinstitutionnelle"/>
    <w:rsid w:val="004A55DB"/>
    <w:pPr>
      <w:spacing w:before="0" w:after="0"/>
      <w:ind w:left="5103"/>
      <w:jc w:val="left"/>
    </w:pPr>
    <w:rPr>
      <w:rFonts w:ascii="Times New Roman" w:eastAsiaTheme="minorHAnsi" w:hAnsi="Times New Roman"/>
      <w:lang w:val="en-GB"/>
    </w:rPr>
  </w:style>
  <w:style w:type="paragraph" w:customStyle="1" w:styleId="Exposdesmotifstitre">
    <w:name w:val="Exposé des motifs titre"/>
    <w:basedOn w:val="Normln"/>
    <w:next w:val="Normln"/>
    <w:rsid w:val="004A55DB"/>
    <w:pPr>
      <w:jc w:val="center"/>
    </w:pPr>
    <w:rPr>
      <w:rFonts w:ascii="Times New Roman" w:eastAsiaTheme="minorHAnsi" w:hAnsi="Times New Roman"/>
      <w:b/>
      <w:u w:val="single"/>
      <w:lang w:val="en-GB"/>
    </w:rPr>
  </w:style>
  <w:style w:type="paragraph" w:customStyle="1" w:styleId="Fait">
    <w:name w:val="Fait à"/>
    <w:basedOn w:val="Normln"/>
    <w:next w:val="Institutionquisigne"/>
    <w:rsid w:val="004A55DB"/>
    <w:pPr>
      <w:keepNext/>
      <w:spacing w:after="0"/>
    </w:pPr>
    <w:rPr>
      <w:rFonts w:ascii="Times New Roman" w:eastAsiaTheme="minorHAnsi" w:hAnsi="Times New Roman"/>
      <w:lang w:val="en-GB"/>
    </w:rPr>
  </w:style>
  <w:style w:type="paragraph" w:customStyle="1" w:styleId="Formuledadoption">
    <w:name w:val="Formule d'adoption"/>
    <w:basedOn w:val="Normln"/>
    <w:next w:val="Titrearticle"/>
    <w:rsid w:val="004A55DB"/>
    <w:pPr>
      <w:keepNext/>
    </w:pPr>
    <w:rPr>
      <w:rFonts w:ascii="Times New Roman" w:eastAsiaTheme="minorHAnsi" w:hAnsi="Times New Roman"/>
      <w:lang w:val="en-GB"/>
    </w:rPr>
  </w:style>
  <w:style w:type="paragraph" w:customStyle="1" w:styleId="Institutionquiagit">
    <w:name w:val="Institution qui agit"/>
    <w:basedOn w:val="Normln"/>
    <w:next w:val="Normln"/>
    <w:rsid w:val="004A55DB"/>
    <w:pPr>
      <w:keepNext/>
      <w:spacing w:before="600"/>
    </w:pPr>
    <w:rPr>
      <w:rFonts w:ascii="Times New Roman" w:eastAsiaTheme="minorHAnsi" w:hAnsi="Times New Roman"/>
      <w:lang w:val="en-GB"/>
    </w:rPr>
  </w:style>
  <w:style w:type="paragraph" w:customStyle="1" w:styleId="Institutionquisigne">
    <w:name w:val="Institution qui signe"/>
    <w:basedOn w:val="Normln"/>
    <w:next w:val="Personnequisigne"/>
    <w:rsid w:val="004A55DB"/>
    <w:pPr>
      <w:keepNext/>
      <w:tabs>
        <w:tab w:val="left" w:pos="4252"/>
      </w:tabs>
      <w:spacing w:before="720" w:after="0"/>
    </w:pPr>
    <w:rPr>
      <w:rFonts w:ascii="Times New Roman" w:eastAsiaTheme="minorHAnsi" w:hAnsi="Times New Roman"/>
      <w:i/>
      <w:lang w:val="en-GB"/>
    </w:rPr>
  </w:style>
  <w:style w:type="paragraph" w:customStyle="1" w:styleId="Langue">
    <w:name w:val="Langue"/>
    <w:basedOn w:val="Normln"/>
    <w:next w:val="Rfrenceinterne"/>
    <w:rsid w:val="004A55DB"/>
    <w:pPr>
      <w:framePr w:wrap="around" w:vAnchor="page" w:hAnchor="text" w:xAlign="center" w:y="14741"/>
      <w:spacing w:before="0" w:after="600"/>
      <w:jc w:val="center"/>
    </w:pPr>
    <w:rPr>
      <w:rFonts w:ascii="Times New Roman" w:eastAsiaTheme="minorHAnsi" w:hAnsi="Times New Roman"/>
      <w:b/>
      <w:caps/>
      <w:lang w:val="en-GB"/>
    </w:rPr>
  </w:style>
  <w:style w:type="paragraph" w:customStyle="1" w:styleId="Nomdelinstitution">
    <w:name w:val="Nom de l'institution"/>
    <w:basedOn w:val="Normln"/>
    <w:next w:val="Emission"/>
    <w:rsid w:val="004A55DB"/>
    <w:pPr>
      <w:spacing w:before="0" w:after="0"/>
      <w:jc w:val="left"/>
    </w:pPr>
    <w:rPr>
      <w:rFonts w:ascii="Arial" w:eastAsiaTheme="minorHAnsi" w:hAnsi="Arial" w:cs="Arial"/>
      <w:lang w:val="en-GB"/>
    </w:rPr>
  </w:style>
  <w:style w:type="paragraph" w:customStyle="1" w:styleId="Personnequisigne">
    <w:name w:val="Personne qui signe"/>
    <w:basedOn w:val="Normln"/>
    <w:next w:val="Institutionquisigne"/>
    <w:rsid w:val="004A55DB"/>
    <w:pPr>
      <w:tabs>
        <w:tab w:val="left" w:pos="4252"/>
      </w:tabs>
      <w:spacing w:before="0" w:after="0"/>
      <w:jc w:val="left"/>
    </w:pPr>
    <w:rPr>
      <w:rFonts w:ascii="Times New Roman" w:eastAsiaTheme="minorHAnsi" w:hAnsi="Times New Roman"/>
      <w:i/>
      <w:lang w:val="en-GB"/>
    </w:rPr>
  </w:style>
  <w:style w:type="paragraph" w:customStyle="1" w:styleId="Rfrenceinstitutionnelle">
    <w:name w:val="Référence institutionnelle"/>
    <w:basedOn w:val="Normln"/>
    <w:next w:val="Confidentialit"/>
    <w:rsid w:val="004A55DB"/>
    <w:pPr>
      <w:spacing w:before="0" w:after="240"/>
      <w:ind w:left="5103"/>
      <w:jc w:val="left"/>
    </w:pPr>
    <w:rPr>
      <w:rFonts w:ascii="Times New Roman" w:eastAsiaTheme="minorHAnsi" w:hAnsi="Times New Roman"/>
      <w:lang w:val="en-GB"/>
    </w:rPr>
  </w:style>
  <w:style w:type="paragraph" w:customStyle="1" w:styleId="Rfrenceinterinstitutionnelle">
    <w:name w:val="Référence interinstitutionnelle"/>
    <w:basedOn w:val="Normln"/>
    <w:next w:val="Statut"/>
    <w:rsid w:val="004A55DB"/>
    <w:pPr>
      <w:spacing w:before="0" w:after="0"/>
      <w:ind w:left="5103"/>
      <w:jc w:val="left"/>
    </w:pPr>
    <w:rPr>
      <w:rFonts w:ascii="Times New Roman" w:eastAsiaTheme="minorHAnsi" w:hAnsi="Times New Roman"/>
      <w:lang w:val="en-GB"/>
    </w:rPr>
  </w:style>
  <w:style w:type="paragraph" w:customStyle="1" w:styleId="Rfrenceinterne">
    <w:name w:val="Référence interne"/>
    <w:basedOn w:val="Normln"/>
    <w:next w:val="Rfrenceinterinstitutionnelle"/>
    <w:rsid w:val="004A55DB"/>
    <w:pPr>
      <w:spacing w:before="0" w:after="0"/>
      <w:ind w:left="5103"/>
      <w:jc w:val="left"/>
    </w:pPr>
    <w:rPr>
      <w:rFonts w:ascii="Times New Roman" w:eastAsiaTheme="minorHAnsi" w:hAnsi="Times New Roman"/>
      <w:lang w:val="en-GB"/>
    </w:rPr>
  </w:style>
  <w:style w:type="paragraph" w:customStyle="1" w:styleId="Sous-titreobjet">
    <w:name w:val="Sous-titre objet"/>
    <w:basedOn w:val="Normln"/>
    <w:rsid w:val="004A55DB"/>
    <w:pPr>
      <w:spacing w:before="0" w:after="0"/>
      <w:jc w:val="center"/>
    </w:pPr>
    <w:rPr>
      <w:rFonts w:ascii="Times New Roman" w:eastAsiaTheme="minorHAnsi" w:hAnsi="Times New Roman"/>
      <w:b/>
      <w:lang w:val="en-GB"/>
    </w:rPr>
  </w:style>
  <w:style w:type="paragraph" w:customStyle="1" w:styleId="Statut">
    <w:name w:val="Statut"/>
    <w:basedOn w:val="Normln"/>
    <w:next w:val="Typedudocument"/>
    <w:rsid w:val="004A55DB"/>
    <w:pPr>
      <w:spacing w:before="360" w:after="0"/>
      <w:jc w:val="center"/>
    </w:pPr>
    <w:rPr>
      <w:rFonts w:ascii="Times New Roman" w:eastAsiaTheme="minorHAnsi" w:hAnsi="Times New Roman"/>
      <w:lang w:val="en-GB"/>
    </w:rPr>
  </w:style>
  <w:style w:type="paragraph" w:customStyle="1" w:styleId="Titrearticle">
    <w:name w:val="Titre article"/>
    <w:basedOn w:val="Normln"/>
    <w:next w:val="Normln"/>
    <w:rsid w:val="004A55DB"/>
    <w:pPr>
      <w:keepNext/>
      <w:spacing w:before="360"/>
      <w:jc w:val="center"/>
    </w:pPr>
    <w:rPr>
      <w:rFonts w:ascii="Times New Roman" w:eastAsiaTheme="minorHAnsi" w:hAnsi="Times New Roman"/>
      <w:i/>
      <w:lang w:val="en-GB"/>
    </w:rPr>
  </w:style>
  <w:style w:type="paragraph" w:customStyle="1" w:styleId="Titreobjet">
    <w:name w:val="Titre objet"/>
    <w:basedOn w:val="Normln"/>
    <w:next w:val="Sous-titreobjet"/>
    <w:rsid w:val="004A55DB"/>
    <w:pPr>
      <w:spacing w:before="180" w:after="180"/>
      <w:jc w:val="center"/>
    </w:pPr>
    <w:rPr>
      <w:rFonts w:ascii="Times New Roman" w:eastAsiaTheme="minorHAnsi" w:hAnsi="Times New Roman"/>
      <w:b/>
      <w:lang w:val="en-GB"/>
    </w:rPr>
  </w:style>
  <w:style w:type="character" w:customStyle="1" w:styleId="Added">
    <w:name w:val="Added"/>
    <w:basedOn w:val="Standardnpsmoodstavce"/>
    <w:rsid w:val="004A55DB"/>
    <w:rPr>
      <w:b/>
      <w:u w:val="single"/>
      <w:shd w:val="clear" w:color="auto" w:fill="auto"/>
    </w:rPr>
  </w:style>
  <w:style w:type="character" w:customStyle="1" w:styleId="Deleted">
    <w:name w:val="Deleted"/>
    <w:basedOn w:val="Standardnpsmoodstavce"/>
    <w:rsid w:val="004A55DB"/>
    <w:rPr>
      <w:strike/>
      <w:dstrike w:val="0"/>
      <w:shd w:val="clear" w:color="auto" w:fill="auto"/>
    </w:rPr>
  </w:style>
  <w:style w:type="paragraph" w:customStyle="1" w:styleId="Address0">
    <w:name w:val="Address"/>
    <w:basedOn w:val="Normln"/>
    <w:next w:val="Normln"/>
    <w:rsid w:val="004A55DB"/>
    <w:pPr>
      <w:keepLines/>
      <w:spacing w:line="360" w:lineRule="auto"/>
      <w:ind w:left="3402"/>
      <w:jc w:val="left"/>
    </w:pPr>
    <w:rPr>
      <w:rFonts w:ascii="Times New Roman" w:eastAsiaTheme="minorHAnsi" w:hAnsi="Times New Roman"/>
      <w:lang w:val="en-GB"/>
    </w:rPr>
  </w:style>
  <w:style w:type="paragraph" w:customStyle="1" w:styleId="Objetexterne">
    <w:name w:val="Objet externe"/>
    <w:basedOn w:val="Normln"/>
    <w:next w:val="Normln"/>
    <w:rsid w:val="004A55DB"/>
    <w:rPr>
      <w:rFonts w:ascii="Times New Roman" w:eastAsiaTheme="minorHAnsi" w:hAnsi="Times New Roman"/>
      <w:i/>
      <w:caps/>
      <w:lang w:val="en-GB"/>
    </w:rPr>
  </w:style>
  <w:style w:type="paragraph" w:customStyle="1" w:styleId="Supertitre">
    <w:name w:val="Supertitre"/>
    <w:basedOn w:val="Normln"/>
    <w:next w:val="Normln"/>
    <w:rsid w:val="004A55DB"/>
    <w:pPr>
      <w:spacing w:before="0" w:after="600"/>
      <w:jc w:val="center"/>
    </w:pPr>
    <w:rPr>
      <w:rFonts w:ascii="Times New Roman" w:eastAsiaTheme="minorHAnsi" w:hAnsi="Times New Roman"/>
      <w:b/>
      <w:lang w:val="en-GB"/>
    </w:rPr>
  </w:style>
  <w:style w:type="paragraph" w:customStyle="1" w:styleId="Languesfaisantfoi">
    <w:name w:val="Langues faisant foi"/>
    <w:basedOn w:val="Normln"/>
    <w:next w:val="Normln"/>
    <w:rsid w:val="004A55DB"/>
    <w:pPr>
      <w:spacing w:before="360" w:after="0"/>
      <w:jc w:val="center"/>
    </w:pPr>
    <w:rPr>
      <w:rFonts w:ascii="Times New Roman" w:eastAsiaTheme="minorHAnsi" w:hAnsi="Times New Roman"/>
      <w:lang w:val="en-GB"/>
    </w:rPr>
  </w:style>
  <w:style w:type="paragraph" w:customStyle="1" w:styleId="Rfrencecroise">
    <w:name w:val="Référence croisée"/>
    <w:basedOn w:val="Normln"/>
    <w:rsid w:val="004A55DB"/>
    <w:pPr>
      <w:spacing w:before="0" w:after="0"/>
      <w:jc w:val="center"/>
    </w:pPr>
    <w:rPr>
      <w:rFonts w:ascii="Times New Roman" w:eastAsiaTheme="minorHAnsi" w:hAnsi="Times New Roman"/>
      <w:lang w:val="en-GB"/>
    </w:rPr>
  </w:style>
  <w:style w:type="paragraph" w:customStyle="1" w:styleId="Fichefinanciretitre">
    <w:name w:val="Fiche financière titre"/>
    <w:basedOn w:val="Normln"/>
    <w:next w:val="Normln"/>
    <w:rsid w:val="004A55DB"/>
    <w:pPr>
      <w:jc w:val="center"/>
    </w:pPr>
    <w:rPr>
      <w:rFonts w:ascii="Times New Roman" w:eastAsiaTheme="minorHAnsi" w:hAnsi="Times New Roman"/>
      <w:b/>
      <w:u w:val="single"/>
      <w:lang w:val="en-GB"/>
    </w:rPr>
  </w:style>
  <w:style w:type="paragraph" w:customStyle="1" w:styleId="DatedadoptionPagedecouverture">
    <w:name w:val="Date d'adoption (Page de couverture)"/>
    <w:basedOn w:val="Datedadoption"/>
    <w:next w:val="TitreobjetPagedecouverture"/>
    <w:rsid w:val="004A55DB"/>
  </w:style>
  <w:style w:type="paragraph" w:customStyle="1" w:styleId="RfrenceinterinstitutionnellePagedecouverture">
    <w:name w:val="Référence interinstitutionnelle (Page de couverture)"/>
    <w:basedOn w:val="Rfrenceinterinstitutionnelle"/>
    <w:next w:val="Confidentialit"/>
    <w:rsid w:val="004A55DB"/>
  </w:style>
  <w:style w:type="paragraph" w:customStyle="1" w:styleId="Sous-titreobjetPagedecouverture">
    <w:name w:val="Sous-titre objet (Page de couverture)"/>
    <w:basedOn w:val="Sous-titreobjet"/>
    <w:rsid w:val="004A55DB"/>
  </w:style>
  <w:style w:type="paragraph" w:customStyle="1" w:styleId="StatutPagedecouverture">
    <w:name w:val="Statut (Page de couverture)"/>
    <w:basedOn w:val="Statut"/>
    <w:next w:val="TypedudocumentPagedecouverture"/>
    <w:rsid w:val="004A55DB"/>
  </w:style>
  <w:style w:type="paragraph" w:customStyle="1" w:styleId="TitreobjetPagedecouverture">
    <w:name w:val="Titre objet (Page de couverture)"/>
    <w:basedOn w:val="Titreobjet"/>
    <w:next w:val="Sous-titreobjetPagedecouverture"/>
    <w:rsid w:val="004A55DB"/>
  </w:style>
  <w:style w:type="paragraph" w:customStyle="1" w:styleId="TypedudocumentPagedecouverture">
    <w:name w:val="Type du document (Page de couverture)"/>
    <w:basedOn w:val="Typedudocument"/>
    <w:next w:val="TitreobjetPagedecouverture"/>
    <w:rsid w:val="004A55DB"/>
    <w:pPr>
      <w:spacing w:after="180"/>
    </w:pPr>
    <w:rPr>
      <w:rFonts w:eastAsiaTheme="minorHAnsi"/>
      <w:szCs w:val="22"/>
      <w:lang w:val="en-GB" w:eastAsia="en-US"/>
    </w:rPr>
  </w:style>
  <w:style w:type="paragraph" w:customStyle="1" w:styleId="Volume">
    <w:name w:val="Volume"/>
    <w:basedOn w:val="Normln"/>
    <w:next w:val="Confidentialit"/>
    <w:rsid w:val="004A55DB"/>
    <w:pPr>
      <w:spacing w:before="0" w:after="240"/>
      <w:ind w:left="5103"/>
      <w:jc w:val="left"/>
    </w:pPr>
    <w:rPr>
      <w:rFonts w:ascii="Times New Roman" w:eastAsiaTheme="minorHAnsi" w:hAnsi="Times New Roman"/>
      <w:lang w:val="en-GB"/>
    </w:rPr>
  </w:style>
  <w:style w:type="paragraph" w:customStyle="1" w:styleId="IntrtEEE">
    <w:name w:val="Intérêt EEE"/>
    <w:basedOn w:val="Languesfaisantfoi"/>
    <w:next w:val="Normln"/>
    <w:rsid w:val="004A55DB"/>
    <w:pPr>
      <w:spacing w:after="240"/>
    </w:pPr>
  </w:style>
  <w:style w:type="paragraph" w:customStyle="1" w:styleId="Accompagnant">
    <w:name w:val="Accompagnant"/>
    <w:basedOn w:val="Normln"/>
    <w:next w:val="Typeacteprincipal"/>
    <w:rsid w:val="004A55DB"/>
    <w:pPr>
      <w:spacing w:before="180" w:after="240"/>
      <w:jc w:val="center"/>
    </w:pPr>
    <w:rPr>
      <w:rFonts w:ascii="Times New Roman" w:eastAsiaTheme="minorHAnsi" w:hAnsi="Times New Roman"/>
      <w:b/>
      <w:lang w:val="en-GB"/>
    </w:rPr>
  </w:style>
  <w:style w:type="paragraph" w:customStyle="1" w:styleId="Typeacteprincipal">
    <w:name w:val="Type acte principal"/>
    <w:basedOn w:val="Normln"/>
    <w:next w:val="Objetacteprincipal"/>
    <w:rsid w:val="004A55DB"/>
    <w:pPr>
      <w:spacing w:before="0" w:after="240"/>
      <w:jc w:val="center"/>
    </w:pPr>
    <w:rPr>
      <w:rFonts w:ascii="Times New Roman" w:eastAsiaTheme="minorHAnsi" w:hAnsi="Times New Roman"/>
      <w:b/>
      <w:lang w:val="en-GB"/>
    </w:rPr>
  </w:style>
  <w:style w:type="paragraph" w:customStyle="1" w:styleId="Objetacteprincipal">
    <w:name w:val="Objet acte principal"/>
    <w:basedOn w:val="Normln"/>
    <w:next w:val="Titrearticle"/>
    <w:rsid w:val="004A55DB"/>
    <w:pPr>
      <w:spacing w:before="0" w:after="360"/>
      <w:jc w:val="center"/>
    </w:pPr>
    <w:rPr>
      <w:rFonts w:ascii="Times New Roman" w:eastAsiaTheme="minorHAnsi" w:hAnsi="Times New Roman"/>
      <w:b/>
      <w:lang w:val="en-GB"/>
    </w:rPr>
  </w:style>
  <w:style w:type="paragraph" w:customStyle="1" w:styleId="IntrtEEEPagedecouverture">
    <w:name w:val="Intérêt EEE (Page de couverture)"/>
    <w:basedOn w:val="IntrtEEE"/>
    <w:next w:val="Rfrencecroise"/>
    <w:rsid w:val="004A55DB"/>
  </w:style>
  <w:style w:type="paragraph" w:customStyle="1" w:styleId="AccompagnantPagedecouverture">
    <w:name w:val="Accompagnant (Page de couverture)"/>
    <w:basedOn w:val="Accompagnant"/>
    <w:next w:val="TypeacteprincipalPagedecouverture"/>
    <w:rsid w:val="004A55DB"/>
  </w:style>
  <w:style w:type="paragraph" w:customStyle="1" w:styleId="TypeacteprincipalPagedecouverture">
    <w:name w:val="Type acte principal (Page de couverture)"/>
    <w:basedOn w:val="Typeacteprincipal"/>
    <w:next w:val="ObjetacteprincipalPagedecouverture"/>
    <w:rsid w:val="004A55DB"/>
  </w:style>
  <w:style w:type="paragraph" w:customStyle="1" w:styleId="ObjetacteprincipalPagedecouverture">
    <w:name w:val="Objet acte principal (Page de couverture)"/>
    <w:basedOn w:val="Objetacteprincipal"/>
    <w:next w:val="Rfrencecroise"/>
    <w:rsid w:val="004A55DB"/>
  </w:style>
  <w:style w:type="paragraph" w:customStyle="1" w:styleId="LanguesfaisantfoiPagedecouverture">
    <w:name w:val="Langues faisant foi (Page de couverture)"/>
    <w:basedOn w:val="Normln"/>
    <w:next w:val="Normln"/>
    <w:rsid w:val="004A55DB"/>
    <w:pPr>
      <w:spacing w:before="360" w:after="0"/>
      <w:jc w:val="center"/>
    </w:pPr>
    <w:rPr>
      <w:rFonts w:ascii="Times New Roman" w:eastAsiaTheme="minorHAnsi" w:hAnsi="Times New Roman"/>
      <w:lang w:val="en-GB"/>
    </w:rPr>
  </w:style>
  <w:style w:type="character" w:customStyle="1" w:styleId="Corpsdutexte3">
    <w:name w:val="Corps du texte (3)_"/>
    <w:basedOn w:val="Standardnpsmoodstavce"/>
    <w:link w:val="Corpsdutexte30"/>
    <w:rsid w:val="004A55DB"/>
    <w:rPr>
      <w:sz w:val="23"/>
      <w:szCs w:val="23"/>
      <w:shd w:val="clear" w:color="auto" w:fill="FFFFFF"/>
    </w:rPr>
  </w:style>
  <w:style w:type="character" w:customStyle="1" w:styleId="Corpsdutexte">
    <w:name w:val="Corps du texte_"/>
    <w:basedOn w:val="Standardnpsmoodstavce"/>
    <w:rsid w:val="004A55DB"/>
    <w:rPr>
      <w:b w:val="0"/>
      <w:bCs w:val="0"/>
      <w:i w:val="0"/>
      <w:iCs w:val="0"/>
      <w:smallCaps w:val="0"/>
      <w:strike w:val="0"/>
      <w:sz w:val="23"/>
      <w:szCs w:val="23"/>
      <w:u w:val="none"/>
    </w:rPr>
  </w:style>
  <w:style w:type="character" w:customStyle="1" w:styleId="En-tteoupieddepage">
    <w:name w:val="En-tête ou pied de page_"/>
    <w:basedOn w:val="Standardnpsmoodstavce"/>
    <w:link w:val="En-tteoupieddepage0"/>
    <w:rsid w:val="004A55DB"/>
    <w:rPr>
      <w:shd w:val="clear" w:color="auto" w:fill="FFFFFF"/>
    </w:rPr>
  </w:style>
  <w:style w:type="character" w:customStyle="1" w:styleId="En-tte2">
    <w:name w:val="En-tête #2_"/>
    <w:basedOn w:val="Standardnpsmoodstavce"/>
    <w:rsid w:val="004A55DB"/>
    <w:rPr>
      <w:b w:val="0"/>
      <w:bCs w:val="0"/>
      <w:i w:val="0"/>
      <w:iCs w:val="0"/>
      <w:smallCaps w:val="0"/>
      <w:strike w:val="0"/>
      <w:sz w:val="23"/>
      <w:szCs w:val="23"/>
      <w:u w:val="none"/>
    </w:rPr>
  </w:style>
  <w:style w:type="character" w:customStyle="1" w:styleId="Corpsdutexte4">
    <w:name w:val="Corps du texte (4)_"/>
    <w:basedOn w:val="Standardnpsmoodstavce"/>
    <w:link w:val="Corpsdutexte40"/>
    <w:rsid w:val="004A55DB"/>
    <w:rPr>
      <w:rFonts w:ascii="Arial" w:eastAsia="Arial" w:hAnsi="Arial" w:cs="Arial"/>
      <w:sz w:val="16"/>
      <w:szCs w:val="16"/>
      <w:shd w:val="clear" w:color="auto" w:fill="FFFFFF"/>
    </w:rPr>
  </w:style>
  <w:style w:type="character" w:customStyle="1" w:styleId="En-tteoupieddepageArial">
    <w:name w:val="En-tête ou pied de page + Arial"/>
    <w:aliases w:val="8 pt"/>
    <w:basedOn w:val="En-tteoupieddepage"/>
    <w:rsid w:val="004A55DB"/>
    <w:rPr>
      <w:rFonts w:ascii="Arial" w:eastAsia="Arial" w:hAnsi="Arial" w:cs="Arial"/>
      <w:color w:val="000000"/>
      <w:spacing w:val="0"/>
      <w:w w:val="100"/>
      <w:position w:val="0"/>
      <w:sz w:val="16"/>
      <w:szCs w:val="16"/>
      <w:shd w:val="clear" w:color="auto" w:fill="FFFFFF"/>
      <w:lang w:val="bg"/>
    </w:rPr>
  </w:style>
  <w:style w:type="character" w:customStyle="1" w:styleId="En-tte1">
    <w:name w:val="En-tête #1_"/>
    <w:basedOn w:val="Standardnpsmoodstavce"/>
    <w:rsid w:val="004A55DB"/>
    <w:rPr>
      <w:b w:val="0"/>
      <w:bCs w:val="0"/>
      <w:i w:val="0"/>
      <w:iCs w:val="0"/>
      <w:smallCaps w:val="0"/>
      <w:strike w:val="0"/>
      <w:sz w:val="26"/>
      <w:szCs w:val="26"/>
      <w:u w:val="none"/>
    </w:rPr>
  </w:style>
  <w:style w:type="character" w:customStyle="1" w:styleId="Corpsdutexte8">
    <w:name w:val="Corps du texte (8)_"/>
    <w:basedOn w:val="Standardnpsmoodstavce"/>
    <w:link w:val="Corpsdutexte80"/>
    <w:rsid w:val="004A55DB"/>
    <w:rPr>
      <w:sz w:val="23"/>
      <w:szCs w:val="23"/>
      <w:shd w:val="clear" w:color="auto" w:fill="FFFFFF"/>
    </w:rPr>
  </w:style>
  <w:style w:type="character" w:customStyle="1" w:styleId="Corpsdutexte7">
    <w:name w:val="Corps du texte (7)_"/>
    <w:basedOn w:val="Standardnpsmoodstavce"/>
    <w:link w:val="Corpsdutexte70"/>
    <w:rsid w:val="004A55DB"/>
    <w:rPr>
      <w:sz w:val="23"/>
      <w:szCs w:val="23"/>
      <w:shd w:val="clear" w:color="auto" w:fill="FFFFFF"/>
    </w:rPr>
  </w:style>
  <w:style w:type="character" w:customStyle="1" w:styleId="Corpsdutexte8NonPetitesmajuscules">
    <w:name w:val="Corps du texte (8) + Non Petites majuscules"/>
    <w:basedOn w:val="Corpsdutexte8"/>
    <w:rsid w:val="004A55DB"/>
    <w:rPr>
      <w:rFonts w:ascii="Times New Roman" w:eastAsia="Times New Roman" w:hAnsi="Times New Roman" w:cs="Times New Roman"/>
      <w:smallCaps/>
      <w:color w:val="000000"/>
      <w:spacing w:val="0"/>
      <w:w w:val="100"/>
      <w:position w:val="0"/>
      <w:sz w:val="23"/>
      <w:szCs w:val="23"/>
      <w:shd w:val="clear" w:color="auto" w:fill="FFFFFF"/>
      <w:lang w:val="en-US"/>
    </w:rPr>
  </w:style>
  <w:style w:type="character" w:customStyle="1" w:styleId="Corpsdutexte0">
    <w:name w:val="Corps du texte"/>
    <w:basedOn w:val="Corpsdutexte"/>
    <w:rsid w:val="004A55D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CorpsdutexteGras">
    <w:name w:val="Corps du texte + Gras"/>
    <w:aliases w:val="En-tête #1 + 13.5 pt,Espacement 1 pt,Italique,Non Petites majuscules"/>
    <w:basedOn w:val="Corpsdutexte"/>
    <w:rsid w:val="004A55DB"/>
    <w:rPr>
      <w:rFonts w:ascii="Times New Roman" w:eastAsia="Times New Roman" w:hAnsi="Times New Roman" w:cs="Times New Roman"/>
      <w:b/>
      <w:bCs/>
      <w:i w:val="0"/>
      <w:iCs w:val="0"/>
      <w:smallCaps w:val="0"/>
      <w:strike w:val="0"/>
      <w:color w:val="000000"/>
      <w:spacing w:val="0"/>
      <w:w w:val="100"/>
      <w:position w:val="0"/>
      <w:sz w:val="23"/>
      <w:szCs w:val="23"/>
      <w:u w:val="none"/>
      <w:lang w:val="en-US"/>
    </w:rPr>
  </w:style>
  <w:style w:type="character" w:customStyle="1" w:styleId="En-tte20">
    <w:name w:val="En-tête #2"/>
    <w:basedOn w:val="En-tte2"/>
    <w:rsid w:val="004A55DB"/>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en-US"/>
    </w:rPr>
  </w:style>
  <w:style w:type="character" w:customStyle="1" w:styleId="En-tte2Italique">
    <w:name w:val="En-tête #2 + Italique"/>
    <w:basedOn w:val="En-tte2"/>
    <w:rsid w:val="004A55DB"/>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character" w:customStyle="1" w:styleId="En-tte23">
    <w:name w:val="En-tête #2 (3)_"/>
    <w:basedOn w:val="Standardnpsmoodstavce"/>
    <w:link w:val="En-tte230"/>
    <w:rsid w:val="004A55DB"/>
    <w:rPr>
      <w:sz w:val="23"/>
      <w:szCs w:val="23"/>
      <w:shd w:val="clear" w:color="auto" w:fill="FFFFFF"/>
    </w:rPr>
  </w:style>
  <w:style w:type="character" w:customStyle="1" w:styleId="En-tte23Italique">
    <w:name w:val="En-tête #2 (3) + Italique"/>
    <w:basedOn w:val="En-tte23"/>
    <w:rsid w:val="004A55DB"/>
    <w:rPr>
      <w:rFonts w:ascii="Times New Roman" w:eastAsia="Times New Roman" w:hAnsi="Times New Roman" w:cs="Times New Roman"/>
      <w:i/>
      <w:iCs/>
      <w:color w:val="000000"/>
      <w:spacing w:val="0"/>
      <w:w w:val="100"/>
      <w:position w:val="0"/>
      <w:sz w:val="23"/>
      <w:szCs w:val="23"/>
      <w:shd w:val="clear" w:color="auto" w:fill="FFFFFF"/>
      <w:lang w:val="en-US"/>
    </w:rPr>
  </w:style>
  <w:style w:type="character" w:customStyle="1" w:styleId="En-tte23Gras">
    <w:name w:val="En-tête #2 (3) + Gras"/>
    <w:basedOn w:val="En-tte23"/>
    <w:rsid w:val="004A55DB"/>
    <w:rPr>
      <w:rFonts w:ascii="Times New Roman" w:eastAsia="Times New Roman" w:hAnsi="Times New Roman" w:cs="Times New Roman"/>
      <w:b/>
      <w:bCs/>
      <w:color w:val="000000"/>
      <w:spacing w:val="0"/>
      <w:w w:val="100"/>
      <w:position w:val="0"/>
      <w:sz w:val="23"/>
      <w:szCs w:val="23"/>
      <w:shd w:val="clear" w:color="auto" w:fill="FFFFFF"/>
      <w:lang w:val="en-US"/>
    </w:rPr>
  </w:style>
  <w:style w:type="character" w:customStyle="1" w:styleId="Corpsdutexte3NonItalique">
    <w:name w:val="Corps du texte (3) + Non Italique"/>
    <w:basedOn w:val="Corpsdutexte3"/>
    <w:rsid w:val="004A55DB"/>
    <w:rPr>
      <w:rFonts w:ascii="Times New Roman" w:eastAsia="Times New Roman" w:hAnsi="Times New Roman" w:cs="Times New Roman"/>
      <w:i/>
      <w:iCs/>
      <w:color w:val="000000"/>
      <w:spacing w:val="0"/>
      <w:w w:val="100"/>
      <w:position w:val="0"/>
      <w:sz w:val="23"/>
      <w:szCs w:val="23"/>
      <w:shd w:val="clear" w:color="auto" w:fill="FFFFFF"/>
      <w:lang w:val="en-US"/>
    </w:rPr>
  </w:style>
  <w:style w:type="character" w:customStyle="1" w:styleId="En-tte10">
    <w:name w:val="En-tête #1"/>
    <w:basedOn w:val="En-tte1"/>
    <w:rsid w:val="004A55DB"/>
    <w:rPr>
      <w:rFonts w:ascii="Times New Roman" w:eastAsia="Times New Roman" w:hAnsi="Times New Roman" w:cs="Times New Roman"/>
      <w:b w:val="0"/>
      <w:bCs w:val="0"/>
      <w:i w:val="0"/>
      <w:iCs w:val="0"/>
      <w:smallCaps w:val="0"/>
      <w:strike w:val="0"/>
      <w:color w:val="548DD4"/>
      <w:spacing w:val="0"/>
      <w:w w:val="100"/>
      <w:position w:val="0"/>
      <w:sz w:val="26"/>
      <w:szCs w:val="26"/>
      <w:u w:val="none"/>
      <w:lang w:val="en-US"/>
    </w:rPr>
  </w:style>
  <w:style w:type="character" w:customStyle="1" w:styleId="CorpsdutexteItalique">
    <w:name w:val="Corps du texte + Italique"/>
    <w:basedOn w:val="Corpsdutexte"/>
    <w:rsid w:val="004A55DB"/>
    <w:rPr>
      <w:rFonts w:ascii="Times New Roman" w:eastAsia="Times New Roman" w:hAnsi="Times New Roman" w:cs="Times New Roman"/>
      <w:b w:val="0"/>
      <w:bCs w:val="0"/>
      <w:i/>
      <w:iCs/>
      <w:smallCaps w:val="0"/>
      <w:strike w:val="0"/>
      <w:color w:val="000000"/>
      <w:spacing w:val="0"/>
      <w:w w:val="100"/>
      <w:position w:val="0"/>
      <w:sz w:val="23"/>
      <w:szCs w:val="23"/>
      <w:u w:val="none"/>
      <w:lang w:val="en-US"/>
    </w:rPr>
  </w:style>
  <w:style w:type="paragraph" w:customStyle="1" w:styleId="Corpsdutexte30">
    <w:name w:val="Corps du texte (3)"/>
    <w:basedOn w:val="Normln"/>
    <w:link w:val="Corpsdutexte3"/>
    <w:rsid w:val="004A55DB"/>
    <w:pPr>
      <w:widowControl w:val="0"/>
      <w:shd w:val="clear" w:color="auto" w:fill="FFFFFF"/>
      <w:spacing w:before="300" w:after="180" w:line="274" w:lineRule="exact"/>
      <w:ind w:hanging="280"/>
    </w:pPr>
    <w:rPr>
      <w:rFonts w:ascii="Calibri" w:hAnsi="Calibri"/>
      <w:sz w:val="23"/>
      <w:szCs w:val="23"/>
    </w:rPr>
  </w:style>
  <w:style w:type="paragraph" w:customStyle="1" w:styleId="En-tteoupieddepage0">
    <w:name w:val="En-tête ou pied de page"/>
    <w:basedOn w:val="Normln"/>
    <w:link w:val="En-tteoupieddepage"/>
    <w:rsid w:val="004A55DB"/>
    <w:pPr>
      <w:widowControl w:val="0"/>
      <w:shd w:val="clear" w:color="auto" w:fill="FFFFFF"/>
      <w:spacing w:before="0" w:after="0"/>
      <w:jc w:val="left"/>
    </w:pPr>
    <w:rPr>
      <w:rFonts w:ascii="Calibri" w:hAnsi="Calibri"/>
      <w:sz w:val="20"/>
      <w:szCs w:val="20"/>
    </w:rPr>
  </w:style>
  <w:style w:type="paragraph" w:customStyle="1" w:styleId="Corpsdutexte40">
    <w:name w:val="Corps du texte (4)"/>
    <w:basedOn w:val="Normln"/>
    <w:link w:val="Corpsdutexte4"/>
    <w:rsid w:val="004A55DB"/>
    <w:pPr>
      <w:widowControl w:val="0"/>
      <w:shd w:val="clear" w:color="auto" w:fill="FFFFFF"/>
      <w:spacing w:before="0" w:after="0" w:line="0" w:lineRule="atLeast"/>
      <w:jc w:val="left"/>
    </w:pPr>
    <w:rPr>
      <w:rFonts w:ascii="Arial" w:eastAsia="Arial" w:hAnsi="Arial" w:cs="Arial"/>
      <w:sz w:val="16"/>
      <w:szCs w:val="16"/>
    </w:rPr>
  </w:style>
  <w:style w:type="paragraph" w:customStyle="1" w:styleId="Corpsdutexte80">
    <w:name w:val="Corps du texte (8)"/>
    <w:basedOn w:val="Normln"/>
    <w:link w:val="Corpsdutexte8"/>
    <w:rsid w:val="004A55DB"/>
    <w:pPr>
      <w:widowControl w:val="0"/>
      <w:shd w:val="clear" w:color="auto" w:fill="FFFFFF"/>
      <w:spacing w:before="540" w:after="300" w:line="0" w:lineRule="atLeast"/>
      <w:ind w:hanging="700"/>
    </w:pPr>
    <w:rPr>
      <w:rFonts w:ascii="Calibri" w:hAnsi="Calibri"/>
      <w:sz w:val="23"/>
      <w:szCs w:val="23"/>
    </w:rPr>
  </w:style>
  <w:style w:type="paragraph" w:customStyle="1" w:styleId="Corpsdutexte70">
    <w:name w:val="Corps du texte (7)"/>
    <w:basedOn w:val="Normln"/>
    <w:link w:val="Corpsdutexte7"/>
    <w:rsid w:val="004A55DB"/>
    <w:pPr>
      <w:widowControl w:val="0"/>
      <w:shd w:val="clear" w:color="auto" w:fill="FFFFFF"/>
      <w:spacing w:before="0" w:after="0" w:line="274" w:lineRule="exact"/>
      <w:ind w:hanging="280"/>
      <w:jc w:val="left"/>
    </w:pPr>
    <w:rPr>
      <w:rFonts w:ascii="Calibri" w:hAnsi="Calibri"/>
      <w:sz w:val="23"/>
      <w:szCs w:val="23"/>
    </w:rPr>
  </w:style>
  <w:style w:type="paragraph" w:customStyle="1" w:styleId="En-tte230">
    <w:name w:val="En-tête #2 (3)"/>
    <w:basedOn w:val="Normln"/>
    <w:link w:val="En-tte23"/>
    <w:rsid w:val="004A55DB"/>
    <w:pPr>
      <w:widowControl w:val="0"/>
      <w:shd w:val="clear" w:color="auto" w:fill="FFFFFF"/>
      <w:spacing w:before="0" w:after="0" w:line="523" w:lineRule="exact"/>
      <w:jc w:val="left"/>
      <w:outlineLvl w:val="1"/>
    </w:pPr>
    <w:rPr>
      <w:rFonts w:ascii="Calibri" w:hAnsi="Calibri"/>
      <w:sz w:val="23"/>
      <w:szCs w:val="23"/>
    </w:rPr>
  </w:style>
  <w:style w:type="paragraph" w:styleId="Seznamsodrkami4">
    <w:name w:val="List Bullet 4"/>
    <w:aliases w:val="Seznam s odrážkami A 4"/>
    <w:basedOn w:val="Text4"/>
    <w:uiPriority w:val="10"/>
    <w:qFormat/>
    <w:rsid w:val="004A55DB"/>
    <w:pPr>
      <w:numPr>
        <w:numId w:val="56"/>
      </w:numPr>
      <w:spacing w:before="0" w:after="240"/>
    </w:pPr>
    <w:rPr>
      <w:rFonts w:eastAsia="Times New Roman"/>
      <w:szCs w:val="20"/>
    </w:rPr>
  </w:style>
  <w:style w:type="paragraph" w:customStyle="1" w:styleId="Contact">
    <w:name w:val="Contact"/>
    <w:basedOn w:val="Normln"/>
    <w:next w:val="Normln"/>
    <w:rsid w:val="004A55DB"/>
    <w:pPr>
      <w:spacing w:before="480" w:after="0"/>
      <w:ind w:left="567" w:hanging="567"/>
      <w:jc w:val="left"/>
    </w:pPr>
    <w:rPr>
      <w:rFonts w:ascii="Times New Roman" w:eastAsia="Times New Roman" w:hAnsi="Times New Roman"/>
      <w:szCs w:val="20"/>
      <w:lang w:val="en-GB"/>
    </w:rPr>
  </w:style>
  <w:style w:type="paragraph" w:customStyle="1" w:styleId="ListBullet1">
    <w:name w:val="List Bullet 1"/>
    <w:basedOn w:val="Text1"/>
    <w:rsid w:val="004A55DB"/>
    <w:pPr>
      <w:numPr>
        <w:numId w:val="55"/>
      </w:numPr>
      <w:spacing w:before="0" w:after="240"/>
    </w:pPr>
    <w:rPr>
      <w:lang w:val="en-GB"/>
    </w:rPr>
  </w:style>
  <w:style w:type="paragraph" w:customStyle="1" w:styleId="ListDash">
    <w:name w:val="List Dash"/>
    <w:basedOn w:val="Normln"/>
    <w:rsid w:val="004A55DB"/>
    <w:pPr>
      <w:numPr>
        <w:numId w:val="57"/>
      </w:numPr>
      <w:spacing w:before="0" w:after="240"/>
    </w:pPr>
    <w:rPr>
      <w:rFonts w:ascii="Times New Roman" w:eastAsia="Times New Roman" w:hAnsi="Times New Roman"/>
      <w:szCs w:val="20"/>
      <w:lang w:val="en-GB"/>
    </w:rPr>
  </w:style>
  <w:style w:type="paragraph" w:customStyle="1" w:styleId="ListDash1">
    <w:name w:val="List Dash 1"/>
    <w:basedOn w:val="Text1"/>
    <w:rsid w:val="004A55DB"/>
    <w:pPr>
      <w:numPr>
        <w:numId w:val="58"/>
      </w:numPr>
      <w:spacing w:before="0" w:after="240"/>
    </w:pPr>
    <w:rPr>
      <w:lang w:val="en-GB"/>
    </w:rPr>
  </w:style>
  <w:style w:type="paragraph" w:customStyle="1" w:styleId="ListDash2">
    <w:name w:val="List Dash 2"/>
    <w:basedOn w:val="Text2"/>
    <w:rsid w:val="004A55DB"/>
    <w:pPr>
      <w:numPr>
        <w:numId w:val="59"/>
      </w:numPr>
      <w:spacing w:before="0" w:after="240"/>
    </w:pPr>
    <w:rPr>
      <w:rFonts w:eastAsia="Times New Roman"/>
      <w:szCs w:val="20"/>
    </w:rPr>
  </w:style>
  <w:style w:type="paragraph" w:customStyle="1" w:styleId="ListDash3">
    <w:name w:val="List Dash 3"/>
    <w:basedOn w:val="Text3"/>
    <w:rsid w:val="004A55DB"/>
    <w:pPr>
      <w:numPr>
        <w:numId w:val="60"/>
      </w:numPr>
      <w:spacing w:before="0" w:after="240"/>
    </w:pPr>
    <w:rPr>
      <w:rFonts w:eastAsia="Times New Roman"/>
      <w:szCs w:val="20"/>
    </w:rPr>
  </w:style>
  <w:style w:type="paragraph" w:customStyle="1" w:styleId="ListDash4">
    <w:name w:val="List Dash 4"/>
    <w:basedOn w:val="Text4"/>
    <w:rsid w:val="004A55DB"/>
    <w:pPr>
      <w:numPr>
        <w:numId w:val="61"/>
      </w:numPr>
      <w:spacing w:before="0" w:after="240"/>
    </w:pPr>
    <w:rPr>
      <w:rFonts w:eastAsia="Times New Roman"/>
      <w:szCs w:val="20"/>
    </w:rPr>
  </w:style>
  <w:style w:type="paragraph" w:customStyle="1" w:styleId="ListNumber1">
    <w:name w:val="List Number 1"/>
    <w:basedOn w:val="Text1"/>
    <w:rsid w:val="004A55DB"/>
    <w:pPr>
      <w:numPr>
        <w:numId w:val="62"/>
      </w:numPr>
      <w:spacing w:before="0" w:after="240"/>
    </w:pPr>
    <w:rPr>
      <w:lang w:val="en-GB"/>
    </w:rPr>
  </w:style>
  <w:style w:type="paragraph" w:customStyle="1" w:styleId="ListNumberLevel2">
    <w:name w:val="List Number (Level 2)"/>
    <w:basedOn w:val="Normln"/>
    <w:rsid w:val="004A55DB"/>
    <w:pPr>
      <w:tabs>
        <w:tab w:val="num" w:pos="1417"/>
      </w:tabs>
      <w:spacing w:before="0" w:after="240"/>
      <w:ind w:left="1417" w:hanging="708"/>
    </w:pPr>
    <w:rPr>
      <w:rFonts w:ascii="Times New Roman" w:eastAsia="Times New Roman" w:hAnsi="Times New Roman"/>
      <w:szCs w:val="20"/>
      <w:lang w:val="en-GB"/>
    </w:rPr>
  </w:style>
  <w:style w:type="paragraph" w:customStyle="1" w:styleId="ListNumber1Level2">
    <w:name w:val="List Number 1 (Level 2)"/>
    <w:basedOn w:val="Text1"/>
    <w:rsid w:val="004A55DB"/>
    <w:pPr>
      <w:numPr>
        <w:ilvl w:val="1"/>
        <w:numId w:val="62"/>
      </w:numPr>
      <w:spacing w:before="0" w:after="240"/>
    </w:pPr>
    <w:rPr>
      <w:lang w:val="en-GB"/>
    </w:rPr>
  </w:style>
  <w:style w:type="paragraph" w:customStyle="1" w:styleId="ListNumber2Level2">
    <w:name w:val="List Number 2 (Level 2)"/>
    <w:basedOn w:val="Text2"/>
    <w:rsid w:val="004A55DB"/>
    <w:pPr>
      <w:tabs>
        <w:tab w:val="num" w:pos="2494"/>
      </w:tabs>
      <w:spacing w:before="0" w:after="240"/>
      <w:ind w:left="2494" w:hanging="708"/>
    </w:pPr>
    <w:rPr>
      <w:rFonts w:eastAsia="Times New Roman"/>
      <w:szCs w:val="20"/>
    </w:rPr>
  </w:style>
  <w:style w:type="paragraph" w:customStyle="1" w:styleId="ListNumber3Level2">
    <w:name w:val="List Number 3 (Level 2)"/>
    <w:basedOn w:val="Text3"/>
    <w:rsid w:val="004A55DB"/>
    <w:pPr>
      <w:tabs>
        <w:tab w:val="num" w:pos="3333"/>
      </w:tabs>
      <w:spacing w:before="0" w:after="240"/>
      <w:ind w:left="3333" w:hanging="708"/>
    </w:pPr>
    <w:rPr>
      <w:rFonts w:eastAsia="Times New Roman"/>
      <w:szCs w:val="20"/>
    </w:rPr>
  </w:style>
  <w:style w:type="paragraph" w:customStyle="1" w:styleId="ListNumber4Level2">
    <w:name w:val="List Number 4 (Level 2)"/>
    <w:basedOn w:val="Text4"/>
    <w:rsid w:val="004A55DB"/>
    <w:pPr>
      <w:tabs>
        <w:tab w:val="num" w:pos="4297"/>
      </w:tabs>
      <w:spacing w:before="0" w:after="240"/>
      <w:ind w:left="4297" w:hanging="708"/>
    </w:pPr>
    <w:rPr>
      <w:rFonts w:eastAsia="Times New Roman"/>
      <w:szCs w:val="20"/>
    </w:rPr>
  </w:style>
  <w:style w:type="paragraph" w:customStyle="1" w:styleId="ListNumberLevel3">
    <w:name w:val="List Number (Level 3)"/>
    <w:basedOn w:val="Normln"/>
    <w:rsid w:val="004A55DB"/>
    <w:pPr>
      <w:tabs>
        <w:tab w:val="num" w:pos="2126"/>
      </w:tabs>
      <w:spacing w:before="0" w:after="240"/>
      <w:ind w:left="2126" w:hanging="709"/>
    </w:pPr>
    <w:rPr>
      <w:rFonts w:ascii="Times New Roman" w:eastAsia="Times New Roman" w:hAnsi="Times New Roman"/>
      <w:szCs w:val="20"/>
      <w:lang w:val="en-GB"/>
    </w:rPr>
  </w:style>
  <w:style w:type="paragraph" w:customStyle="1" w:styleId="ListNumber1Level3">
    <w:name w:val="List Number 1 (Level 3)"/>
    <w:basedOn w:val="Text1"/>
    <w:rsid w:val="004A55DB"/>
    <w:pPr>
      <w:numPr>
        <w:ilvl w:val="2"/>
        <w:numId w:val="62"/>
      </w:numPr>
      <w:spacing w:before="0" w:after="240"/>
    </w:pPr>
    <w:rPr>
      <w:lang w:val="en-GB"/>
    </w:rPr>
  </w:style>
  <w:style w:type="paragraph" w:customStyle="1" w:styleId="ListNumber2Level3">
    <w:name w:val="List Number 2 (Level 3)"/>
    <w:basedOn w:val="Text2"/>
    <w:rsid w:val="004A55DB"/>
    <w:pPr>
      <w:tabs>
        <w:tab w:val="num" w:pos="3203"/>
      </w:tabs>
      <w:spacing w:before="0" w:after="240"/>
      <w:ind w:left="3203" w:hanging="709"/>
    </w:pPr>
    <w:rPr>
      <w:rFonts w:eastAsia="Times New Roman"/>
      <w:szCs w:val="20"/>
    </w:rPr>
  </w:style>
  <w:style w:type="paragraph" w:customStyle="1" w:styleId="ListNumber3Level3">
    <w:name w:val="List Number 3 (Level 3)"/>
    <w:basedOn w:val="Text3"/>
    <w:rsid w:val="004A55DB"/>
    <w:pPr>
      <w:tabs>
        <w:tab w:val="num" w:pos="4042"/>
      </w:tabs>
      <w:spacing w:before="0" w:after="240"/>
      <w:ind w:left="4042" w:hanging="709"/>
    </w:pPr>
    <w:rPr>
      <w:rFonts w:eastAsia="Times New Roman"/>
      <w:szCs w:val="20"/>
    </w:rPr>
  </w:style>
  <w:style w:type="paragraph" w:customStyle="1" w:styleId="ListNumber4Level3">
    <w:name w:val="List Number 4 (Level 3)"/>
    <w:basedOn w:val="Text4"/>
    <w:rsid w:val="004A55DB"/>
    <w:pPr>
      <w:tabs>
        <w:tab w:val="num" w:pos="5006"/>
      </w:tabs>
      <w:spacing w:before="0" w:after="240"/>
      <w:ind w:left="5006" w:hanging="709"/>
    </w:pPr>
    <w:rPr>
      <w:rFonts w:eastAsia="Times New Roman"/>
      <w:szCs w:val="20"/>
    </w:rPr>
  </w:style>
  <w:style w:type="paragraph" w:customStyle="1" w:styleId="ListNumberLevel4">
    <w:name w:val="List Number (Level 4)"/>
    <w:basedOn w:val="Normln"/>
    <w:rsid w:val="004A55DB"/>
    <w:pPr>
      <w:tabs>
        <w:tab w:val="num" w:pos="2835"/>
      </w:tabs>
      <w:spacing w:before="0" w:after="240"/>
      <w:ind w:left="2835" w:hanging="709"/>
    </w:pPr>
    <w:rPr>
      <w:rFonts w:ascii="Times New Roman" w:eastAsia="Times New Roman" w:hAnsi="Times New Roman"/>
      <w:szCs w:val="20"/>
      <w:lang w:val="en-GB"/>
    </w:rPr>
  </w:style>
  <w:style w:type="paragraph" w:customStyle="1" w:styleId="ListNumber1Level4">
    <w:name w:val="List Number 1 (Level 4)"/>
    <w:basedOn w:val="Text1"/>
    <w:rsid w:val="004A55DB"/>
    <w:pPr>
      <w:numPr>
        <w:ilvl w:val="3"/>
        <w:numId w:val="62"/>
      </w:numPr>
      <w:spacing w:before="0" w:after="240"/>
    </w:pPr>
    <w:rPr>
      <w:lang w:val="en-GB"/>
    </w:rPr>
  </w:style>
  <w:style w:type="paragraph" w:customStyle="1" w:styleId="ListNumber2Level4">
    <w:name w:val="List Number 2 (Level 4)"/>
    <w:basedOn w:val="Text2"/>
    <w:rsid w:val="004A55DB"/>
    <w:pPr>
      <w:tabs>
        <w:tab w:val="num" w:pos="3912"/>
      </w:tabs>
      <w:spacing w:before="0" w:after="240"/>
      <w:ind w:left="3912" w:hanging="709"/>
    </w:pPr>
    <w:rPr>
      <w:rFonts w:eastAsia="Times New Roman"/>
      <w:szCs w:val="20"/>
    </w:rPr>
  </w:style>
  <w:style w:type="paragraph" w:customStyle="1" w:styleId="ListNumber3Level4">
    <w:name w:val="List Number 3 (Level 4)"/>
    <w:basedOn w:val="Text3"/>
    <w:rsid w:val="004A55DB"/>
    <w:pPr>
      <w:tabs>
        <w:tab w:val="num" w:pos="4751"/>
      </w:tabs>
      <w:spacing w:before="0" w:after="240"/>
      <w:ind w:left="4751" w:hanging="709"/>
    </w:pPr>
    <w:rPr>
      <w:rFonts w:eastAsia="Times New Roman"/>
      <w:szCs w:val="20"/>
    </w:rPr>
  </w:style>
  <w:style w:type="paragraph" w:customStyle="1" w:styleId="ListNumber4Level4">
    <w:name w:val="List Number 4 (Level 4)"/>
    <w:basedOn w:val="Text4"/>
    <w:rsid w:val="004A55DB"/>
    <w:pPr>
      <w:tabs>
        <w:tab w:val="num" w:pos="5715"/>
      </w:tabs>
      <w:spacing w:before="0" w:after="240"/>
      <w:ind w:left="5715" w:hanging="709"/>
    </w:pPr>
    <w:rPr>
      <w:rFonts w:eastAsia="Times New Roman"/>
      <w:szCs w:val="20"/>
    </w:rPr>
  </w:style>
  <w:style w:type="paragraph" w:customStyle="1" w:styleId="Tabberschrift">
    <w:name w:val="Tab_Überschrift"/>
    <w:basedOn w:val="Normln"/>
    <w:next w:val="Normln"/>
    <w:rsid w:val="004A55DB"/>
    <w:pPr>
      <w:keepNext/>
      <w:spacing w:after="240" w:line="312" w:lineRule="atLeast"/>
      <w:ind w:left="1843" w:hanging="1843"/>
      <w:jc w:val="left"/>
    </w:pPr>
    <w:rPr>
      <w:rFonts w:ascii="Arial" w:eastAsia="Times New Roman" w:hAnsi="Arial"/>
      <w:szCs w:val="20"/>
      <w:lang w:val="en-GB" w:eastAsia="de-DE"/>
    </w:rPr>
  </w:style>
  <w:style w:type="paragraph" w:customStyle="1" w:styleId="SUPERSCharChar">
    <w:name w:val="SUPERS Char Char"/>
    <w:aliases w:val="Footnote Char Char,Footnote number Char Char,Footnote symbol Char Char,Ref Char Char,Voetnootverwijzing Char Char,de nota al pi... Char Char Char Char Char Char Char Char,de nota al pie Char Char"/>
    <w:basedOn w:val="Normln"/>
    <w:link w:val="Znakapoznpodarou"/>
    <w:uiPriority w:val="99"/>
    <w:rsid w:val="004A55DB"/>
    <w:pPr>
      <w:spacing w:before="0" w:after="160" w:line="240" w:lineRule="exact"/>
      <w:jc w:val="left"/>
    </w:pPr>
    <w:rPr>
      <w:rFonts w:ascii="Calibri" w:hAnsi="Calibri"/>
      <w:sz w:val="20"/>
      <w:szCs w:val="20"/>
      <w:vertAlign w:val="superscript"/>
    </w:rPr>
  </w:style>
  <w:style w:type="character" w:customStyle="1" w:styleId="SourceCar">
    <w:name w:val="Source Car"/>
    <w:basedOn w:val="Standardnpsmoodstavce"/>
    <w:link w:val="Source"/>
    <w:rsid w:val="004A55DB"/>
    <w:rPr>
      <w:rFonts w:ascii="Times New Roman" w:eastAsia="Times New Roman" w:hAnsi="Times New Roman"/>
      <w:sz w:val="16"/>
      <w:lang w:eastAsia="cs-CZ"/>
    </w:rPr>
  </w:style>
  <w:style w:type="paragraph" w:customStyle="1" w:styleId="Corps">
    <w:name w:val="Corps"/>
    <w:uiPriority w:val="99"/>
    <w:rsid w:val="004A55DB"/>
    <w:pPr>
      <w:pBdr>
        <w:top w:val="nil"/>
        <w:left w:val="nil"/>
        <w:bottom w:val="nil"/>
        <w:right w:val="nil"/>
        <w:between w:val="nil"/>
        <w:bar w:val="nil"/>
      </w:pBdr>
      <w:spacing w:after="240"/>
      <w:jc w:val="both"/>
    </w:pPr>
    <w:rPr>
      <w:rFonts w:ascii="Times New Roman" w:eastAsia="Arial Unicode MS" w:hAnsi="Times New Roman" w:cs="Arial Unicode MS"/>
      <w:color w:val="000000"/>
      <w:sz w:val="24"/>
      <w:szCs w:val="24"/>
      <w:u w:color="000000"/>
      <w:bdr w:val="nil"/>
      <w:lang w:val="fr-FR" w:eastAsia="en-GB"/>
    </w:rPr>
  </w:style>
  <w:style w:type="numbering" w:customStyle="1" w:styleId="Style3import">
    <w:name w:val="Style 3 importé"/>
    <w:rsid w:val="004A55DB"/>
    <w:pPr>
      <w:numPr>
        <w:numId w:val="48"/>
      </w:numPr>
    </w:pPr>
  </w:style>
  <w:style w:type="paragraph" w:customStyle="1" w:styleId="FootnotesymbolCarZchn">
    <w:name w:val="Footnote symbol Car Zchn"/>
    <w:aliases w:val="BVI fnr Car Zchn,Char Char Char Char Char Car Zchn,Exposant 3 Point Car Zchn,Footnote Car Zchn,Footnote Reference Superscript Car Zchn,SUPERS Car Zchn,Times 10 Point Car Zchn"/>
    <w:basedOn w:val="Normln"/>
    <w:uiPriority w:val="99"/>
    <w:rsid w:val="004A55DB"/>
    <w:pPr>
      <w:spacing w:before="0" w:after="160" w:line="240" w:lineRule="exact"/>
    </w:pPr>
    <w:rPr>
      <w:rFonts w:asciiTheme="minorHAnsi" w:eastAsiaTheme="minorHAnsi" w:hAnsiTheme="minorHAnsi" w:cstheme="minorBidi"/>
      <w:vertAlign w:val="superscript"/>
      <w:lang w:val="en-GB"/>
    </w:rPr>
  </w:style>
  <w:style w:type="table" w:styleId="Stednmka3zvraznn4">
    <w:name w:val="Medium Grid 3 Accent 4"/>
    <w:basedOn w:val="Normlntabulka"/>
    <w:uiPriority w:val="69"/>
    <w:rsid w:val="004A55DB"/>
    <w:rPr>
      <w:rFonts w:ascii="Times" w:eastAsia="Times New Roman" w:hAnsi="Times"/>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A0A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0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0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0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0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404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4040" w:themeFill="accent4" w:themeFillTint="7F"/>
      </w:tcPr>
    </w:tblStylePr>
  </w:style>
  <w:style w:type="table" w:customStyle="1" w:styleId="TableGrid12">
    <w:name w:val="Table Grid12"/>
    <w:basedOn w:val="Normlntabulka"/>
    <w:next w:val="Mkatabulky"/>
    <w:uiPriority w:val="59"/>
    <w:rsid w:val="004A55D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tlseznamzvraznn1">
    <w:name w:val="Light List Accent 1"/>
    <w:basedOn w:val="Normlntabulka"/>
    <w:uiPriority w:val="61"/>
    <w:rsid w:val="004A55DB"/>
    <w:rPr>
      <w:rFonts w:asciiTheme="minorHAnsi" w:eastAsiaTheme="minorHAnsi" w:hAnsiTheme="minorHAnsi" w:cstheme="minorBidi"/>
      <w:sz w:val="22"/>
      <w:szCs w:val="22"/>
      <w:lang w:val="en-US"/>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tblBorders>
    </w:tblPr>
    <w:tblStylePr w:type="firstRow">
      <w:pPr>
        <w:spacing w:before="0" w:after="0" w:line="240" w:lineRule="auto"/>
      </w:pPr>
      <w:rPr>
        <w:b/>
        <w:bCs/>
        <w:color w:val="FFFFFF" w:themeColor="background1"/>
      </w:rPr>
      <w:tblPr/>
      <w:tcPr>
        <w:shd w:val="clear" w:color="auto" w:fill="B6B002" w:themeFill="accent1"/>
      </w:tcPr>
    </w:tblStylePr>
    <w:tblStylePr w:type="lastRow">
      <w:pPr>
        <w:spacing w:before="0" w:after="0" w:line="240" w:lineRule="auto"/>
      </w:pPr>
      <w:rPr>
        <w:b/>
        <w:bCs/>
      </w:rPr>
      <w:tblPr/>
      <w:tcPr>
        <w:tcBorders>
          <w:top w:val="double" w:sz="6" w:space="0" w:color="B6B002" w:themeColor="accent1"/>
          <w:left w:val="single" w:sz="8" w:space="0" w:color="B6B002" w:themeColor="accent1"/>
          <w:bottom w:val="single" w:sz="8" w:space="0" w:color="B6B002" w:themeColor="accent1"/>
          <w:right w:val="single" w:sz="8" w:space="0" w:color="B6B002" w:themeColor="accent1"/>
        </w:tcBorders>
      </w:tcPr>
    </w:tblStylePr>
    <w:tblStylePr w:type="firstCol">
      <w:rPr>
        <w:b/>
        <w:bCs/>
      </w:rPr>
    </w:tblStylePr>
    <w:tblStylePr w:type="lastCol">
      <w:rPr>
        <w:b/>
        <w:bCs/>
      </w:rPr>
    </w:tblStylePr>
    <w:tblStylePr w:type="band1Vert">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tblStylePr w:type="band1Horz">
      <w:tblPr/>
      <w:tcPr>
        <w:tcBorders>
          <w:top w:val="single" w:sz="8" w:space="0" w:color="B6B002" w:themeColor="accent1"/>
          <w:left w:val="single" w:sz="8" w:space="0" w:color="B6B002" w:themeColor="accent1"/>
          <w:bottom w:val="single" w:sz="8" w:space="0" w:color="B6B002" w:themeColor="accent1"/>
          <w:right w:val="single" w:sz="8" w:space="0" w:color="B6B002" w:themeColor="accent1"/>
        </w:tcBorders>
      </w:tcPr>
    </w:tblStylePr>
  </w:style>
  <w:style w:type="paragraph" w:customStyle="1" w:styleId="Footnotes">
    <w:name w:val="Footnotes"/>
    <w:basedOn w:val="Textpoznpodarou"/>
    <w:link w:val="FootnotesChar"/>
    <w:qFormat/>
    <w:rsid w:val="004A55DB"/>
    <w:pPr>
      <w:ind w:left="284" w:hanging="284"/>
    </w:pPr>
    <w:rPr>
      <w:rFonts w:ascii="Arial" w:eastAsia="Calibri" w:hAnsi="Arial" w:cs="Arial"/>
      <w:lang w:val="en-GB" w:eastAsia="en-US"/>
    </w:rPr>
  </w:style>
  <w:style w:type="character" w:customStyle="1" w:styleId="FootnotesChar">
    <w:name w:val="Footnotes Char"/>
    <w:link w:val="Footnotes"/>
    <w:rsid w:val="004A55DB"/>
    <w:rPr>
      <w:rFonts w:ascii="Arial" w:hAnsi="Arial" w:cs="Arial"/>
      <w:sz w:val="18"/>
      <w:lang w:val="en-GB"/>
    </w:rPr>
  </w:style>
  <w:style w:type="table" w:styleId="Stednmka3zvraznn1">
    <w:name w:val="Medium Grid 3 Accent 1"/>
    <w:basedOn w:val="Normlntabulka"/>
    <w:uiPriority w:val="69"/>
    <w:rsid w:val="004A55DB"/>
    <w:rPr>
      <w:rFonts w:asciiTheme="minorHAnsi" w:eastAsiaTheme="minorHAnsi" w:hAnsiTheme="minorHAnsi" w:cstheme="minorBidi"/>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BA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B00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B00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B00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B00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F75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F75E" w:themeFill="accent1" w:themeFillTint="7F"/>
      </w:tcPr>
    </w:tblStylePr>
  </w:style>
  <w:style w:type="paragraph" w:customStyle="1" w:styleId="Briefingtext">
    <w:name w:val="Briefing text"/>
    <w:basedOn w:val="Normln"/>
    <w:link w:val="BriefingtextChar"/>
    <w:rsid w:val="004A55DB"/>
    <w:pPr>
      <w:spacing w:before="0" w:after="240"/>
    </w:pPr>
    <w:rPr>
      <w:rFonts w:ascii="Arial" w:eastAsia="Times New Roman" w:hAnsi="Arial" w:cs="Arial"/>
      <w:szCs w:val="24"/>
      <w:lang w:val="en-GB"/>
    </w:rPr>
  </w:style>
  <w:style w:type="character" w:customStyle="1" w:styleId="BriefingtextChar">
    <w:name w:val="Briefing text Char"/>
    <w:link w:val="Briefingtext"/>
    <w:rsid w:val="004A55DB"/>
    <w:rPr>
      <w:rFonts w:ascii="Arial" w:eastAsia="Times New Roman" w:hAnsi="Arial" w:cs="Arial"/>
      <w:sz w:val="24"/>
      <w:szCs w:val="24"/>
      <w:lang w:val="en-GB"/>
    </w:rPr>
  </w:style>
  <w:style w:type="paragraph" w:customStyle="1" w:styleId="Puce2">
    <w:name w:val="Puce 2"/>
    <w:basedOn w:val="Normln"/>
    <w:qFormat/>
    <w:rsid w:val="004A55DB"/>
    <w:pPr>
      <w:numPr>
        <w:ilvl w:val="1"/>
        <w:numId w:val="49"/>
      </w:numPr>
      <w:spacing w:before="60" w:after="60"/>
    </w:pPr>
    <w:rPr>
      <w:rFonts w:asciiTheme="minorHAnsi" w:eastAsiaTheme="minorHAnsi" w:hAnsiTheme="minorHAnsi" w:cstheme="minorBidi"/>
      <w:sz w:val="20"/>
      <w:szCs w:val="20"/>
      <w:lang w:val="fr-FR"/>
    </w:rPr>
  </w:style>
  <w:style w:type="paragraph" w:customStyle="1" w:styleId="Puce3">
    <w:name w:val="Puce 3"/>
    <w:basedOn w:val="Normln"/>
    <w:qFormat/>
    <w:rsid w:val="004A55DB"/>
    <w:pPr>
      <w:numPr>
        <w:ilvl w:val="2"/>
        <w:numId w:val="49"/>
      </w:numPr>
      <w:spacing w:before="60" w:after="60"/>
    </w:pPr>
    <w:rPr>
      <w:rFonts w:asciiTheme="minorHAnsi" w:eastAsiaTheme="minorHAnsi" w:hAnsiTheme="minorHAnsi" w:cstheme="minorBidi"/>
      <w:sz w:val="20"/>
      <w:szCs w:val="20"/>
      <w:lang w:val="fr-FR"/>
    </w:rPr>
  </w:style>
  <w:style w:type="paragraph" w:customStyle="1" w:styleId="ungerKopfzeile">
    <w:name w:val="unger. Kopfzeile"/>
    <w:basedOn w:val="Normln"/>
    <w:rsid w:val="004A55DB"/>
    <w:pPr>
      <w:tabs>
        <w:tab w:val="center" w:pos="4253"/>
        <w:tab w:val="right" w:pos="8505"/>
      </w:tabs>
      <w:spacing w:before="0" w:after="480" w:line="312" w:lineRule="atLeast"/>
    </w:pPr>
    <w:rPr>
      <w:rFonts w:ascii="Arial" w:eastAsia="Times New Roman" w:hAnsi="Arial"/>
      <w:szCs w:val="20"/>
      <w:lang w:val="en-GB" w:eastAsia="de-DE"/>
    </w:rPr>
  </w:style>
  <w:style w:type="numbering" w:customStyle="1" w:styleId="IA">
    <w:name w:val="IA"/>
    <w:uiPriority w:val="99"/>
    <w:rsid w:val="004A55DB"/>
    <w:pPr>
      <w:numPr>
        <w:numId w:val="50"/>
      </w:numPr>
    </w:pPr>
  </w:style>
  <w:style w:type="paragraph" w:customStyle="1" w:styleId="Kopzonder">
    <w:name w:val="Kop zonder"/>
    <w:basedOn w:val="Normln"/>
    <w:link w:val="KopzonderChar"/>
    <w:qFormat/>
    <w:rsid w:val="004A55DB"/>
    <w:pPr>
      <w:keepNext/>
      <w:spacing w:before="0" w:after="0" w:line="312" w:lineRule="atLeast"/>
    </w:pPr>
    <w:rPr>
      <w:rFonts w:ascii="Arial" w:eastAsia="Times New Roman" w:hAnsi="Arial"/>
      <w:b/>
      <w:szCs w:val="20"/>
      <w:lang w:val="en-GB" w:eastAsia="de-DE"/>
    </w:rPr>
  </w:style>
  <w:style w:type="character" w:customStyle="1" w:styleId="KopzonderChar">
    <w:name w:val="Kop zonder Char"/>
    <w:basedOn w:val="Standardnpsmoodstavce"/>
    <w:link w:val="Kopzonder"/>
    <w:rsid w:val="004A55DB"/>
    <w:rPr>
      <w:rFonts w:ascii="Arial" w:eastAsia="Times New Roman" w:hAnsi="Arial"/>
      <w:b/>
      <w:sz w:val="24"/>
      <w:lang w:val="en-GB" w:eastAsia="de-DE"/>
    </w:rPr>
  </w:style>
  <w:style w:type="table" w:customStyle="1" w:styleId="CV11">
    <w:name w:val="CV11"/>
    <w:basedOn w:val="Normlntabulka"/>
    <w:next w:val="Mkatabulky"/>
    <w:uiPriority w:val="59"/>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11">
    <w:name w:val="Medium Shading 1 - Accent 11"/>
    <w:basedOn w:val="Normlntabulka"/>
    <w:next w:val="Stednstnovn1zvraznn1"/>
    <w:uiPriority w:val="63"/>
    <w:rsid w:val="004A55DB"/>
    <w:rPr>
      <w:rFonts w:ascii="Times New Roman" w:eastAsia="Times New Roman" w:hAnsi="Times New Roman"/>
      <w:lang w:val="de-DE"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GridTable3-Accent11">
    <w:name w:val="Grid Table 3 - Accent 11"/>
    <w:basedOn w:val="Normlntabulka"/>
    <w:uiPriority w:val="48"/>
    <w:rsid w:val="004A55DB"/>
    <w:rPr>
      <w:rFonts w:asciiTheme="minorHAnsi" w:eastAsiaTheme="minorHAnsi" w:hAnsiTheme="minorHAnsi" w:cstheme="minorBidi"/>
      <w:sz w:val="22"/>
      <w:szCs w:val="22"/>
      <w:lang w:val="en-US"/>
    </w:rPr>
    <w:tblPr>
      <w:tblStyleRowBandSize w:val="1"/>
      <w:tblStyleColBandSize w:val="1"/>
      <w:tblBorders>
        <w:top w:val="single" w:sz="4" w:space="0" w:color="FCF63D" w:themeColor="accent1" w:themeTint="99"/>
        <w:left w:val="single" w:sz="4" w:space="0" w:color="FCF63D" w:themeColor="accent1" w:themeTint="99"/>
        <w:bottom w:val="single" w:sz="4" w:space="0" w:color="FCF63D" w:themeColor="accent1" w:themeTint="99"/>
        <w:right w:val="single" w:sz="4" w:space="0" w:color="FCF63D" w:themeColor="accent1" w:themeTint="99"/>
        <w:insideH w:val="single" w:sz="4" w:space="0" w:color="FCF63D" w:themeColor="accent1" w:themeTint="99"/>
        <w:insideV w:val="single" w:sz="4" w:space="0" w:color="FCF63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CBE" w:themeFill="accent1" w:themeFillTint="33"/>
      </w:tcPr>
    </w:tblStylePr>
    <w:tblStylePr w:type="band1Horz">
      <w:tblPr/>
      <w:tcPr>
        <w:shd w:val="clear" w:color="auto" w:fill="FEFCBE" w:themeFill="accent1" w:themeFillTint="33"/>
      </w:tcPr>
    </w:tblStylePr>
    <w:tblStylePr w:type="neCell">
      <w:tblPr/>
      <w:tcPr>
        <w:tcBorders>
          <w:bottom w:val="single" w:sz="4" w:space="0" w:color="FCF63D" w:themeColor="accent1" w:themeTint="99"/>
        </w:tcBorders>
      </w:tcPr>
    </w:tblStylePr>
    <w:tblStylePr w:type="nwCell">
      <w:tblPr/>
      <w:tcPr>
        <w:tcBorders>
          <w:bottom w:val="single" w:sz="4" w:space="0" w:color="FCF63D" w:themeColor="accent1" w:themeTint="99"/>
        </w:tcBorders>
      </w:tcPr>
    </w:tblStylePr>
    <w:tblStylePr w:type="seCell">
      <w:tblPr/>
      <w:tcPr>
        <w:tcBorders>
          <w:top w:val="single" w:sz="4" w:space="0" w:color="FCF63D" w:themeColor="accent1" w:themeTint="99"/>
        </w:tcBorders>
      </w:tcPr>
    </w:tblStylePr>
    <w:tblStylePr w:type="swCell">
      <w:tblPr/>
      <w:tcPr>
        <w:tcBorders>
          <w:top w:val="single" w:sz="4" w:space="0" w:color="FCF63D" w:themeColor="accent1" w:themeTint="99"/>
        </w:tcBorders>
      </w:tcPr>
    </w:tblStylePr>
  </w:style>
  <w:style w:type="table" w:styleId="Stednstnovn1zvraznn1">
    <w:name w:val="Medium Shading 1 Accent 1"/>
    <w:basedOn w:val="Normlntabulka"/>
    <w:uiPriority w:val="63"/>
    <w:rsid w:val="004A55DB"/>
    <w:rPr>
      <w:rFonts w:asciiTheme="minorHAnsi" w:eastAsiaTheme="minorHAnsi" w:hAnsiTheme="minorHAnsi" w:cstheme="minorBidi"/>
      <w:sz w:val="22"/>
      <w:szCs w:val="22"/>
      <w:lang w:val="en-US"/>
    </w:rPr>
    <w:tblPr>
      <w:tblStyleRowBandSize w:val="1"/>
      <w:tblStyleColBandSize w:val="1"/>
      <w:tbl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single" w:sz="8" w:space="0" w:color="FCF30D" w:themeColor="accent1" w:themeTint="BF"/>
      </w:tblBorders>
    </w:tblPr>
    <w:tblStylePr w:type="firstRow">
      <w:pPr>
        <w:spacing w:before="0" w:after="0" w:line="240" w:lineRule="auto"/>
      </w:pPr>
      <w:rPr>
        <w:b/>
        <w:bCs/>
        <w:color w:val="FFFFFF" w:themeColor="background1"/>
      </w:rPr>
      <w:tblPr/>
      <w:tcPr>
        <w:tcBorders>
          <w:top w:val="single" w:sz="8"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shd w:val="clear" w:color="auto" w:fill="B6B002" w:themeFill="accent1"/>
      </w:tcPr>
    </w:tblStylePr>
    <w:tblStylePr w:type="lastRow">
      <w:pPr>
        <w:spacing w:before="0" w:after="0" w:line="240" w:lineRule="auto"/>
      </w:pPr>
      <w:rPr>
        <w:b/>
        <w:bCs/>
      </w:rPr>
      <w:tblPr/>
      <w:tcPr>
        <w:tcBorders>
          <w:top w:val="double" w:sz="6" w:space="0" w:color="FCF30D" w:themeColor="accent1" w:themeTint="BF"/>
          <w:left w:val="single" w:sz="8" w:space="0" w:color="FCF30D" w:themeColor="accent1" w:themeTint="BF"/>
          <w:bottom w:val="single" w:sz="8" w:space="0" w:color="FCF30D" w:themeColor="accent1" w:themeTint="BF"/>
          <w:right w:val="single" w:sz="8" w:space="0" w:color="FCF30D" w:themeColor="accent1" w:themeTint="BF"/>
          <w:insideH w:val="nil"/>
          <w:insideV w:val="nil"/>
        </w:tcBorders>
      </w:tcPr>
    </w:tblStylePr>
    <w:tblStylePr w:type="firstCol">
      <w:rPr>
        <w:b/>
        <w:bCs/>
      </w:rPr>
    </w:tblStylePr>
    <w:tblStylePr w:type="lastCol">
      <w:rPr>
        <w:b/>
        <w:bCs/>
      </w:rPr>
    </w:tblStylePr>
    <w:tblStylePr w:type="band1Vert">
      <w:tblPr/>
      <w:tcPr>
        <w:shd w:val="clear" w:color="auto" w:fill="FEFBAF" w:themeFill="accent1" w:themeFillTint="3F"/>
      </w:tcPr>
    </w:tblStylePr>
    <w:tblStylePr w:type="band1Horz">
      <w:tblPr/>
      <w:tcPr>
        <w:tcBorders>
          <w:insideH w:val="nil"/>
          <w:insideV w:val="nil"/>
        </w:tcBorders>
        <w:shd w:val="clear" w:color="auto" w:fill="FEFBAF" w:themeFill="accent1" w:themeFillTint="3F"/>
      </w:tcPr>
    </w:tblStylePr>
    <w:tblStylePr w:type="band2Horz">
      <w:tblPr/>
      <w:tcPr>
        <w:tcBorders>
          <w:insideH w:val="nil"/>
          <w:insideV w:val="nil"/>
        </w:tcBorders>
      </w:tcPr>
    </w:tblStylePr>
  </w:style>
  <w:style w:type="table" w:customStyle="1" w:styleId="TableGrid311">
    <w:name w:val="Table Grid311"/>
    <w:basedOn w:val="Normlntabulka"/>
    <w:next w:val="Mkatabulky"/>
    <w:uiPriority w:val="59"/>
    <w:rsid w:val="004A55D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bberschrift">
    <w:name w:val="Abb_Überschrift"/>
    <w:basedOn w:val="Normln"/>
    <w:next w:val="Normln"/>
    <w:rsid w:val="004A55DB"/>
    <w:pPr>
      <w:keepNext/>
      <w:spacing w:line="312" w:lineRule="atLeast"/>
      <w:ind w:left="1418" w:hanging="1418"/>
      <w:jc w:val="left"/>
    </w:pPr>
    <w:rPr>
      <w:rFonts w:ascii="Arial" w:eastAsia="Times New Roman" w:hAnsi="Arial"/>
      <w:szCs w:val="20"/>
      <w:lang w:val="en-GB" w:eastAsia="de-DE"/>
    </w:rPr>
  </w:style>
  <w:style w:type="paragraph" w:customStyle="1" w:styleId="Quelle">
    <w:name w:val="Quelle"/>
    <w:basedOn w:val="Normln"/>
    <w:rsid w:val="004A55DB"/>
    <w:pPr>
      <w:spacing w:after="480"/>
      <w:ind w:left="709" w:hanging="709"/>
    </w:pPr>
    <w:rPr>
      <w:rFonts w:ascii="Arial" w:eastAsia="Times New Roman" w:hAnsi="Arial"/>
      <w:sz w:val="18"/>
      <w:szCs w:val="20"/>
      <w:lang w:val="en-GB" w:eastAsia="de-DE"/>
    </w:rPr>
  </w:style>
  <w:style w:type="table" w:customStyle="1" w:styleId="MittleresRaster3-Akzent42">
    <w:name w:val="Mittleres Raster 3 - Akzent 42"/>
    <w:basedOn w:val="Normlntabulka"/>
    <w:next w:val="Stednmka3zvraznn4"/>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FEF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Svtlseznamzvraznn3">
    <w:name w:val="Light List Accent 3"/>
    <w:basedOn w:val="Normlntabulka"/>
    <w:uiPriority w:val="61"/>
    <w:rsid w:val="004A55DB"/>
    <w:rPr>
      <w:rFonts w:asciiTheme="minorHAnsi" w:eastAsiaTheme="minorEastAsia" w:hAnsiTheme="minorHAnsi" w:cstheme="minorBidi"/>
      <w:sz w:val="22"/>
      <w:szCs w:val="22"/>
      <w:lang w:val="en-US" w:eastAsia="ja-JP"/>
    </w:rPr>
    <w:tblPr>
      <w:tblStyleRowBandSize w:val="1"/>
      <w:tblStyleColBandSize w:val="1"/>
      <w:tblBorders>
        <w:top w:val="single" w:sz="8" w:space="0" w:color="FFFF99" w:themeColor="accent3"/>
        <w:left w:val="single" w:sz="8" w:space="0" w:color="FFFF99" w:themeColor="accent3"/>
        <w:bottom w:val="single" w:sz="8" w:space="0" w:color="FFFF99" w:themeColor="accent3"/>
        <w:right w:val="single" w:sz="8" w:space="0" w:color="FFFF99" w:themeColor="accent3"/>
      </w:tblBorders>
    </w:tblPr>
    <w:tblStylePr w:type="firstRow">
      <w:pPr>
        <w:spacing w:before="0" w:after="0" w:line="240" w:lineRule="auto"/>
      </w:pPr>
      <w:rPr>
        <w:b/>
        <w:bCs/>
        <w:color w:val="FFFFFF" w:themeColor="background1"/>
      </w:rPr>
      <w:tblPr/>
      <w:tcPr>
        <w:shd w:val="clear" w:color="auto" w:fill="FFFF99" w:themeFill="accent3"/>
      </w:tcPr>
    </w:tblStylePr>
    <w:tblStylePr w:type="lastRow">
      <w:pPr>
        <w:spacing w:before="0" w:after="0" w:line="240" w:lineRule="auto"/>
      </w:pPr>
      <w:rPr>
        <w:b/>
        <w:bCs/>
      </w:rPr>
      <w:tblPr/>
      <w:tcPr>
        <w:tcBorders>
          <w:top w:val="double" w:sz="6" w:space="0" w:color="FFFF99" w:themeColor="accent3"/>
          <w:left w:val="single" w:sz="8" w:space="0" w:color="FFFF99" w:themeColor="accent3"/>
          <w:bottom w:val="single" w:sz="8" w:space="0" w:color="FFFF99" w:themeColor="accent3"/>
          <w:right w:val="single" w:sz="8" w:space="0" w:color="FFFF99" w:themeColor="accent3"/>
        </w:tcBorders>
      </w:tcPr>
    </w:tblStylePr>
    <w:tblStylePr w:type="firstCol">
      <w:rPr>
        <w:b/>
        <w:bCs/>
      </w:rPr>
    </w:tblStylePr>
    <w:tblStylePr w:type="lastCol">
      <w:rPr>
        <w:b/>
        <w:bCs/>
      </w:rPr>
    </w:tblStylePr>
    <w:tblStylePr w:type="band1Vert">
      <w:tblPr/>
      <w:tcPr>
        <w:tcBorders>
          <w:top w:val="single" w:sz="8" w:space="0" w:color="FFFF99" w:themeColor="accent3"/>
          <w:left w:val="single" w:sz="8" w:space="0" w:color="FFFF99" w:themeColor="accent3"/>
          <w:bottom w:val="single" w:sz="8" w:space="0" w:color="FFFF99" w:themeColor="accent3"/>
          <w:right w:val="single" w:sz="8" w:space="0" w:color="FFFF99" w:themeColor="accent3"/>
        </w:tcBorders>
      </w:tcPr>
    </w:tblStylePr>
    <w:tblStylePr w:type="band1Horz">
      <w:tblPr/>
      <w:tcPr>
        <w:tcBorders>
          <w:top w:val="single" w:sz="8" w:space="0" w:color="FFFF99" w:themeColor="accent3"/>
          <w:left w:val="single" w:sz="8" w:space="0" w:color="FFFF99" w:themeColor="accent3"/>
          <w:bottom w:val="single" w:sz="8" w:space="0" w:color="FFFF99" w:themeColor="accent3"/>
          <w:right w:val="single" w:sz="8" w:space="0" w:color="FFFF99" w:themeColor="accent3"/>
        </w:tcBorders>
      </w:tcPr>
    </w:tblStylePr>
  </w:style>
  <w:style w:type="table" w:customStyle="1" w:styleId="GridTable4-Accent11">
    <w:name w:val="Grid Table 4 - Accent 11"/>
    <w:basedOn w:val="Normlntabulka"/>
    <w:uiPriority w:val="49"/>
    <w:rsid w:val="004A55DB"/>
    <w:rPr>
      <w:sz w:val="22"/>
      <w:szCs w:val="22"/>
      <w:lang w:val="en-GB"/>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abellenverzeichnis">
    <w:name w:val="Tabellenverzeichnis"/>
    <w:basedOn w:val="Seznamobrzk"/>
    <w:rsid w:val="004A55DB"/>
    <w:pPr>
      <w:tabs>
        <w:tab w:val="right" w:pos="8505"/>
      </w:tabs>
      <w:spacing w:before="0" w:after="120" w:line="312" w:lineRule="atLeast"/>
      <w:ind w:left="1559" w:hanging="1559"/>
      <w:jc w:val="left"/>
    </w:pPr>
    <w:rPr>
      <w:rFonts w:ascii="Arial" w:eastAsia="Times New Roman" w:hAnsi="Arial"/>
      <w:sz w:val="22"/>
      <w:szCs w:val="20"/>
      <w:lang w:val="en-GB" w:eastAsia="de-DE"/>
    </w:rPr>
  </w:style>
  <w:style w:type="paragraph" w:customStyle="1" w:styleId="DefaultText">
    <w:name w:val="Default Text"/>
    <w:basedOn w:val="Normln"/>
    <w:link w:val="DefaultTextChar"/>
    <w:qFormat/>
    <w:rsid w:val="004A55DB"/>
    <w:pPr>
      <w:spacing w:before="0" w:after="240" w:line="312" w:lineRule="atLeast"/>
    </w:pPr>
    <w:rPr>
      <w:rFonts w:ascii="Arial" w:eastAsia="Times New Roman" w:hAnsi="Arial"/>
      <w:szCs w:val="20"/>
      <w:lang w:val="en-GB" w:eastAsia="de-DE"/>
    </w:rPr>
  </w:style>
  <w:style w:type="character" w:customStyle="1" w:styleId="DefaultTextChar">
    <w:name w:val="Default Text Char"/>
    <w:basedOn w:val="Standardnpsmoodstavce"/>
    <w:link w:val="DefaultText"/>
    <w:rsid w:val="004A55DB"/>
    <w:rPr>
      <w:rFonts w:ascii="Arial" w:eastAsia="Times New Roman" w:hAnsi="Arial"/>
      <w:sz w:val="24"/>
      <w:lang w:val="en-GB" w:eastAsia="de-DE"/>
    </w:rPr>
  </w:style>
  <w:style w:type="paragraph" w:customStyle="1" w:styleId="En-tte">
    <w:name w:val="En-tête"/>
    <w:next w:val="Corps"/>
    <w:rsid w:val="004A55DB"/>
    <w:pPr>
      <w:keepNext/>
      <w:pBdr>
        <w:top w:val="nil"/>
        <w:left w:val="nil"/>
        <w:bottom w:val="nil"/>
        <w:right w:val="nil"/>
        <w:between w:val="nil"/>
        <w:bar w:val="nil"/>
      </w:pBdr>
      <w:tabs>
        <w:tab w:val="left" w:pos="480"/>
      </w:tabs>
      <w:spacing w:before="240" w:after="240"/>
      <w:jc w:val="both"/>
      <w:outlineLvl w:val="0"/>
    </w:pPr>
    <w:rPr>
      <w:rFonts w:ascii="Times New Roman" w:eastAsia="Arial Unicode MS" w:hAnsi="Times New Roman" w:cs="Arial Unicode MS"/>
      <w:b/>
      <w:bCs/>
      <w:smallCaps/>
      <w:color w:val="000000"/>
      <w:sz w:val="24"/>
      <w:szCs w:val="24"/>
      <w:u w:color="000000"/>
      <w:bdr w:val="nil"/>
      <w:lang w:val="fr-FR" w:eastAsia="en-GB"/>
    </w:rPr>
  </w:style>
  <w:style w:type="paragraph" w:customStyle="1" w:styleId="Spiegelstrich">
    <w:name w:val="Spiegelstrich"/>
    <w:basedOn w:val="Normln"/>
    <w:uiPriority w:val="99"/>
    <w:rsid w:val="004A55DB"/>
    <w:pPr>
      <w:numPr>
        <w:numId w:val="51"/>
      </w:numPr>
      <w:tabs>
        <w:tab w:val="left" w:pos="357"/>
      </w:tabs>
      <w:spacing w:before="0" w:after="240" w:line="312" w:lineRule="atLeast"/>
    </w:pPr>
    <w:rPr>
      <w:rFonts w:ascii="Arial" w:eastAsia="Times New Roman" w:hAnsi="Arial"/>
      <w:szCs w:val="20"/>
      <w:lang w:val="en-GB" w:eastAsia="de-DE"/>
    </w:rPr>
  </w:style>
  <w:style w:type="numbering" w:styleId="lnekoddl">
    <w:name w:val="Outline List 3"/>
    <w:basedOn w:val="Bezseznamu"/>
    <w:uiPriority w:val="99"/>
    <w:semiHidden/>
    <w:unhideWhenUsed/>
    <w:rsid w:val="004A55DB"/>
    <w:pPr>
      <w:numPr>
        <w:numId w:val="63"/>
      </w:numPr>
    </w:pPr>
  </w:style>
  <w:style w:type="table" w:customStyle="1" w:styleId="GridTable1Light-Accent11">
    <w:name w:val="Grid Table 1 Light - Accent 11"/>
    <w:basedOn w:val="Normlntabulka"/>
    <w:uiPriority w:val="46"/>
    <w:rsid w:val="004A55DB"/>
    <w:rPr>
      <w:rFonts w:asciiTheme="minorHAnsi" w:eastAsia="Times New Roman" w:hAnsiTheme="minorHAnsi"/>
      <w:sz w:val="22"/>
      <w:szCs w:val="22"/>
      <w:lang w:val="en-US"/>
    </w:rPr>
    <w:tblPr>
      <w:tblStyleRowBandSize w:val="1"/>
      <w:tblStyleColBandSize w:val="1"/>
      <w:tblBorders>
        <w:top w:val="single" w:sz="4" w:space="0" w:color="FDF97D" w:themeColor="accent1" w:themeTint="66"/>
        <w:left w:val="single" w:sz="4" w:space="0" w:color="FDF97D" w:themeColor="accent1" w:themeTint="66"/>
        <w:bottom w:val="single" w:sz="4" w:space="0" w:color="FDF97D" w:themeColor="accent1" w:themeTint="66"/>
        <w:right w:val="single" w:sz="4" w:space="0" w:color="FDF97D" w:themeColor="accent1" w:themeTint="66"/>
        <w:insideH w:val="single" w:sz="4" w:space="0" w:color="FDF97D" w:themeColor="accent1" w:themeTint="66"/>
        <w:insideV w:val="single" w:sz="4" w:space="0" w:color="FDF97D" w:themeColor="accent1" w:themeTint="66"/>
      </w:tblBorders>
    </w:tblPr>
    <w:tblStylePr w:type="firstRow">
      <w:rPr>
        <w:rFonts w:cs="Times New Roman"/>
        <w:b/>
        <w:bCs/>
      </w:rPr>
      <w:tblPr/>
      <w:tcPr>
        <w:tcBorders>
          <w:bottom w:val="single" w:sz="12" w:space="0" w:color="FCF63D" w:themeColor="accent1" w:themeTint="99"/>
        </w:tcBorders>
      </w:tcPr>
    </w:tblStylePr>
    <w:tblStylePr w:type="lastRow">
      <w:rPr>
        <w:rFonts w:cs="Times New Roman"/>
        <w:b/>
        <w:bCs/>
      </w:rPr>
      <w:tblPr/>
      <w:tcPr>
        <w:tcBorders>
          <w:top w:val="double" w:sz="2" w:space="0" w:color="FCF63D" w:themeColor="accent1" w:themeTint="99"/>
        </w:tcBorders>
      </w:tcPr>
    </w:tblStylePr>
    <w:tblStylePr w:type="firstCol">
      <w:rPr>
        <w:rFonts w:cs="Times New Roman"/>
        <w:b/>
        <w:bCs/>
      </w:rPr>
    </w:tblStylePr>
    <w:tblStylePr w:type="lastCol">
      <w:rPr>
        <w:rFonts w:cs="Times New Roman"/>
        <w:b/>
        <w:bCs/>
      </w:rPr>
    </w:tblStylePr>
  </w:style>
  <w:style w:type="table" w:customStyle="1" w:styleId="PlainTable31">
    <w:name w:val="Plain Table 31"/>
    <w:basedOn w:val="Normlntabulka"/>
    <w:uiPriority w:val="43"/>
    <w:rsid w:val="004A55DB"/>
    <w:rPr>
      <w:rFonts w:asciiTheme="minorHAnsi" w:eastAsiaTheme="minorHAnsi" w:hAnsiTheme="minorHAnsi" w:cstheme="minorBidi"/>
      <w:sz w:val="22"/>
      <w:szCs w:val="22"/>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Ika4-normal">
    <w:name w:val="Ika4-normal"/>
    <w:basedOn w:val="Normln"/>
    <w:rsid w:val="004A55DB"/>
    <w:pPr>
      <w:overflowPunct w:val="0"/>
      <w:autoSpaceDE w:val="0"/>
      <w:autoSpaceDN w:val="0"/>
      <w:adjustRightInd w:val="0"/>
      <w:spacing w:before="0" w:after="0" w:line="360" w:lineRule="auto"/>
      <w:ind w:firstLine="720"/>
      <w:textAlignment w:val="baseline"/>
    </w:pPr>
    <w:rPr>
      <w:rFonts w:ascii="Times New Roman" w:eastAsia="Times New Roman" w:hAnsi="Times New Roman"/>
      <w:sz w:val="26"/>
      <w:szCs w:val="20"/>
      <w:lang w:val="bg-BG"/>
    </w:rPr>
  </w:style>
  <w:style w:type="table" w:styleId="Stednseznam2zvraznn1">
    <w:name w:val="Medium List 2 Accent 1"/>
    <w:basedOn w:val="Normlntabulka"/>
    <w:uiPriority w:val="66"/>
    <w:rsid w:val="004A55DB"/>
    <w:rPr>
      <w:rFonts w:asciiTheme="majorHAnsi" w:eastAsiaTheme="majorEastAsia" w:hAnsiTheme="majorHAnsi" w:cstheme="majorBidi"/>
      <w:color w:val="000000" w:themeColor="text1"/>
      <w:sz w:val="22"/>
      <w:szCs w:val="22"/>
      <w:lang w:val="en-US"/>
    </w:rPr>
    <w:tblPr>
      <w:tblStyleRowBandSize w:val="1"/>
      <w:tblStyleColBandSize w:val="1"/>
      <w:tblBorders>
        <w:top w:val="single" w:sz="8" w:space="0" w:color="B6B002" w:themeColor="accent1"/>
        <w:left w:val="single" w:sz="8" w:space="0" w:color="B6B002" w:themeColor="accent1"/>
        <w:bottom w:val="single" w:sz="8" w:space="0" w:color="B6B002" w:themeColor="accent1"/>
        <w:right w:val="single" w:sz="8" w:space="0" w:color="B6B002" w:themeColor="accent1"/>
      </w:tblBorders>
    </w:tblPr>
    <w:tblStylePr w:type="firstRow">
      <w:rPr>
        <w:sz w:val="24"/>
        <w:szCs w:val="24"/>
      </w:rPr>
      <w:tblPr/>
      <w:tcPr>
        <w:tcBorders>
          <w:top w:val="nil"/>
          <w:left w:val="nil"/>
          <w:bottom w:val="single" w:sz="24" w:space="0" w:color="B6B002" w:themeColor="accent1"/>
          <w:right w:val="nil"/>
          <w:insideH w:val="nil"/>
          <w:insideV w:val="nil"/>
        </w:tcBorders>
        <w:shd w:val="clear" w:color="auto" w:fill="FFFFFF" w:themeFill="background1"/>
      </w:tcPr>
    </w:tblStylePr>
    <w:tblStylePr w:type="lastRow">
      <w:tblPr/>
      <w:tcPr>
        <w:tcBorders>
          <w:top w:val="single" w:sz="8" w:space="0" w:color="B6B00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B002" w:themeColor="accent1"/>
          <w:insideH w:val="nil"/>
          <w:insideV w:val="nil"/>
        </w:tcBorders>
        <w:shd w:val="clear" w:color="auto" w:fill="FFFFFF" w:themeFill="background1"/>
      </w:tcPr>
    </w:tblStylePr>
    <w:tblStylePr w:type="lastCol">
      <w:tblPr/>
      <w:tcPr>
        <w:tcBorders>
          <w:top w:val="nil"/>
          <w:left w:val="single" w:sz="8" w:space="0" w:color="B6B00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top w:val="nil"/>
          <w:bottom w:val="nil"/>
          <w:insideH w:val="nil"/>
          <w:insideV w:val="nil"/>
        </w:tcBorders>
        <w:shd w:val="clear" w:color="auto" w:fill="FEFBA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Zahlen">
    <w:name w:val="Zahlen"/>
    <w:basedOn w:val="Spiegelstrich"/>
    <w:rsid w:val="004A55DB"/>
    <w:pPr>
      <w:numPr>
        <w:numId w:val="0"/>
      </w:numPr>
      <w:tabs>
        <w:tab w:val="num" w:pos="765"/>
      </w:tabs>
      <w:ind w:left="432" w:hanging="432"/>
    </w:pPr>
  </w:style>
  <w:style w:type="paragraph" w:styleId="Bibliografie">
    <w:name w:val="Bibliography"/>
    <w:basedOn w:val="Normln"/>
    <w:rsid w:val="004A55DB"/>
    <w:pPr>
      <w:spacing w:before="0" w:after="240" w:line="240" w:lineRule="atLeast"/>
      <w:ind w:left="720" w:hanging="720"/>
    </w:pPr>
    <w:rPr>
      <w:rFonts w:ascii="Arial" w:eastAsia="Times New Roman" w:hAnsi="Arial"/>
      <w:sz w:val="20"/>
      <w:szCs w:val="20"/>
      <w:lang w:val="en-GB" w:eastAsia="de-DE"/>
    </w:rPr>
  </w:style>
  <w:style w:type="table" w:customStyle="1" w:styleId="Deloitte1">
    <w:name w:val="Deloitte1"/>
    <w:basedOn w:val="Normlntabulka"/>
    <w:next w:val="Mkatabulky"/>
    <w:uiPriority w:val="59"/>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lntabulka"/>
    <w:next w:val="Mkatabulky"/>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ln"/>
    <w:rsid w:val="004A55DB"/>
    <w:pPr>
      <w:tabs>
        <w:tab w:val="left" w:pos="-720"/>
        <w:tab w:val="left" w:pos="0"/>
        <w:tab w:val="left" w:pos="720"/>
        <w:tab w:val="left" w:pos="1441"/>
        <w:tab w:val="left" w:pos="2161"/>
        <w:tab w:val="left" w:pos="2881"/>
        <w:tab w:val="left" w:pos="3601"/>
        <w:tab w:val="left" w:pos="4320"/>
        <w:tab w:val="left" w:pos="5041"/>
        <w:tab w:val="left" w:pos="5761"/>
        <w:tab w:val="left" w:pos="6481"/>
        <w:tab w:val="left" w:pos="7201"/>
        <w:tab w:val="left" w:pos="7921"/>
        <w:tab w:val="left" w:pos="8641"/>
      </w:tabs>
      <w:spacing w:before="0" w:after="0" w:line="200" w:lineRule="atLeast"/>
      <w:ind w:left="720" w:hanging="720"/>
    </w:pPr>
    <w:rPr>
      <w:rFonts w:ascii="Times New Roman" w:eastAsia="Times New Roman" w:hAnsi="Times New Roman"/>
      <w:noProof/>
      <w:szCs w:val="20"/>
      <w:lang w:val="en-GB" w:eastAsia="de-DE"/>
    </w:rPr>
  </w:style>
  <w:style w:type="paragraph" w:customStyle="1" w:styleId="Nextrow">
    <w:name w:val="Nextrow"/>
    <w:rsid w:val="004A55DB"/>
    <w:pPr>
      <w:spacing w:before="40" w:after="40"/>
    </w:pPr>
    <w:rPr>
      <w:rFonts w:ascii="Times New Roman" w:eastAsia="Times New Roman" w:hAnsi="Times New Roman"/>
      <w:lang w:val="en-GB" w:eastAsia="de-DE"/>
    </w:rPr>
  </w:style>
  <w:style w:type="paragraph" w:customStyle="1" w:styleId="AltBase">
    <w:name w:val="_AltBase"/>
    <w:rsid w:val="004A55DB"/>
    <w:pPr>
      <w:jc w:val="both"/>
    </w:pPr>
    <w:rPr>
      <w:rFonts w:ascii="Helvetica" w:eastAsia="Times New Roman" w:hAnsi="Helvetica"/>
      <w:lang w:val="en-GB" w:eastAsia="de-DE"/>
    </w:rPr>
  </w:style>
  <w:style w:type="table" w:customStyle="1" w:styleId="Tabellengitternetz1">
    <w:name w:val="Tabellengitternetz1"/>
    <w:basedOn w:val="Normlntabulka"/>
    <w:next w:val="Mkatabulky"/>
    <w:rsid w:val="004A55DB"/>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Normlntabulka"/>
    <w:next w:val="Mkatabulky"/>
    <w:rsid w:val="004A55DB"/>
    <w:rPr>
      <w:rFonts w:ascii="Times New Roman" w:eastAsia="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ttleresRaster3-Akzent11">
    <w:name w:val="Mittleres Raster 3 - Akzent 11"/>
    <w:basedOn w:val="Normlntabulka"/>
    <w:next w:val="Stednmka3zvraznn1"/>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FarbigeListe-Akzent11">
    <w:name w:val="Farbige Liste - Akzent 11"/>
    <w:basedOn w:val="Normlntabulka"/>
    <w:next w:val="Barevnseznamzvraznn1"/>
    <w:uiPriority w:val="72"/>
    <w:rsid w:val="004A55DB"/>
    <w:rPr>
      <w:rFonts w:ascii="Times" w:eastAsia="Times New Roman" w:hAnsi="Times"/>
      <w:color w:val="000000"/>
      <w:lang w:val="de-DE" w:eastAsia="de-DE"/>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HelleListe-Akzent11">
    <w:name w:val="Helle Liste - Akzent 11"/>
    <w:basedOn w:val="Normlntabulka"/>
    <w:next w:val="Svtlseznamzvraznn1"/>
    <w:uiPriority w:val="61"/>
    <w:rsid w:val="004A55DB"/>
    <w:rPr>
      <w:rFonts w:ascii="Times" w:eastAsia="Times New Roman" w:hAnsi="Times"/>
      <w:lang w:val="de-DE"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ps">
    <w:name w:val="hps"/>
    <w:basedOn w:val="Standardnpsmoodstavce"/>
    <w:rsid w:val="004A55DB"/>
  </w:style>
  <w:style w:type="character" w:customStyle="1" w:styleId="clickable">
    <w:name w:val="clickable"/>
    <w:basedOn w:val="Standardnpsmoodstavce"/>
    <w:rsid w:val="004A55DB"/>
  </w:style>
  <w:style w:type="paragraph" w:customStyle="1" w:styleId="Puce10">
    <w:name w:val="Puce 1"/>
    <w:basedOn w:val="Normln"/>
    <w:qFormat/>
    <w:rsid w:val="004A55DB"/>
    <w:pPr>
      <w:spacing w:before="60" w:after="60"/>
      <w:ind w:left="142" w:hanging="142"/>
    </w:pPr>
    <w:rPr>
      <w:rFonts w:ascii="Calibri" w:hAnsi="Calibri"/>
      <w:sz w:val="20"/>
      <w:szCs w:val="20"/>
      <w:lang w:val="fr-FR"/>
    </w:rPr>
  </w:style>
  <w:style w:type="paragraph" w:customStyle="1" w:styleId="CVTitle">
    <w:name w:val="CV Title"/>
    <w:basedOn w:val="Normln"/>
    <w:rsid w:val="004A55DB"/>
    <w:pPr>
      <w:suppressAutoHyphens/>
      <w:spacing w:before="0" w:after="0"/>
      <w:ind w:left="113" w:right="113"/>
      <w:jc w:val="right"/>
    </w:pPr>
    <w:rPr>
      <w:rFonts w:ascii="Arial Narrow" w:eastAsia="Times New Roman" w:hAnsi="Arial Narrow"/>
      <w:b/>
      <w:bCs/>
      <w:spacing w:val="10"/>
      <w:sz w:val="28"/>
      <w:szCs w:val="20"/>
      <w:lang w:val="en-GB" w:eastAsia="ar-SA"/>
    </w:rPr>
  </w:style>
  <w:style w:type="paragraph" w:customStyle="1" w:styleId="CVHeading1">
    <w:name w:val="CV Heading 1"/>
    <w:basedOn w:val="Normln"/>
    <w:next w:val="Normln"/>
    <w:rsid w:val="004A55DB"/>
    <w:pPr>
      <w:suppressAutoHyphens/>
      <w:spacing w:before="74" w:after="0"/>
      <w:ind w:left="113" w:right="113"/>
      <w:jc w:val="right"/>
    </w:pPr>
    <w:rPr>
      <w:rFonts w:ascii="Arial Narrow" w:eastAsia="Times New Roman" w:hAnsi="Arial Narrow"/>
      <w:b/>
      <w:szCs w:val="20"/>
      <w:lang w:val="en-US" w:eastAsia="ar-SA"/>
    </w:rPr>
  </w:style>
  <w:style w:type="paragraph" w:customStyle="1" w:styleId="CVHeading2-FirstLine">
    <w:name w:val="CV Heading 2 - First Line"/>
    <w:basedOn w:val="Normln"/>
    <w:next w:val="Normln"/>
    <w:rsid w:val="004A55DB"/>
    <w:pPr>
      <w:suppressAutoHyphens/>
      <w:spacing w:before="74" w:after="0"/>
      <w:ind w:left="113" w:right="113"/>
      <w:jc w:val="right"/>
    </w:pPr>
    <w:rPr>
      <w:rFonts w:ascii="Arial Narrow" w:eastAsia="Times New Roman" w:hAnsi="Arial Narrow"/>
      <w:szCs w:val="20"/>
      <w:lang w:val="en-US" w:eastAsia="ar-SA"/>
    </w:rPr>
  </w:style>
  <w:style w:type="paragraph" w:customStyle="1" w:styleId="CVHeading3">
    <w:name w:val="CV Heading 3"/>
    <w:basedOn w:val="Normln"/>
    <w:next w:val="Normln"/>
    <w:rsid w:val="004A55DB"/>
    <w:pPr>
      <w:suppressAutoHyphens/>
      <w:spacing w:before="0" w:after="0"/>
      <w:ind w:left="113" w:right="113"/>
      <w:jc w:val="right"/>
      <w:textAlignment w:val="center"/>
    </w:pPr>
    <w:rPr>
      <w:rFonts w:ascii="Arial Narrow" w:eastAsia="Times New Roman" w:hAnsi="Arial Narrow"/>
      <w:sz w:val="20"/>
      <w:szCs w:val="20"/>
      <w:lang w:val="en-US" w:eastAsia="ar-SA"/>
    </w:rPr>
  </w:style>
  <w:style w:type="paragraph" w:customStyle="1" w:styleId="CVHeading3-FirstLine">
    <w:name w:val="CV Heading 3 - First Line"/>
    <w:basedOn w:val="CVHeading3"/>
    <w:next w:val="CVHeading3"/>
    <w:rsid w:val="004A55DB"/>
    <w:pPr>
      <w:spacing w:before="74"/>
    </w:pPr>
  </w:style>
  <w:style w:type="paragraph" w:customStyle="1" w:styleId="CVMajor-FirstLine">
    <w:name w:val="CV Major - First Line"/>
    <w:basedOn w:val="Normln"/>
    <w:next w:val="Normln"/>
    <w:rsid w:val="004A55DB"/>
    <w:pPr>
      <w:suppressAutoHyphens/>
      <w:spacing w:before="74" w:after="0"/>
      <w:ind w:left="113" w:right="113"/>
      <w:jc w:val="left"/>
    </w:pPr>
    <w:rPr>
      <w:rFonts w:ascii="Arial Narrow" w:eastAsia="Times New Roman" w:hAnsi="Arial Narrow"/>
      <w:b/>
      <w:szCs w:val="20"/>
      <w:lang w:val="en-US" w:eastAsia="ar-SA"/>
    </w:rPr>
  </w:style>
  <w:style w:type="paragraph" w:customStyle="1" w:styleId="CVMedium-FirstLine">
    <w:name w:val="CV Medium - First Line"/>
    <w:basedOn w:val="Normln"/>
    <w:next w:val="Normln"/>
    <w:rsid w:val="004A55DB"/>
    <w:pPr>
      <w:suppressAutoHyphens/>
      <w:spacing w:before="74" w:after="0"/>
      <w:ind w:left="113" w:right="113"/>
      <w:jc w:val="left"/>
    </w:pPr>
    <w:rPr>
      <w:rFonts w:ascii="Arial Narrow" w:eastAsia="Times New Roman" w:hAnsi="Arial Narrow"/>
      <w:b/>
      <w:szCs w:val="20"/>
      <w:lang w:val="en-US" w:eastAsia="ar-SA"/>
    </w:rPr>
  </w:style>
  <w:style w:type="paragraph" w:customStyle="1" w:styleId="CVNormal">
    <w:name w:val="CV Normal"/>
    <w:basedOn w:val="Normln"/>
    <w:rsid w:val="004A55DB"/>
    <w:pPr>
      <w:suppressAutoHyphens/>
      <w:spacing w:before="0" w:after="0"/>
      <w:ind w:left="113" w:right="113"/>
      <w:jc w:val="left"/>
    </w:pPr>
    <w:rPr>
      <w:rFonts w:ascii="Arial Narrow" w:eastAsia="Times New Roman" w:hAnsi="Arial Narrow"/>
      <w:sz w:val="20"/>
      <w:szCs w:val="20"/>
      <w:lang w:val="en-US" w:eastAsia="ar-SA"/>
    </w:rPr>
  </w:style>
  <w:style w:type="paragraph" w:customStyle="1" w:styleId="CVSpacer">
    <w:name w:val="CV Spacer"/>
    <w:basedOn w:val="CVNormal"/>
    <w:rsid w:val="004A55DB"/>
    <w:rPr>
      <w:sz w:val="4"/>
    </w:rPr>
  </w:style>
  <w:style w:type="paragraph" w:customStyle="1" w:styleId="CVNormal-FirstLine">
    <w:name w:val="CV Normal - First Line"/>
    <w:basedOn w:val="CVNormal"/>
    <w:next w:val="CVNormal"/>
    <w:rsid w:val="004A55DB"/>
    <w:pPr>
      <w:spacing w:before="74"/>
    </w:pPr>
  </w:style>
  <w:style w:type="paragraph" w:customStyle="1" w:styleId="CVHeading2">
    <w:name w:val="CV Heading 2"/>
    <w:basedOn w:val="CVHeading1"/>
    <w:next w:val="Normln"/>
    <w:rsid w:val="004A55DB"/>
    <w:pPr>
      <w:spacing w:before="0"/>
    </w:pPr>
    <w:rPr>
      <w:b w:val="0"/>
      <w:sz w:val="22"/>
    </w:rPr>
  </w:style>
  <w:style w:type="paragraph" w:customStyle="1" w:styleId="CVHeadingLanguage">
    <w:name w:val="CV Heading Language"/>
    <w:basedOn w:val="CVHeading2"/>
    <w:next w:val="LevelAssessment-Code"/>
    <w:rsid w:val="004A55DB"/>
    <w:rPr>
      <w:b/>
    </w:rPr>
  </w:style>
  <w:style w:type="paragraph" w:customStyle="1" w:styleId="LevelAssessment-Code">
    <w:name w:val="Level Assessment - Code"/>
    <w:basedOn w:val="Normln"/>
    <w:next w:val="LevelAssessment-Description"/>
    <w:rsid w:val="004A55DB"/>
    <w:pPr>
      <w:suppressAutoHyphens/>
      <w:spacing w:before="0" w:after="0"/>
      <w:ind w:left="28"/>
      <w:jc w:val="center"/>
    </w:pPr>
    <w:rPr>
      <w:rFonts w:ascii="Arial Narrow" w:eastAsia="Times New Roman" w:hAnsi="Arial Narrow"/>
      <w:sz w:val="18"/>
      <w:szCs w:val="20"/>
      <w:lang w:val="en-US" w:eastAsia="ar-SA"/>
    </w:rPr>
  </w:style>
  <w:style w:type="paragraph" w:customStyle="1" w:styleId="LevelAssessment-Description">
    <w:name w:val="Level Assessment - Description"/>
    <w:basedOn w:val="LevelAssessment-Code"/>
    <w:next w:val="LevelAssessment-Code"/>
    <w:rsid w:val="004A55DB"/>
    <w:pPr>
      <w:textAlignment w:val="bottom"/>
    </w:pPr>
  </w:style>
  <w:style w:type="paragraph" w:customStyle="1" w:styleId="CVHeadingLevel">
    <w:name w:val="CV Heading Level"/>
    <w:basedOn w:val="CVHeading3"/>
    <w:next w:val="Normln"/>
    <w:rsid w:val="004A55DB"/>
    <w:rPr>
      <w:i/>
    </w:rPr>
  </w:style>
  <w:style w:type="paragraph" w:customStyle="1" w:styleId="LevelAssessment-Heading1">
    <w:name w:val="Level Assessment - Heading 1"/>
    <w:basedOn w:val="LevelAssessment-Code"/>
    <w:rsid w:val="004A55DB"/>
    <w:pPr>
      <w:ind w:left="57" w:right="57"/>
    </w:pPr>
    <w:rPr>
      <w:b/>
      <w:sz w:val="22"/>
    </w:rPr>
  </w:style>
  <w:style w:type="paragraph" w:customStyle="1" w:styleId="LevelAssessment-Heading2">
    <w:name w:val="Level Assessment - Heading 2"/>
    <w:basedOn w:val="Normln"/>
    <w:rsid w:val="004A55DB"/>
    <w:pPr>
      <w:suppressAutoHyphens/>
      <w:spacing w:before="0" w:after="0"/>
      <w:ind w:left="57" w:right="57"/>
      <w:jc w:val="center"/>
    </w:pPr>
    <w:rPr>
      <w:rFonts w:ascii="Arial Narrow" w:eastAsia="Times New Roman" w:hAnsi="Arial Narrow"/>
      <w:sz w:val="18"/>
      <w:szCs w:val="20"/>
      <w:lang w:val="en-US" w:eastAsia="ar-SA"/>
    </w:rPr>
  </w:style>
  <w:style w:type="paragraph" w:customStyle="1" w:styleId="LevelAssessment-Note">
    <w:name w:val="Level Assessment - Note"/>
    <w:basedOn w:val="LevelAssessment-Code"/>
    <w:rsid w:val="004A55DB"/>
    <w:pPr>
      <w:ind w:left="113"/>
      <w:jc w:val="left"/>
    </w:pPr>
    <w:rPr>
      <w:i/>
    </w:rPr>
  </w:style>
  <w:style w:type="paragraph" w:customStyle="1" w:styleId="Puce1">
    <w:name w:val="Puce1"/>
    <w:basedOn w:val="Normln"/>
    <w:link w:val="Puce1Car"/>
    <w:rsid w:val="004A55DB"/>
    <w:pPr>
      <w:numPr>
        <w:numId w:val="52"/>
      </w:numPr>
      <w:spacing w:before="60" w:after="60"/>
    </w:pPr>
    <w:rPr>
      <w:rFonts w:ascii="Arial" w:eastAsia="Times New Roman" w:hAnsi="Arial"/>
      <w:sz w:val="20"/>
      <w:szCs w:val="24"/>
      <w:lang w:val="en-GB" w:eastAsia="fr-FR"/>
    </w:rPr>
  </w:style>
  <w:style w:type="character" w:customStyle="1" w:styleId="Puce1Car">
    <w:name w:val="Puce1 Car"/>
    <w:link w:val="Puce1"/>
    <w:rsid w:val="004A55DB"/>
    <w:rPr>
      <w:rFonts w:ascii="Arial" w:eastAsia="Times New Roman" w:hAnsi="Arial"/>
      <w:szCs w:val="24"/>
      <w:lang w:val="en-GB" w:eastAsia="fr-FR"/>
    </w:rPr>
  </w:style>
  <w:style w:type="paragraph" w:customStyle="1" w:styleId="CVMedium">
    <w:name w:val="CV Medium"/>
    <w:basedOn w:val="Normln"/>
    <w:rsid w:val="004A55DB"/>
    <w:pPr>
      <w:suppressAutoHyphens/>
      <w:spacing w:before="0" w:after="0"/>
      <w:ind w:left="113" w:right="113"/>
      <w:jc w:val="left"/>
    </w:pPr>
    <w:rPr>
      <w:rFonts w:ascii="Arial Narrow" w:eastAsia="Times New Roman" w:hAnsi="Arial Narrow"/>
      <w:b/>
      <w:szCs w:val="20"/>
      <w:lang w:val="en-US" w:eastAsia="ar-SA"/>
    </w:rPr>
  </w:style>
  <w:style w:type="table" w:customStyle="1" w:styleId="Tabellenraster2">
    <w:name w:val="Tabellenraster2"/>
    <w:basedOn w:val="Normlntabulka"/>
    <w:next w:val="Mkatabulky"/>
    <w:rsid w:val="004A55DB"/>
    <w:rPr>
      <w:rFonts w:ascii="Times New Roman" w:eastAsia="Times New Roman" w:hAnsi="Times New Roman"/>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3">
    <w:name w:val="Footnote Text Char3"/>
    <w:aliases w:val="Footnote Text Char Char Char1,Footnote Text Char1 Char1,Footnote Text Char2 Char Char Char1,Footnote Text Char2 Char1 Char1 Char Char Char1,Footnote Text Char3 Char1 Char Char Char Char Char1,Footnote Text Char3 Char1 Char Char Char1"/>
    <w:uiPriority w:val="99"/>
    <w:locked/>
    <w:rsid w:val="004A55DB"/>
    <w:rPr>
      <w:rFonts w:ascii="Arial" w:hAnsi="Arial"/>
      <w:sz w:val="18"/>
      <w:lang w:val="en-GB"/>
    </w:rPr>
  </w:style>
  <w:style w:type="table" w:customStyle="1" w:styleId="MittlereSchattierung1-Akzent11">
    <w:name w:val="Mittlere Schattierung 1 - Akzent 11"/>
    <w:basedOn w:val="Normlntabulka"/>
    <w:next w:val="Stednstnovn1zvraznn1"/>
    <w:uiPriority w:val="63"/>
    <w:rsid w:val="004A55DB"/>
    <w:rPr>
      <w:rFonts w:ascii="Times" w:eastAsia="Times New Roman" w:hAnsi="Times"/>
      <w:lang w:val="de-DE" w:eastAsia="de-DE"/>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Inhaltsverzeichnisberschrift1">
    <w:name w:val="Inhaltsverzeichnisüberschrift1"/>
    <w:basedOn w:val="Nadpis1"/>
    <w:next w:val="Normln"/>
    <w:uiPriority w:val="39"/>
    <w:unhideWhenUsed/>
    <w:qFormat/>
    <w:rsid w:val="004A55DB"/>
    <w:pPr>
      <w:keepNext/>
      <w:keepLines/>
      <w:widowControl/>
      <w:spacing w:before="480" w:after="0" w:line="276" w:lineRule="auto"/>
      <w:jc w:val="left"/>
      <w:outlineLvl w:val="9"/>
    </w:pPr>
    <w:rPr>
      <w:color w:val="365F91"/>
      <w:lang w:val="en-US" w:eastAsia="ja-JP"/>
    </w:rPr>
  </w:style>
  <w:style w:type="paragraph" w:customStyle="1" w:styleId="table-text">
    <w:name w:val="table-text"/>
    <w:basedOn w:val="Normln"/>
    <w:link w:val="table-textChar"/>
    <w:rsid w:val="004A55DB"/>
    <w:pPr>
      <w:spacing w:before="0" w:after="0" w:line="280" w:lineRule="atLeast"/>
    </w:pPr>
    <w:rPr>
      <w:rFonts w:ascii="Arial" w:eastAsia="Times New Roman" w:hAnsi="Arial"/>
      <w:sz w:val="16"/>
      <w:szCs w:val="24"/>
      <w:lang w:val="en-GB" w:eastAsia="nl-NL"/>
    </w:rPr>
  </w:style>
  <w:style w:type="paragraph" w:customStyle="1" w:styleId="list-bullet-black-table">
    <w:name w:val="list-bullet-black-table"/>
    <w:basedOn w:val="Normln"/>
    <w:link w:val="list-bullet-black-tableChar"/>
    <w:rsid w:val="004A55DB"/>
    <w:pPr>
      <w:numPr>
        <w:numId w:val="53"/>
      </w:numPr>
      <w:spacing w:before="0" w:after="0" w:line="280" w:lineRule="atLeast"/>
    </w:pPr>
    <w:rPr>
      <w:rFonts w:ascii="Arial" w:eastAsia="Times New Roman" w:hAnsi="Arial"/>
      <w:sz w:val="16"/>
      <w:szCs w:val="24"/>
      <w:lang w:val="en-GB" w:eastAsia="nl-NL"/>
    </w:rPr>
  </w:style>
  <w:style w:type="character" w:customStyle="1" w:styleId="list-bullet-black-tableChar">
    <w:name w:val="list-bullet-black-table Char"/>
    <w:basedOn w:val="Standardnpsmoodstavce"/>
    <w:link w:val="list-bullet-black-table"/>
    <w:rsid w:val="004A55DB"/>
    <w:rPr>
      <w:rFonts w:ascii="Arial" w:eastAsia="Times New Roman" w:hAnsi="Arial"/>
      <w:sz w:val="16"/>
      <w:szCs w:val="24"/>
      <w:lang w:val="en-GB" w:eastAsia="nl-NL"/>
    </w:rPr>
  </w:style>
  <w:style w:type="character" w:customStyle="1" w:styleId="table-textChar">
    <w:name w:val="table-text Char"/>
    <w:link w:val="table-text"/>
    <w:rsid w:val="004A55DB"/>
    <w:rPr>
      <w:rFonts w:ascii="Arial" w:eastAsia="Times New Roman" w:hAnsi="Arial"/>
      <w:sz w:val="16"/>
      <w:szCs w:val="24"/>
      <w:lang w:val="en-GB" w:eastAsia="nl-NL"/>
    </w:rPr>
  </w:style>
  <w:style w:type="table" w:customStyle="1" w:styleId="HelleListe-Akzent31">
    <w:name w:val="Helle Liste - Akzent 31"/>
    <w:basedOn w:val="Normlntabulka"/>
    <w:next w:val="Svtlseznamzvraznn3"/>
    <w:uiPriority w:val="61"/>
    <w:rsid w:val="004A55DB"/>
    <w:rPr>
      <w:rFonts w:ascii="Times" w:eastAsia="Times New Roman" w:hAnsi="Times"/>
      <w:lang w:val="de-DE" w:eastAsia="de-DE"/>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Funotenzeichen1">
    <w:name w:val="Fußnotenzeichen1"/>
    <w:rsid w:val="004A55DB"/>
    <w:rPr>
      <w:vertAlign w:val="superscript"/>
    </w:rPr>
  </w:style>
  <w:style w:type="character" w:customStyle="1" w:styleId="WW-Funotenzeichen">
    <w:name w:val="WW-Fußnotenzeichen"/>
    <w:rsid w:val="004A55DB"/>
    <w:rPr>
      <w:vertAlign w:val="superscript"/>
    </w:rPr>
  </w:style>
  <w:style w:type="table" w:customStyle="1" w:styleId="MittleresRaster3-Akzent21">
    <w:name w:val="Mittleres Raster 3 - Akzent 21"/>
    <w:basedOn w:val="Normlntabulka"/>
    <w:next w:val="Stednmka3zvraznn2"/>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FarbigeListe-Akzent21">
    <w:name w:val="Farbige Liste - Akzent 21"/>
    <w:basedOn w:val="Normlntabulka"/>
    <w:next w:val="Barevnseznamzvraznn2"/>
    <w:uiPriority w:val="72"/>
    <w:rsid w:val="004A55DB"/>
    <w:rPr>
      <w:rFonts w:ascii="Times" w:eastAsia="Times New Roman" w:hAnsi="Times"/>
      <w:color w:val="000000"/>
      <w:lang w:val="de-DE" w:eastAsia="de-DE"/>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character" w:customStyle="1" w:styleId="BesuchterHyperlink1">
    <w:name w:val="BesuchterHyperlink1"/>
    <w:basedOn w:val="Standardnpsmoodstavce"/>
    <w:uiPriority w:val="99"/>
    <w:semiHidden/>
    <w:unhideWhenUsed/>
    <w:rsid w:val="004A55DB"/>
    <w:rPr>
      <w:color w:val="800080"/>
      <w:u w:val="single"/>
    </w:rPr>
  </w:style>
  <w:style w:type="paragraph" w:customStyle="1" w:styleId="Tabletext">
    <w:name w:val="Tabletext"/>
    <w:basedOn w:val="Normln"/>
    <w:rsid w:val="004A55DB"/>
    <w:pPr>
      <w:spacing w:before="60" w:after="60"/>
    </w:pPr>
    <w:rPr>
      <w:rFonts w:ascii="Arial" w:eastAsia="Times New Roman" w:hAnsi="Arial"/>
      <w:szCs w:val="24"/>
      <w:lang w:val="en-GB"/>
    </w:rPr>
  </w:style>
  <w:style w:type="paragraph" w:customStyle="1" w:styleId="IntensivesZitat1">
    <w:name w:val="Intensives Zitat1"/>
    <w:basedOn w:val="Normln"/>
    <w:next w:val="Normln"/>
    <w:uiPriority w:val="30"/>
    <w:qFormat/>
    <w:rsid w:val="004A55DB"/>
    <w:pPr>
      <w:pBdr>
        <w:top w:val="single" w:sz="4" w:space="10" w:color="4F81BD"/>
        <w:bottom w:val="single" w:sz="4" w:space="10" w:color="4F81BD"/>
      </w:pBdr>
      <w:spacing w:before="360" w:after="360" w:line="312" w:lineRule="atLeast"/>
      <w:ind w:left="864" w:right="864"/>
      <w:jc w:val="center"/>
    </w:pPr>
    <w:rPr>
      <w:rFonts w:ascii="Arial" w:eastAsia="Times New Roman" w:hAnsi="Arial"/>
      <w:i/>
      <w:iCs/>
      <w:color w:val="4F81BD"/>
      <w:szCs w:val="20"/>
      <w:lang w:val="en-GB" w:eastAsia="de-DE"/>
    </w:rPr>
  </w:style>
  <w:style w:type="character" w:customStyle="1" w:styleId="VrazncittChar">
    <w:name w:val="Výrazný citát Char"/>
    <w:basedOn w:val="Standardnpsmoodstavce"/>
    <w:link w:val="Vrazncitt"/>
    <w:uiPriority w:val="28"/>
    <w:rsid w:val="004A55DB"/>
    <w:rPr>
      <w:rFonts w:ascii="Arial" w:eastAsia="Times New Roman" w:hAnsi="Arial"/>
      <w:i/>
      <w:iCs/>
      <w:color w:val="4F81BD"/>
      <w:lang w:eastAsia="de-DE"/>
    </w:rPr>
  </w:style>
  <w:style w:type="character" w:customStyle="1" w:styleId="IntensiveHervorhebung1">
    <w:name w:val="Intensive Hervorhebung1"/>
    <w:basedOn w:val="Standardnpsmoodstavce"/>
    <w:uiPriority w:val="21"/>
    <w:qFormat/>
    <w:rsid w:val="004A55DB"/>
    <w:rPr>
      <w:i/>
      <w:iCs/>
      <w:color w:val="4F81BD"/>
    </w:rPr>
  </w:style>
  <w:style w:type="table" w:customStyle="1" w:styleId="GridTable5Dark-Accent11">
    <w:name w:val="Grid Table 5 Dark - Accent 11"/>
    <w:basedOn w:val="Normlntabulka"/>
    <w:uiPriority w:val="50"/>
    <w:rsid w:val="004A55D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
    <w:name w:val="Grid Table 5 Dark - Accent 51"/>
    <w:basedOn w:val="Normlntabulka"/>
    <w:uiPriority w:val="50"/>
    <w:rsid w:val="004A55D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MittlereSchattierung2-Akzent41">
    <w:name w:val="Mittlere Schattierung 2 - Akzent 41"/>
    <w:basedOn w:val="Normlntabulka"/>
    <w:next w:val="Stednstnovn2zvraznn4"/>
    <w:uiPriority w:val="64"/>
    <w:rsid w:val="004A55DB"/>
    <w:rPr>
      <w:rFonts w:ascii="Times" w:eastAsia="Times New Roman" w:hAnsi="Times"/>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ittlereListe2-Akzent11">
    <w:name w:val="Mittlere Liste 2 - Akzent 11"/>
    <w:basedOn w:val="Normlntabulka"/>
    <w:next w:val="Stednseznam2zvraznn1"/>
    <w:uiPriority w:val="66"/>
    <w:rsid w:val="004A55DB"/>
    <w:rPr>
      <w:rFonts w:ascii="Cambria" w:eastAsia="Times New Roman" w:hAnsi="Cambria"/>
      <w:color w:val="000000"/>
      <w:lang w:val="de-DE" w:eastAsia="de-D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ittleresRaster3-Akzent51">
    <w:name w:val="Mittleres Raster 3 - Akzent 51"/>
    <w:basedOn w:val="Normlntabulka"/>
    <w:next w:val="Stednmka3zvraznn5"/>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MittleresRaster3-Akzent41">
    <w:name w:val="Mittleres Raster 3 - Akzent 41"/>
    <w:basedOn w:val="Normlntabulka"/>
    <w:next w:val="Stednmka3zvraznn4"/>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Rastertabel5donker-Accent11">
    <w:name w:val="Rastertabel 5 donker - Accent 11"/>
    <w:basedOn w:val="Normlntabulka"/>
    <w:uiPriority w:val="50"/>
    <w:rsid w:val="004A55DB"/>
    <w:rPr>
      <w:sz w:val="22"/>
      <w:szCs w:val="22"/>
      <w:lang w:val="en-GB"/>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styleId="Barevnseznamzvraznn1">
    <w:name w:val="Colorful List Accent 1"/>
    <w:basedOn w:val="Normlntabulka"/>
    <w:uiPriority w:val="72"/>
    <w:rsid w:val="004A55DB"/>
    <w:rPr>
      <w:rFonts w:ascii="Times" w:eastAsia="Times New Roman" w:hAnsi="Times"/>
      <w:color w:val="000000" w:themeColor="text1"/>
      <w:lang w:val="de-DE" w:eastAsia="de-DE"/>
    </w:rPr>
    <w:tblPr>
      <w:tblStyleRowBandSize w:val="1"/>
      <w:tblStyleColBandSize w:val="1"/>
    </w:tblPr>
    <w:tcPr>
      <w:shd w:val="clear" w:color="auto" w:fill="FEFDDF" w:themeFill="accent1" w:themeFillTint="19"/>
    </w:tcPr>
    <w:tblStylePr w:type="firstRow">
      <w:rPr>
        <w:b/>
        <w:bCs/>
        <w:color w:val="FFFFFF" w:themeColor="background1"/>
      </w:rPr>
      <w:tblPr/>
      <w:tcPr>
        <w:tcBorders>
          <w:bottom w:val="single" w:sz="12" w:space="0" w:color="FFFFFF" w:themeColor="background1"/>
        </w:tcBorders>
        <w:shd w:val="clear" w:color="auto" w:fill="656565" w:themeFill="accent2" w:themeFillShade="CC"/>
      </w:tcPr>
    </w:tblStylePr>
    <w:tblStylePr w:type="lastRow">
      <w:rPr>
        <w:b/>
        <w:bCs/>
        <w:color w:val="6565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BAF" w:themeFill="accent1" w:themeFillTint="3F"/>
      </w:tcPr>
    </w:tblStylePr>
    <w:tblStylePr w:type="band1Horz">
      <w:tblPr/>
      <w:tcPr>
        <w:shd w:val="clear" w:color="auto" w:fill="FEFCBE" w:themeFill="accent1" w:themeFillTint="33"/>
      </w:tcPr>
    </w:tblStylePr>
  </w:style>
  <w:style w:type="table" w:styleId="Stednmka3zvraznn2">
    <w:name w:val="Medium Grid 3 Accent 2"/>
    <w:basedOn w:val="Normlntabulka"/>
    <w:uiPriority w:val="69"/>
    <w:rsid w:val="004A55DB"/>
    <w:rPr>
      <w:rFonts w:ascii="Times" w:eastAsia="Times New Roman" w:hAnsi="Times"/>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7F7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7F7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7F7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7F7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2" w:themeFillTint="7F"/>
      </w:tcPr>
    </w:tblStylePr>
  </w:style>
  <w:style w:type="table" w:styleId="Barevnseznamzvraznn2">
    <w:name w:val="Colorful List Accent 2"/>
    <w:basedOn w:val="Normlntabulka"/>
    <w:uiPriority w:val="72"/>
    <w:rsid w:val="004A55DB"/>
    <w:rPr>
      <w:rFonts w:ascii="Times" w:eastAsia="Times New Roman" w:hAnsi="Times"/>
      <w:color w:val="000000" w:themeColor="text1"/>
      <w:lang w:val="de-DE" w:eastAsia="de-DE"/>
    </w:rPr>
    <w:tblPr>
      <w:tblStyleRowBandSize w:val="1"/>
      <w:tblStyleColBandSize w:val="1"/>
    </w:tblPr>
    <w:tcPr>
      <w:shd w:val="clear" w:color="auto" w:fill="F2F2F2" w:themeFill="accent2" w:themeFillTint="19"/>
    </w:tcPr>
    <w:tblStylePr w:type="firstRow">
      <w:rPr>
        <w:b/>
        <w:bCs/>
        <w:color w:val="FFFFFF" w:themeColor="background1"/>
      </w:rPr>
      <w:tblPr/>
      <w:tcPr>
        <w:tcBorders>
          <w:bottom w:val="single" w:sz="12" w:space="0" w:color="FFFFFF" w:themeColor="background1"/>
        </w:tcBorders>
        <w:shd w:val="clear" w:color="auto" w:fill="656565" w:themeFill="accent2" w:themeFillShade="CC"/>
      </w:tcPr>
    </w:tblStylePr>
    <w:tblStylePr w:type="lastRow">
      <w:rPr>
        <w:b/>
        <w:bCs/>
        <w:color w:val="65656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2" w:themeFillTint="3F"/>
      </w:tcPr>
    </w:tblStylePr>
    <w:tblStylePr w:type="band1Horz">
      <w:tblPr/>
      <w:tcPr>
        <w:shd w:val="clear" w:color="auto" w:fill="E5E5E5" w:themeFill="accent2" w:themeFillTint="33"/>
      </w:tcPr>
    </w:tblStylePr>
  </w:style>
  <w:style w:type="paragraph" w:styleId="Vrazncitt">
    <w:name w:val="Intense Quote"/>
    <w:basedOn w:val="Normln"/>
    <w:next w:val="Normln"/>
    <w:link w:val="VrazncittChar"/>
    <w:uiPriority w:val="28"/>
    <w:qFormat/>
    <w:rsid w:val="004A55DB"/>
    <w:pPr>
      <w:pBdr>
        <w:bottom w:val="single" w:sz="4" w:space="4" w:color="B6B002" w:themeColor="accent1"/>
      </w:pBdr>
      <w:spacing w:before="200" w:after="280" w:line="312" w:lineRule="atLeast"/>
      <w:ind w:left="936" w:right="936"/>
    </w:pPr>
    <w:rPr>
      <w:rFonts w:ascii="Arial" w:eastAsia="Times New Roman" w:hAnsi="Arial"/>
      <w:i/>
      <w:iCs/>
      <w:color w:val="4F81BD"/>
      <w:sz w:val="20"/>
      <w:szCs w:val="20"/>
      <w:lang w:eastAsia="de-DE"/>
    </w:rPr>
  </w:style>
  <w:style w:type="character" w:customStyle="1" w:styleId="VrazncittChar1">
    <w:name w:val="Výrazný citát Char1"/>
    <w:basedOn w:val="Standardnpsmoodstavce"/>
    <w:uiPriority w:val="30"/>
    <w:rsid w:val="004A55DB"/>
    <w:rPr>
      <w:rFonts w:ascii="Garamond" w:hAnsi="Garamond"/>
      <w:i/>
      <w:iCs/>
      <w:color w:val="B6B002" w:themeColor="accent1"/>
      <w:sz w:val="24"/>
      <w:szCs w:val="22"/>
    </w:rPr>
  </w:style>
  <w:style w:type="character" w:customStyle="1" w:styleId="IntenseQuoteChar1">
    <w:name w:val="Intense Quote Char1"/>
    <w:basedOn w:val="Standardnpsmoodstavce"/>
    <w:uiPriority w:val="30"/>
    <w:rsid w:val="004A55DB"/>
    <w:rPr>
      <w:b/>
      <w:bCs/>
      <w:i/>
      <w:iCs/>
      <w:color w:val="B6B002" w:themeColor="accent1"/>
    </w:rPr>
  </w:style>
  <w:style w:type="character" w:customStyle="1" w:styleId="IntensivesZitatZchn1">
    <w:name w:val="Intensives Zitat Zchn1"/>
    <w:basedOn w:val="Standardnpsmoodstavce"/>
    <w:uiPriority w:val="30"/>
    <w:rsid w:val="004A55DB"/>
    <w:rPr>
      <w:rFonts w:ascii="Arial" w:hAnsi="Arial"/>
      <w:b/>
      <w:bCs/>
      <w:i/>
      <w:iCs/>
      <w:color w:val="B6B002" w:themeColor="accent1"/>
      <w:sz w:val="22"/>
      <w:lang w:val="en-GB"/>
    </w:rPr>
  </w:style>
  <w:style w:type="table" w:styleId="Stednstnovn2zvraznn4">
    <w:name w:val="Medium Shading 2 Accent 4"/>
    <w:basedOn w:val="Normlntabulka"/>
    <w:uiPriority w:val="64"/>
    <w:rsid w:val="004A55DB"/>
    <w:rPr>
      <w:rFonts w:ascii="Times" w:eastAsia="Times New Roman" w:hAnsi="Times"/>
      <w:lang w:val="de-DE" w:eastAsia="de-D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0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0000" w:themeFill="accent4"/>
      </w:tcPr>
    </w:tblStylePr>
    <w:tblStylePr w:type="lastCol">
      <w:rPr>
        <w:b/>
        <w:bCs/>
        <w:color w:val="FFFFFF" w:themeColor="background1"/>
      </w:rPr>
      <w:tblPr/>
      <w:tcPr>
        <w:tcBorders>
          <w:left w:val="nil"/>
          <w:right w:val="nil"/>
          <w:insideH w:val="nil"/>
          <w:insideV w:val="nil"/>
        </w:tcBorders>
        <w:shd w:val="clear" w:color="auto" w:fill="800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tednmka3zvraznn5">
    <w:name w:val="Medium Grid 3 Accent 5"/>
    <w:basedOn w:val="Normlntabulka"/>
    <w:uiPriority w:val="69"/>
    <w:rsid w:val="004A55DB"/>
    <w:rPr>
      <w:rFonts w:ascii="Times" w:eastAsia="Times New Roman" w:hAnsi="Times"/>
      <w:lang w:val="de-DE" w:eastAsia="de-D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9C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6262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6262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6262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6262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929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9292" w:themeFill="accent5" w:themeFillTint="7F"/>
      </w:tcPr>
    </w:tblStylePr>
  </w:style>
  <w:style w:type="table" w:customStyle="1" w:styleId="MittleresRaster3-Akzent22">
    <w:name w:val="Mittleres Raster 3 - Akzent 22"/>
    <w:basedOn w:val="Normlntabulka"/>
    <w:next w:val="Stednmka3zvraznn2"/>
    <w:uiPriority w:val="69"/>
    <w:rsid w:val="004A55DB"/>
    <w:rPr>
      <w:rFonts w:ascii="Times" w:eastAsia="Times New Roman" w:hAnsi="Times"/>
      <w:lang w:val="de-DE" w:eastAsia="de-DE"/>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customStyle="1" w:styleId="FarbigeListe-Akzent22">
    <w:name w:val="Farbige Liste - Akzent 22"/>
    <w:basedOn w:val="Normlntabulka"/>
    <w:next w:val="Barevnseznamzvraznn2"/>
    <w:uiPriority w:val="72"/>
    <w:rsid w:val="004A55DB"/>
    <w:rPr>
      <w:rFonts w:ascii="Times" w:eastAsia="Times New Roman" w:hAnsi="Times"/>
      <w:color w:val="000000"/>
      <w:lang w:val="de-DE" w:eastAsia="de-DE"/>
    </w:rPr>
    <w:tblPr>
      <w:tblStyleRowBandSize w:val="1"/>
      <w:tblStyleColBandSize w:val="1"/>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character" w:customStyle="1" w:styleId="FootnoteReference1">
    <w:name w:val="Footnote Reference1"/>
    <w:rsid w:val="004A55DB"/>
    <w:rPr>
      <w:vertAlign w:val="superscript"/>
    </w:rPr>
  </w:style>
  <w:style w:type="character" w:customStyle="1" w:styleId="FootnoteCharacters">
    <w:name w:val="Footnote Characters"/>
    <w:rsid w:val="004A55DB"/>
  </w:style>
  <w:style w:type="paragraph" w:customStyle="1" w:styleId="default0">
    <w:name w:val="default"/>
    <w:basedOn w:val="Normln"/>
    <w:rsid w:val="004A55DB"/>
    <w:pPr>
      <w:spacing w:before="100" w:beforeAutospacing="1" w:after="100" w:afterAutospacing="1"/>
      <w:jc w:val="left"/>
    </w:pPr>
    <w:rPr>
      <w:rFonts w:ascii="Times New Roman" w:eastAsia="Times New Roman" w:hAnsi="Times New Roman"/>
      <w:szCs w:val="24"/>
      <w:lang w:val="en-GB" w:eastAsia="en-GB"/>
    </w:rPr>
  </w:style>
  <w:style w:type="table" w:customStyle="1" w:styleId="TableGrid121">
    <w:name w:val="Table Grid121"/>
    <w:basedOn w:val="Normlntabulka"/>
    <w:next w:val="Mkatabulky"/>
    <w:uiPriority w:val="59"/>
    <w:rsid w:val="004A55D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islativeText">
    <w:name w:val="Legislative Text"/>
    <w:basedOn w:val="Bezmezer"/>
    <w:qFormat/>
    <w:rsid w:val="004A55DB"/>
    <w:pPr>
      <w:jc w:val="left"/>
    </w:pPr>
    <w:rPr>
      <w:rFonts w:ascii="Times New Roman" w:hAnsi="Times New Roman"/>
      <w:sz w:val="22"/>
      <w:lang w:val="en-GB"/>
    </w:rPr>
  </w:style>
  <w:style w:type="table" w:customStyle="1" w:styleId="TableGrid122">
    <w:name w:val="Table Grid122"/>
    <w:basedOn w:val="Normlntabulka"/>
    <w:next w:val="Mkatabulky"/>
    <w:uiPriority w:val="59"/>
    <w:rsid w:val="004A55D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lntabulka"/>
    <w:next w:val="Mkatabulky"/>
    <w:uiPriority w:val="59"/>
    <w:rsid w:val="004A55DB"/>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astertabel5donker-Accent51">
    <w:name w:val="Rastertabel 5 donker - Accent 51"/>
    <w:basedOn w:val="Normlntabulka"/>
    <w:uiPriority w:val="50"/>
    <w:rsid w:val="004A55DB"/>
    <w:rPr>
      <w:rFonts w:asciiTheme="minorHAnsi" w:eastAsiaTheme="minorHAnsi" w:hAnsiTheme="minorHAnsi" w:cstheme="minorBidi"/>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3D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262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262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262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2626" w:themeFill="accent5"/>
      </w:tcPr>
    </w:tblStylePr>
    <w:tblStylePr w:type="band1Vert">
      <w:tblPr/>
      <w:tcPr>
        <w:shd w:val="clear" w:color="auto" w:fill="A8A8A8" w:themeFill="accent5" w:themeFillTint="66"/>
      </w:tcPr>
    </w:tblStylePr>
    <w:tblStylePr w:type="band1Horz">
      <w:tblPr/>
      <w:tcPr>
        <w:shd w:val="clear" w:color="auto" w:fill="A8A8A8" w:themeFill="accent5" w:themeFillTint="66"/>
      </w:tcPr>
    </w:tblStylePr>
  </w:style>
  <w:style w:type="character" w:customStyle="1" w:styleId="berschrift1Zchn1">
    <w:name w:val="Überschrift 1 Zchn1"/>
    <w:aliases w:val="h1 Zchn1"/>
    <w:basedOn w:val="Standardnpsmoodstavce"/>
    <w:rsid w:val="004A55DB"/>
    <w:rPr>
      <w:rFonts w:asciiTheme="majorHAnsi" w:eastAsiaTheme="majorEastAsia" w:hAnsiTheme="majorHAnsi" w:cstheme="majorBidi"/>
      <w:b/>
      <w:bCs/>
      <w:color w:val="888301" w:themeColor="accent1" w:themeShade="BF"/>
      <w:sz w:val="28"/>
      <w:szCs w:val="28"/>
      <w:lang w:eastAsia="de-DE"/>
    </w:rPr>
  </w:style>
  <w:style w:type="character" w:customStyle="1" w:styleId="berschrift2Zchn1">
    <w:name w:val="Überschrift 2 Zchn1"/>
    <w:aliases w:val="??? Zchn1,Titre 2 Zchn1,h2 Zchn1,h21 Zchn1,heading 2 Zchn1,l2 Zchn1,list + change bar Zchn1"/>
    <w:basedOn w:val="Standardnpsmoodstavce"/>
    <w:semiHidden/>
    <w:rsid w:val="004A55DB"/>
    <w:rPr>
      <w:rFonts w:asciiTheme="majorHAnsi" w:eastAsiaTheme="majorEastAsia" w:hAnsiTheme="majorHAnsi" w:cstheme="majorBidi"/>
      <w:b/>
      <w:bCs/>
      <w:color w:val="B6B002" w:themeColor="accent1"/>
      <w:sz w:val="26"/>
      <w:szCs w:val="26"/>
      <w:lang w:eastAsia="de-DE"/>
    </w:rPr>
  </w:style>
  <w:style w:type="character" w:customStyle="1" w:styleId="berschrift3Zchn1">
    <w:name w:val="Überschrift 3 Zchn1"/>
    <w:aliases w:val="3 Zchn1,Titre 3 Zchn1,h3 Zchn1,h31 Zchn1,heading 3 Zchn1"/>
    <w:basedOn w:val="Standardnpsmoodstavce"/>
    <w:semiHidden/>
    <w:rsid w:val="004A55DB"/>
    <w:rPr>
      <w:rFonts w:asciiTheme="majorHAnsi" w:eastAsiaTheme="majorEastAsia" w:hAnsiTheme="majorHAnsi" w:cstheme="majorBidi"/>
      <w:b/>
      <w:bCs/>
      <w:color w:val="B6B002" w:themeColor="accent1"/>
      <w:sz w:val="22"/>
      <w:lang w:eastAsia="de-DE"/>
    </w:rPr>
  </w:style>
  <w:style w:type="character" w:customStyle="1" w:styleId="berschrift4Zchn1">
    <w:name w:val="Überschrift 4 Zchn1"/>
    <w:aliases w:val="h4 Zchn1,h41 Zchn1"/>
    <w:basedOn w:val="Standardnpsmoodstavce"/>
    <w:semiHidden/>
    <w:rsid w:val="004A55DB"/>
    <w:rPr>
      <w:rFonts w:asciiTheme="majorHAnsi" w:eastAsiaTheme="majorEastAsia" w:hAnsiTheme="majorHAnsi" w:cstheme="majorBidi"/>
      <w:b/>
      <w:bCs/>
      <w:i/>
      <w:iCs/>
      <w:color w:val="B6B002" w:themeColor="accent1"/>
      <w:sz w:val="22"/>
      <w:lang w:eastAsia="de-DE"/>
    </w:rPr>
  </w:style>
  <w:style w:type="character" w:customStyle="1" w:styleId="FunotentextZchn1">
    <w:name w:val="Fußnotentext Zchn1"/>
    <w:aliases w:val="Footnote Text Char Char Zchn1,Footnote Text Char1 Zchn1,Footnote Text Char2 Char Char Zchn1,Footnote Text Char2 Char1 Char1 Char Char Zchn1,Footnote Text Char3 Char1 Char Char Char Char Zchn1,Footnote Text Char3 Char1 Char Char Zchn1"/>
    <w:basedOn w:val="Standardnpsmoodstavce"/>
    <w:uiPriority w:val="99"/>
    <w:semiHidden/>
    <w:rsid w:val="004A55DB"/>
    <w:rPr>
      <w:rFonts w:ascii="Arial" w:hAnsi="Arial"/>
      <w:lang w:val="en-GB"/>
    </w:rPr>
  </w:style>
  <w:style w:type="character" w:customStyle="1" w:styleId="list-bullet-colorChar">
    <w:name w:val="list-bullet-color Char"/>
    <w:basedOn w:val="DefaultTextChar"/>
    <w:link w:val="list-bullet-color"/>
    <w:locked/>
    <w:rsid w:val="004A55DB"/>
    <w:rPr>
      <w:rFonts w:ascii="Arial" w:eastAsia="Times New Roman" w:hAnsi="Arial"/>
      <w:sz w:val="24"/>
      <w:lang w:val="en-GB" w:eastAsia="de-DE"/>
    </w:rPr>
  </w:style>
  <w:style w:type="paragraph" w:customStyle="1" w:styleId="list-bullet-color">
    <w:name w:val="list-bullet-color"/>
    <w:basedOn w:val="DefaultText"/>
    <w:link w:val="list-bullet-colorChar"/>
    <w:rsid w:val="004A55DB"/>
    <w:pPr>
      <w:numPr>
        <w:numId w:val="54"/>
      </w:numPr>
    </w:pPr>
  </w:style>
  <w:style w:type="paragraph" w:customStyle="1" w:styleId="copymainlg">
    <w:name w:val="copy_main_lg"/>
    <w:basedOn w:val="Normln"/>
    <w:rsid w:val="004A55DB"/>
    <w:pPr>
      <w:spacing w:before="100" w:beforeAutospacing="1" w:after="100" w:afterAutospacing="1"/>
      <w:jc w:val="left"/>
    </w:pPr>
    <w:rPr>
      <w:rFonts w:ascii="Times New Roman" w:eastAsia="Times New Roman" w:hAnsi="Times New Roman"/>
      <w:szCs w:val="24"/>
      <w:lang w:val="en-GB" w:eastAsia="en-GB"/>
    </w:rPr>
  </w:style>
  <w:style w:type="paragraph" w:customStyle="1" w:styleId="bronvermelding">
    <w:name w:val="bronvermelding"/>
    <w:basedOn w:val="DefaultText"/>
    <w:next w:val="DefaultText"/>
    <w:rsid w:val="004A55DB"/>
    <w:pPr>
      <w:spacing w:line="200" w:lineRule="atLeast"/>
    </w:pPr>
    <w:rPr>
      <w:sz w:val="14"/>
      <w:lang w:val="de-DE"/>
    </w:rPr>
  </w:style>
  <w:style w:type="character" w:customStyle="1" w:styleId="SourcesandNotesChar">
    <w:name w:val="Sources and Notes Char"/>
    <w:basedOn w:val="DefaultTextChar"/>
    <w:link w:val="SourcesandNotes"/>
    <w:locked/>
    <w:rsid w:val="004A55DB"/>
    <w:rPr>
      <w:rFonts w:ascii="Arial" w:eastAsia="Times New Roman" w:hAnsi="Arial"/>
      <w:sz w:val="14"/>
      <w:szCs w:val="16"/>
      <w:lang w:val="en-GB" w:eastAsia="de-DE"/>
    </w:rPr>
  </w:style>
  <w:style w:type="paragraph" w:customStyle="1" w:styleId="SourcesandNotes">
    <w:name w:val="Sources and Notes"/>
    <w:basedOn w:val="DefaultText"/>
    <w:link w:val="SourcesandNotesChar"/>
    <w:qFormat/>
    <w:rsid w:val="004A55DB"/>
    <w:rPr>
      <w:sz w:val="14"/>
      <w:szCs w:val="16"/>
    </w:rPr>
  </w:style>
  <w:style w:type="paragraph" w:customStyle="1" w:styleId="no-heading-blue-3">
    <w:name w:val="no-heading-blue-3"/>
    <w:basedOn w:val="DefaultText"/>
    <w:next w:val="DefaultText"/>
    <w:rsid w:val="004A55DB"/>
    <w:pPr>
      <w:keepNext/>
      <w:keepLines/>
      <w:outlineLvl w:val="2"/>
    </w:pPr>
    <w:rPr>
      <w:b/>
      <w:color w:val="006DB6"/>
      <w:sz w:val="20"/>
      <w:lang w:val="de-DE"/>
    </w:rPr>
  </w:style>
  <w:style w:type="table" w:customStyle="1" w:styleId="Rastertabel4-Accent51">
    <w:name w:val="Rastertabel 4 - Accent 51"/>
    <w:basedOn w:val="Normlntabulka"/>
    <w:uiPriority w:val="49"/>
    <w:rsid w:val="004A55DB"/>
    <w:rPr>
      <w:rFonts w:asciiTheme="minorHAnsi" w:eastAsiaTheme="minorHAnsi" w:hAnsiTheme="minorHAnsi" w:cstheme="minorBidi"/>
      <w:sz w:val="22"/>
      <w:szCs w:val="22"/>
      <w:lang w:val="nl-NL"/>
    </w:rPr>
    <w:tblPr>
      <w:tblStyleRowBandSize w:val="1"/>
      <w:tblStyleColBandSize w:val="1"/>
      <w:tblBorders>
        <w:top w:val="single" w:sz="4" w:space="0" w:color="7C7C7C" w:themeColor="accent5" w:themeTint="99"/>
        <w:left w:val="single" w:sz="4" w:space="0" w:color="7C7C7C" w:themeColor="accent5" w:themeTint="99"/>
        <w:bottom w:val="single" w:sz="4" w:space="0" w:color="7C7C7C" w:themeColor="accent5" w:themeTint="99"/>
        <w:right w:val="single" w:sz="4" w:space="0" w:color="7C7C7C" w:themeColor="accent5" w:themeTint="99"/>
        <w:insideH w:val="single" w:sz="4" w:space="0" w:color="7C7C7C" w:themeColor="accent5" w:themeTint="99"/>
        <w:insideV w:val="single" w:sz="4" w:space="0" w:color="7C7C7C" w:themeColor="accent5" w:themeTint="99"/>
      </w:tblBorders>
    </w:tblPr>
    <w:tblStylePr w:type="firstRow">
      <w:rPr>
        <w:b/>
        <w:bCs/>
        <w:color w:val="FFFFFF" w:themeColor="background1"/>
      </w:rPr>
      <w:tblPr/>
      <w:tcPr>
        <w:tcBorders>
          <w:top w:val="single" w:sz="4" w:space="0" w:color="262626" w:themeColor="accent5"/>
          <w:left w:val="single" w:sz="4" w:space="0" w:color="262626" w:themeColor="accent5"/>
          <w:bottom w:val="single" w:sz="4" w:space="0" w:color="262626" w:themeColor="accent5"/>
          <w:right w:val="single" w:sz="4" w:space="0" w:color="262626" w:themeColor="accent5"/>
          <w:insideH w:val="nil"/>
          <w:insideV w:val="nil"/>
        </w:tcBorders>
        <w:shd w:val="clear" w:color="auto" w:fill="262626" w:themeFill="accent5"/>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broodtekst">
    <w:name w:val="broodtekst"/>
    <w:basedOn w:val="Normln"/>
    <w:uiPriority w:val="99"/>
    <w:semiHidden/>
    <w:rsid w:val="004A55DB"/>
    <w:pPr>
      <w:spacing w:before="0" w:after="0" w:line="280" w:lineRule="atLeast"/>
      <w:jc w:val="left"/>
    </w:pPr>
    <w:rPr>
      <w:rFonts w:ascii="Arial" w:eastAsia="Times New Roman" w:hAnsi="Arial"/>
      <w:sz w:val="18"/>
      <w:szCs w:val="24"/>
      <w:lang w:val="en-GB" w:eastAsia="nl-NL"/>
    </w:rPr>
  </w:style>
  <w:style w:type="character" w:customStyle="1" w:styleId="tgc">
    <w:name w:val="_tgc"/>
    <w:basedOn w:val="Standardnpsmoodstavce"/>
    <w:rsid w:val="004A55DB"/>
  </w:style>
  <w:style w:type="character" w:customStyle="1" w:styleId="st1">
    <w:name w:val="st1"/>
    <w:basedOn w:val="Standardnpsmoodstavce"/>
    <w:rsid w:val="004A55DB"/>
  </w:style>
  <w:style w:type="table" w:customStyle="1" w:styleId="GridTable1Light-Accent12">
    <w:name w:val="Grid Table 1 Light - Accent 12"/>
    <w:basedOn w:val="Normlntabulka"/>
    <w:uiPriority w:val="46"/>
    <w:rsid w:val="004A55DB"/>
    <w:rPr>
      <w:rFonts w:asciiTheme="minorHAnsi" w:eastAsiaTheme="minorHAnsi" w:hAnsiTheme="minorHAnsi" w:cstheme="minorBidi"/>
      <w:sz w:val="22"/>
      <w:szCs w:val="22"/>
      <w:lang w:val="en-GB"/>
    </w:rPr>
    <w:tblPr>
      <w:tblStyleRowBandSize w:val="1"/>
      <w:tblStyleColBandSize w:val="1"/>
      <w:tblBorders>
        <w:top w:val="single" w:sz="4" w:space="0" w:color="FDF97D" w:themeColor="accent1" w:themeTint="66"/>
        <w:left w:val="single" w:sz="4" w:space="0" w:color="FDF97D" w:themeColor="accent1" w:themeTint="66"/>
        <w:bottom w:val="single" w:sz="4" w:space="0" w:color="FDF97D" w:themeColor="accent1" w:themeTint="66"/>
        <w:right w:val="single" w:sz="4" w:space="0" w:color="FDF97D" w:themeColor="accent1" w:themeTint="66"/>
        <w:insideH w:val="single" w:sz="4" w:space="0" w:color="FDF97D" w:themeColor="accent1" w:themeTint="66"/>
        <w:insideV w:val="single" w:sz="4" w:space="0" w:color="FDF97D" w:themeColor="accent1" w:themeTint="66"/>
      </w:tblBorders>
    </w:tblPr>
    <w:tblStylePr w:type="firstRow">
      <w:rPr>
        <w:b/>
        <w:bCs/>
      </w:rPr>
      <w:tblPr/>
      <w:tcPr>
        <w:tcBorders>
          <w:bottom w:val="single" w:sz="12" w:space="0" w:color="FCF63D" w:themeColor="accent1" w:themeTint="99"/>
        </w:tcBorders>
      </w:tcPr>
    </w:tblStylePr>
    <w:tblStylePr w:type="lastRow">
      <w:rPr>
        <w:b/>
        <w:bCs/>
      </w:rPr>
      <w:tblPr/>
      <w:tcPr>
        <w:tcBorders>
          <w:top w:val="double" w:sz="2" w:space="0" w:color="FCF63D" w:themeColor="accent1" w:themeTint="99"/>
        </w:tcBorders>
      </w:tcPr>
    </w:tblStylePr>
    <w:tblStylePr w:type="firstCol">
      <w:rPr>
        <w:b/>
        <w:bCs/>
      </w:rPr>
    </w:tblStylePr>
    <w:tblStylePr w:type="lastCol">
      <w:rPr>
        <w:b/>
        <w:bCs/>
      </w:rPr>
    </w:tblStylePr>
  </w:style>
  <w:style w:type="table" w:styleId="Svtlstnovnzvraznn1">
    <w:name w:val="Light Shading Accent 1"/>
    <w:basedOn w:val="Normlntabulka"/>
    <w:uiPriority w:val="60"/>
    <w:rsid w:val="004A55DB"/>
    <w:rPr>
      <w:rFonts w:asciiTheme="minorHAnsi" w:eastAsiaTheme="minorHAnsi" w:hAnsiTheme="minorHAnsi" w:cstheme="minorBidi"/>
      <w:color w:val="888301" w:themeColor="accent1" w:themeShade="BF"/>
      <w:sz w:val="22"/>
      <w:szCs w:val="22"/>
      <w:lang w:val="en-GB"/>
    </w:rPr>
    <w:tblPr>
      <w:tblStyleRowBandSize w:val="1"/>
      <w:tblStyleColBandSize w:val="1"/>
      <w:tblBorders>
        <w:top w:val="single" w:sz="8" w:space="0" w:color="B6B002" w:themeColor="accent1"/>
        <w:bottom w:val="single" w:sz="8" w:space="0" w:color="B6B002" w:themeColor="accent1"/>
      </w:tblBorders>
    </w:tblPr>
    <w:tblStylePr w:type="fir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lastRow">
      <w:pPr>
        <w:spacing w:before="0" w:after="0" w:line="240" w:lineRule="auto"/>
      </w:pPr>
      <w:rPr>
        <w:b/>
        <w:bCs/>
      </w:rPr>
      <w:tblPr/>
      <w:tcPr>
        <w:tcBorders>
          <w:top w:val="single" w:sz="8" w:space="0" w:color="B6B002" w:themeColor="accent1"/>
          <w:left w:val="nil"/>
          <w:bottom w:val="single" w:sz="8" w:space="0" w:color="B6B00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BAF" w:themeFill="accent1" w:themeFillTint="3F"/>
      </w:tcPr>
    </w:tblStylePr>
    <w:tblStylePr w:type="band1Horz">
      <w:tblPr/>
      <w:tcPr>
        <w:tcBorders>
          <w:left w:val="nil"/>
          <w:right w:val="nil"/>
          <w:insideH w:val="nil"/>
          <w:insideV w:val="nil"/>
        </w:tcBorders>
        <w:shd w:val="clear" w:color="auto" w:fill="FEFBAF" w:themeFill="accent1" w:themeFillTint="3F"/>
      </w:tcPr>
    </w:tblStylePr>
  </w:style>
  <w:style w:type="character" w:customStyle="1" w:styleId="None">
    <w:name w:val="None"/>
    <w:rsid w:val="004A55DB"/>
  </w:style>
  <w:style w:type="character" w:customStyle="1" w:styleId="Hyperlink0">
    <w:name w:val="Hyperlink.0"/>
    <w:basedOn w:val="None"/>
    <w:rsid w:val="004A55DB"/>
    <w:rPr>
      <w:rFonts w:ascii="Times New Roman" w:eastAsia="Times New Roman" w:hAnsi="Times New Roman" w:cs="Times New Roman"/>
      <w:sz w:val="24"/>
      <w:szCs w:val="24"/>
    </w:rPr>
  </w:style>
  <w:style w:type="character" w:customStyle="1" w:styleId="Hyperlink1">
    <w:name w:val="Hyperlink.1"/>
    <w:basedOn w:val="Standardnpsmoodstavce"/>
    <w:rsid w:val="004A55DB"/>
    <w:rPr>
      <w:rFonts w:ascii="Times New Roman" w:eastAsia="Times New Roman" w:hAnsi="Times New Roman" w:cs="Times New Roman"/>
      <w:strike w:val="0"/>
      <w:dstrike w:val="0"/>
      <w:color w:val="000000"/>
      <w:u w:val="none" w:color="000000"/>
    </w:rPr>
  </w:style>
  <w:style w:type="character" w:customStyle="1" w:styleId="questionparenttitle">
    <w:name w:val="questionparenttitle"/>
    <w:basedOn w:val="Standardnpsmoodstavce"/>
    <w:rsid w:val="004A55DB"/>
  </w:style>
  <w:style w:type="paragraph" w:customStyle="1" w:styleId="BodyA">
    <w:name w:val="Body A"/>
    <w:rsid w:val="004A55DB"/>
    <w:pPr>
      <w:pBdr>
        <w:top w:val="nil"/>
        <w:left w:val="nil"/>
        <w:bottom w:val="nil"/>
        <w:right w:val="nil"/>
        <w:between w:val="nil"/>
        <w:bar w:val="nil"/>
      </w:pBdr>
      <w:spacing w:after="200" w:line="276" w:lineRule="auto"/>
    </w:pPr>
    <w:rPr>
      <w:rFonts w:cs="Calibri"/>
      <w:color w:val="000000"/>
      <w:sz w:val="22"/>
      <w:szCs w:val="22"/>
      <w:u w:color="000000"/>
      <w:bdr w:val="nil"/>
      <w:lang w:val="en-US" w:eastAsia="en-GB"/>
    </w:rPr>
  </w:style>
  <w:style w:type="character" w:customStyle="1" w:styleId="s2">
    <w:name w:val="s2"/>
    <w:basedOn w:val="Standardnpsmoodstavce"/>
    <w:rsid w:val="004A55DB"/>
  </w:style>
  <w:style w:type="table" w:customStyle="1" w:styleId="Svtltabulkasmkou1zvraznn51">
    <w:name w:val="Světlá tabulka s mřížkou 1 – zvýraznění 51"/>
    <w:basedOn w:val="Normlntabulka"/>
    <w:uiPriority w:val="46"/>
    <w:rsid w:val="004A55DB"/>
    <w:rPr>
      <w:rFonts w:asciiTheme="minorHAnsi" w:eastAsiaTheme="minorHAnsi" w:hAnsiTheme="minorHAnsi" w:cstheme="minorBidi"/>
      <w:sz w:val="22"/>
      <w:szCs w:val="22"/>
      <w:lang w:val="nl-NL"/>
    </w:rPr>
    <w:tblPr>
      <w:tblStyleRowBandSize w:val="1"/>
      <w:tblStyleColBandSize w:val="1"/>
      <w:tblBorders>
        <w:top w:val="single" w:sz="4" w:space="0" w:color="A8A8A8" w:themeColor="accent5" w:themeTint="66"/>
        <w:left w:val="single" w:sz="4" w:space="0" w:color="A8A8A8" w:themeColor="accent5" w:themeTint="66"/>
        <w:bottom w:val="single" w:sz="4" w:space="0" w:color="A8A8A8" w:themeColor="accent5" w:themeTint="66"/>
        <w:right w:val="single" w:sz="4" w:space="0" w:color="A8A8A8" w:themeColor="accent5" w:themeTint="66"/>
        <w:insideH w:val="single" w:sz="4" w:space="0" w:color="A8A8A8" w:themeColor="accent5" w:themeTint="66"/>
        <w:insideV w:val="single" w:sz="4" w:space="0" w:color="A8A8A8" w:themeColor="accent5" w:themeTint="66"/>
      </w:tblBorders>
    </w:tblPr>
    <w:tblStylePr w:type="firstRow">
      <w:rPr>
        <w:b/>
        <w:bCs/>
      </w:rPr>
      <w:tblPr/>
      <w:tcPr>
        <w:tcBorders>
          <w:bottom w:val="single" w:sz="12" w:space="0" w:color="7C7C7C" w:themeColor="accent5" w:themeTint="99"/>
        </w:tcBorders>
      </w:tcPr>
    </w:tblStylePr>
    <w:tblStylePr w:type="lastRow">
      <w:rPr>
        <w:b/>
        <w:bCs/>
      </w:rPr>
      <w:tblPr/>
      <w:tcPr>
        <w:tcBorders>
          <w:top w:val="double" w:sz="2" w:space="0" w:color="7C7C7C" w:themeColor="accent5" w:themeTint="99"/>
        </w:tcBorders>
      </w:tcPr>
    </w:tblStylePr>
    <w:tblStylePr w:type="firstCol">
      <w:rPr>
        <w:b/>
        <w:bCs/>
      </w:rPr>
    </w:tblStylePr>
    <w:tblStylePr w:type="lastCol">
      <w:rPr>
        <w:b/>
        <w:bCs/>
      </w:rPr>
    </w:tblStylePr>
  </w:style>
  <w:style w:type="table" w:customStyle="1" w:styleId="Tabulkasmkou4zvraznn51">
    <w:name w:val="Tabulka s mřížkou 4 – zvýraznění 51"/>
    <w:basedOn w:val="Normlntabulka"/>
    <w:uiPriority w:val="49"/>
    <w:rsid w:val="004A55DB"/>
    <w:rPr>
      <w:rFonts w:asciiTheme="minorHAnsi" w:eastAsiaTheme="minorHAnsi" w:hAnsiTheme="minorHAnsi" w:cstheme="minorBidi"/>
      <w:sz w:val="22"/>
      <w:szCs w:val="22"/>
      <w:lang w:val="nl-NL"/>
    </w:rPr>
    <w:tblPr>
      <w:tblStyleRowBandSize w:val="1"/>
      <w:tblStyleColBandSize w:val="1"/>
      <w:tblBorders>
        <w:top w:val="single" w:sz="4" w:space="0" w:color="7C7C7C" w:themeColor="accent5" w:themeTint="99"/>
        <w:left w:val="single" w:sz="4" w:space="0" w:color="7C7C7C" w:themeColor="accent5" w:themeTint="99"/>
        <w:bottom w:val="single" w:sz="4" w:space="0" w:color="7C7C7C" w:themeColor="accent5" w:themeTint="99"/>
        <w:right w:val="single" w:sz="4" w:space="0" w:color="7C7C7C" w:themeColor="accent5" w:themeTint="99"/>
        <w:insideH w:val="single" w:sz="4" w:space="0" w:color="7C7C7C" w:themeColor="accent5" w:themeTint="99"/>
        <w:insideV w:val="single" w:sz="4" w:space="0" w:color="7C7C7C" w:themeColor="accent5" w:themeTint="99"/>
      </w:tblBorders>
    </w:tblPr>
    <w:tblStylePr w:type="firstRow">
      <w:rPr>
        <w:b/>
        <w:bCs/>
        <w:color w:val="FFFFFF" w:themeColor="background1"/>
      </w:rPr>
      <w:tblPr/>
      <w:tcPr>
        <w:tcBorders>
          <w:top w:val="single" w:sz="4" w:space="0" w:color="262626" w:themeColor="accent5"/>
          <w:left w:val="single" w:sz="4" w:space="0" w:color="262626" w:themeColor="accent5"/>
          <w:bottom w:val="single" w:sz="4" w:space="0" w:color="262626" w:themeColor="accent5"/>
          <w:right w:val="single" w:sz="4" w:space="0" w:color="262626" w:themeColor="accent5"/>
          <w:insideH w:val="nil"/>
          <w:insideV w:val="nil"/>
        </w:tcBorders>
        <w:shd w:val="clear" w:color="auto" w:fill="262626" w:themeFill="accent5"/>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stylishCar">
    <w:name w:val="stylish Car"/>
    <w:aliases w:val="BVI fnr Car,FR Car,FR1 C,Footnote Reference Number Car,Footnote Reference Superscript Car,Footnote Refernece Car,Footnote reference number Car,Footnote symbol Car,Footnotemark Car,Fußnotenzeichen_Raxen Car,callout Car"/>
    <w:basedOn w:val="Normln"/>
    <w:uiPriority w:val="99"/>
    <w:rsid w:val="004A55DB"/>
    <w:pPr>
      <w:spacing w:before="0" w:after="160" w:line="240" w:lineRule="exact"/>
    </w:pPr>
    <w:rPr>
      <w:rFonts w:ascii="Times New Roman" w:eastAsia="Times New Roman" w:hAnsi="Times New Roman"/>
      <w:sz w:val="20"/>
      <w:szCs w:val="20"/>
      <w:vertAlign w:val="superscript"/>
      <w:lang w:val="fr-BE" w:eastAsia="zh-TW"/>
    </w:rPr>
  </w:style>
  <w:style w:type="character" w:customStyle="1" w:styleId="TypedudocumentChar">
    <w:name w:val="Type du document Char"/>
    <w:link w:val="Typedudocument"/>
    <w:locked/>
    <w:rsid w:val="004A55DB"/>
    <w:rPr>
      <w:rFonts w:ascii="Times New Roman" w:eastAsia="Times New Roman" w:hAnsi="Times New Roman"/>
      <w:b/>
      <w:sz w:val="24"/>
      <w:lang w:eastAsia="en-GB"/>
    </w:rPr>
  </w:style>
  <w:style w:type="character" w:customStyle="1" w:styleId="tlid-translation">
    <w:name w:val="tlid-translation"/>
    <w:basedOn w:val="Standardnpsmoodstavce"/>
    <w:rsid w:val="004A55DB"/>
  </w:style>
  <w:style w:type="character" w:customStyle="1" w:styleId="Nevyeenzmnka7">
    <w:name w:val="Nevyřešená zmínka7"/>
    <w:basedOn w:val="Standardnpsmoodstavce"/>
    <w:uiPriority w:val="99"/>
    <w:semiHidden/>
    <w:unhideWhenUsed/>
    <w:rsid w:val="00AE57BF"/>
    <w:rPr>
      <w:color w:val="605E5C"/>
      <w:shd w:val="clear" w:color="auto" w:fill="E1DFDD"/>
    </w:rPr>
  </w:style>
  <w:style w:type="paragraph" w:customStyle="1" w:styleId="l3">
    <w:name w:val="l3"/>
    <w:basedOn w:val="Normln"/>
    <w:rsid w:val="003A644D"/>
    <w:pPr>
      <w:spacing w:before="100" w:beforeAutospacing="1" w:after="100" w:afterAutospacing="1"/>
      <w:jc w:val="left"/>
    </w:pPr>
    <w:rPr>
      <w:rFonts w:ascii="Times New Roman" w:eastAsia="Times New Roman" w:hAnsi="Times New Roman"/>
      <w:szCs w:val="24"/>
      <w:lang w:eastAsia="cs-CZ"/>
    </w:rPr>
  </w:style>
  <w:style w:type="table" w:customStyle="1" w:styleId="Prosttabulka31">
    <w:name w:val="Prostá tabulka 31"/>
    <w:basedOn w:val="Normlntabulka"/>
    <w:uiPriority w:val="43"/>
    <w:rsid w:val="00CE09A4"/>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ulkasmkou4zvraznn11">
    <w:name w:val="Tabulka s mřížkou 4 – zvýraznění 11"/>
    <w:basedOn w:val="Normlntabulka"/>
    <w:uiPriority w:val="49"/>
    <w:rsid w:val="000619CB"/>
    <w:rPr>
      <w:rFonts w:asciiTheme="minorHAnsi" w:eastAsiaTheme="minorHAnsi" w:hAnsiTheme="minorHAnsi" w:cstheme="minorBidi"/>
      <w:sz w:val="22"/>
      <w:szCs w:val="22"/>
    </w:rPr>
    <w:tblPr>
      <w:tblStyleRowBandSize w:val="1"/>
      <w:tblStyleColBandSize w:val="1"/>
      <w:tblBorders>
        <w:top w:val="single" w:sz="4" w:space="0" w:color="FCF63D" w:themeColor="accent1" w:themeTint="99"/>
        <w:left w:val="single" w:sz="4" w:space="0" w:color="FCF63D" w:themeColor="accent1" w:themeTint="99"/>
        <w:bottom w:val="single" w:sz="4" w:space="0" w:color="FCF63D" w:themeColor="accent1" w:themeTint="99"/>
        <w:right w:val="single" w:sz="4" w:space="0" w:color="FCF63D" w:themeColor="accent1" w:themeTint="99"/>
        <w:insideH w:val="single" w:sz="4" w:space="0" w:color="FCF63D" w:themeColor="accent1" w:themeTint="99"/>
        <w:insideV w:val="single" w:sz="4" w:space="0" w:color="FCF63D" w:themeColor="accent1" w:themeTint="99"/>
      </w:tblBorders>
    </w:tblPr>
    <w:tblStylePr w:type="firstRow">
      <w:rPr>
        <w:b/>
        <w:bCs/>
        <w:color w:val="FFFFFF" w:themeColor="background1"/>
      </w:rPr>
      <w:tblPr/>
      <w:tcPr>
        <w:tcBorders>
          <w:top w:val="single" w:sz="4" w:space="0" w:color="B6B002" w:themeColor="accent1"/>
          <w:left w:val="single" w:sz="4" w:space="0" w:color="B6B002" w:themeColor="accent1"/>
          <w:bottom w:val="single" w:sz="4" w:space="0" w:color="B6B002" w:themeColor="accent1"/>
          <w:right w:val="single" w:sz="4" w:space="0" w:color="B6B002" w:themeColor="accent1"/>
          <w:insideH w:val="nil"/>
          <w:insideV w:val="nil"/>
        </w:tcBorders>
        <w:shd w:val="clear" w:color="auto" w:fill="B6B002" w:themeFill="accent1"/>
      </w:tcPr>
    </w:tblStylePr>
    <w:tblStylePr w:type="lastRow">
      <w:rPr>
        <w:b/>
        <w:bCs/>
      </w:rPr>
      <w:tblPr/>
      <w:tcPr>
        <w:tcBorders>
          <w:top w:val="double" w:sz="4" w:space="0" w:color="B6B002" w:themeColor="accent1"/>
        </w:tcBorders>
      </w:tcPr>
    </w:tblStylePr>
    <w:tblStylePr w:type="firstCol">
      <w:rPr>
        <w:b/>
        <w:bCs/>
      </w:rPr>
    </w:tblStylePr>
    <w:tblStylePr w:type="lastCol">
      <w:rPr>
        <w:b/>
        <w:bCs/>
      </w:rPr>
    </w:tblStylePr>
    <w:tblStylePr w:type="band1Vert">
      <w:tblPr/>
      <w:tcPr>
        <w:shd w:val="clear" w:color="auto" w:fill="FEFCBE" w:themeFill="accent1" w:themeFillTint="33"/>
      </w:tcPr>
    </w:tblStylePr>
    <w:tblStylePr w:type="band1Horz">
      <w:tblPr/>
      <w:tcPr>
        <w:shd w:val="clear" w:color="auto" w:fill="FEFCBE" w:themeFill="accent1" w:themeFillTint="33"/>
      </w:tcPr>
    </w:tblStylePr>
  </w:style>
  <w:style w:type="paragraph" w:styleId="Seznamsodrkami5">
    <w:name w:val="List Bullet 5"/>
    <w:aliases w:val="Seznam s odrážkami A 5"/>
    <w:basedOn w:val="Normln"/>
    <w:uiPriority w:val="10"/>
    <w:semiHidden/>
    <w:unhideWhenUsed/>
    <w:qFormat/>
    <w:rsid w:val="006F588A"/>
    <w:pPr>
      <w:spacing w:before="0" w:after="0" w:line="276" w:lineRule="auto"/>
      <w:ind w:left="1785" w:hanging="357"/>
      <w:jc w:val="left"/>
    </w:pPr>
    <w:rPr>
      <w:rFonts w:asciiTheme="minorHAnsi" w:eastAsiaTheme="minorHAnsi" w:hAnsiTheme="minorHAnsi" w:cstheme="minorBidi"/>
      <w:sz w:val="22"/>
    </w:rPr>
  </w:style>
  <w:style w:type="paragraph" w:styleId="Zkladntext-prvnodsazen">
    <w:name w:val="Body Text First Indent"/>
    <w:basedOn w:val="Zkladntext"/>
    <w:link w:val="Zkladntext-prvnodsazenChar"/>
    <w:uiPriority w:val="1"/>
    <w:semiHidden/>
    <w:unhideWhenUsed/>
    <w:rsid w:val="006F588A"/>
    <w:pPr>
      <w:spacing w:before="0" w:after="200" w:line="276" w:lineRule="auto"/>
      <w:ind w:firstLine="357"/>
      <w:jc w:val="left"/>
    </w:pPr>
    <w:rPr>
      <w:rFonts w:asciiTheme="minorHAnsi" w:eastAsiaTheme="minorHAnsi" w:hAnsiTheme="minorHAnsi" w:cstheme="minorBidi"/>
      <w:sz w:val="22"/>
    </w:rPr>
  </w:style>
  <w:style w:type="character" w:customStyle="1" w:styleId="Zkladntext-prvnodsazenChar">
    <w:name w:val="Základní text - první odsazený Char"/>
    <w:basedOn w:val="ZkladntextChar"/>
    <w:link w:val="Zkladntext-prvnodsazen"/>
    <w:uiPriority w:val="1"/>
    <w:semiHidden/>
    <w:rsid w:val="006F588A"/>
    <w:rPr>
      <w:rFonts w:asciiTheme="minorHAnsi" w:eastAsiaTheme="minorHAnsi" w:hAnsiTheme="minorHAnsi" w:cstheme="minorBidi"/>
      <w:sz w:val="22"/>
      <w:szCs w:val="22"/>
      <w:lang w:eastAsia="en-US"/>
    </w:rPr>
  </w:style>
  <w:style w:type="paragraph" w:customStyle="1" w:styleId="slovanseznamB">
    <w:name w:val="Číslovaný seznam B"/>
    <w:basedOn w:val="Normln"/>
    <w:uiPriority w:val="16"/>
    <w:semiHidden/>
    <w:qFormat/>
    <w:rsid w:val="006F588A"/>
    <w:pPr>
      <w:numPr>
        <w:numId w:val="66"/>
      </w:numPr>
      <w:spacing w:before="0" w:after="0" w:line="276" w:lineRule="auto"/>
      <w:jc w:val="left"/>
    </w:pPr>
    <w:rPr>
      <w:rFonts w:asciiTheme="minorHAnsi" w:eastAsiaTheme="minorHAnsi" w:hAnsiTheme="minorHAnsi" w:cstheme="minorBidi"/>
      <w:sz w:val="22"/>
    </w:rPr>
  </w:style>
  <w:style w:type="paragraph" w:customStyle="1" w:styleId="slovanseznamB2">
    <w:name w:val="Číslovaný seznam B 2"/>
    <w:basedOn w:val="Normln"/>
    <w:uiPriority w:val="16"/>
    <w:semiHidden/>
    <w:qFormat/>
    <w:rsid w:val="006F588A"/>
    <w:pPr>
      <w:numPr>
        <w:ilvl w:val="1"/>
        <w:numId w:val="66"/>
      </w:numPr>
      <w:spacing w:before="0" w:after="0" w:line="276" w:lineRule="auto"/>
      <w:jc w:val="left"/>
    </w:pPr>
    <w:rPr>
      <w:rFonts w:asciiTheme="minorHAnsi" w:eastAsiaTheme="minorHAnsi" w:hAnsiTheme="minorHAnsi" w:cstheme="minorBidi"/>
      <w:sz w:val="22"/>
    </w:rPr>
  </w:style>
  <w:style w:type="paragraph" w:customStyle="1" w:styleId="slovanseznamB3">
    <w:name w:val="Číslovaný seznam B 3"/>
    <w:basedOn w:val="Normln"/>
    <w:uiPriority w:val="16"/>
    <w:semiHidden/>
    <w:qFormat/>
    <w:rsid w:val="006F588A"/>
    <w:pPr>
      <w:numPr>
        <w:ilvl w:val="2"/>
        <w:numId w:val="66"/>
      </w:numPr>
      <w:spacing w:before="0" w:after="0" w:line="276" w:lineRule="auto"/>
      <w:jc w:val="left"/>
    </w:pPr>
    <w:rPr>
      <w:rFonts w:asciiTheme="minorHAnsi" w:eastAsiaTheme="minorHAnsi" w:hAnsiTheme="minorHAnsi" w:cstheme="minorBidi"/>
      <w:sz w:val="22"/>
    </w:rPr>
  </w:style>
  <w:style w:type="paragraph" w:customStyle="1" w:styleId="slovanseznamB4">
    <w:name w:val="Číslovaný seznam B 4"/>
    <w:basedOn w:val="Normln"/>
    <w:uiPriority w:val="16"/>
    <w:semiHidden/>
    <w:qFormat/>
    <w:rsid w:val="006F588A"/>
    <w:pPr>
      <w:numPr>
        <w:ilvl w:val="3"/>
        <w:numId w:val="66"/>
      </w:numPr>
      <w:spacing w:before="0" w:after="0" w:line="276" w:lineRule="auto"/>
      <w:jc w:val="left"/>
    </w:pPr>
    <w:rPr>
      <w:rFonts w:asciiTheme="minorHAnsi" w:eastAsiaTheme="minorHAnsi" w:hAnsiTheme="minorHAnsi" w:cstheme="minorBidi"/>
      <w:sz w:val="22"/>
    </w:rPr>
  </w:style>
  <w:style w:type="paragraph" w:customStyle="1" w:styleId="slovanseznamB5">
    <w:name w:val="Číslovaný seznam B 5"/>
    <w:basedOn w:val="Normln"/>
    <w:uiPriority w:val="16"/>
    <w:semiHidden/>
    <w:qFormat/>
    <w:rsid w:val="006F588A"/>
    <w:pPr>
      <w:numPr>
        <w:ilvl w:val="4"/>
        <w:numId w:val="66"/>
      </w:numPr>
      <w:spacing w:before="0" w:after="0" w:line="276" w:lineRule="auto"/>
      <w:jc w:val="left"/>
    </w:pPr>
    <w:rPr>
      <w:rFonts w:asciiTheme="minorHAnsi" w:eastAsiaTheme="minorHAnsi" w:hAnsiTheme="minorHAnsi" w:cstheme="minorBidi"/>
      <w:sz w:val="22"/>
    </w:rPr>
  </w:style>
  <w:style w:type="paragraph" w:customStyle="1" w:styleId="Nadpis1-mimoobsah">
    <w:name w:val="Nadpis 1 - mimo obsah"/>
    <w:basedOn w:val="Normln"/>
    <w:next w:val="Normln"/>
    <w:uiPriority w:val="8"/>
    <w:semiHidden/>
    <w:qFormat/>
    <w:rsid w:val="006F588A"/>
    <w:pPr>
      <w:keepNext/>
      <w:keepLines/>
      <w:spacing w:before="160" w:after="0" w:line="276" w:lineRule="auto"/>
      <w:jc w:val="left"/>
    </w:pPr>
    <w:rPr>
      <w:rFonts w:asciiTheme="majorHAnsi" w:eastAsiaTheme="minorHAnsi" w:hAnsiTheme="majorHAnsi" w:cstheme="minorBidi"/>
      <w:b/>
      <w:sz w:val="28"/>
    </w:rPr>
  </w:style>
  <w:style w:type="paragraph" w:customStyle="1" w:styleId="Nadpis2-mimoobsah">
    <w:name w:val="Nadpis 2 - mimo obsah"/>
    <w:basedOn w:val="Normln"/>
    <w:next w:val="Normln"/>
    <w:uiPriority w:val="8"/>
    <w:semiHidden/>
    <w:qFormat/>
    <w:rsid w:val="006F588A"/>
    <w:pPr>
      <w:keepNext/>
      <w:keepLines/>
      <w:spacing w:before="80" w:after="0" w:line="276" w:lineRule="auto"/>
      <w:jc w:val="left"/>
    </w:pPr>
    <w:rPr>
      <w:rFonts w:asciiTheme="majorHAnsi" w:eastAsiaTheme="minorHAnsi" w:hAnsiTheme="majorHAnsi" w:cstheme="minorBidi"/>
      <w:b/>
      <w:sz w:val="26"/>
    </w:rPr>
  </w:style>
  <w:style w:type="paragraph" w:customStyle="1" w:styleId="Nadpis3-mimoobsah">
    <w:name w:val="Nadpis 3 -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b/>
    </w:rPr>
  </w:style>
  <w:style w:type="paragraph" w:customStyle="1" w:styleId="Nadpis4-mimoobsah">
    <w:name w:val="Nadpis 4 -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i/>
    </w:rPr>
  </w:style>
  <w:style w:type="paragraph" w:customStyle="1" w:styleId="Nadpis5-mimoobsah">
    <w:name w:val="Nadpis 5 -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b/>
      <w:sz w:val="22"/>
    </w:rPr>
  </w:style>
  <w:style w:type="paragraph" w:customStyle="1" w:styleId="Nadpis7mimoobsah">
    <w:name w:val="Nadpis 7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sz w:val="22"/>
    </w:rPr>
  </w:style>
  <w:style w:type="paragraph" w:customStyle="1" w:styleId="Nadpis6mimoobsah">
    <w:name w:val="Nadpis 6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i/>
      <w:sz w:val="22"/>
    </w:rPr>
  </w:style>
  <w:style w:type="paragraph" w:customStyle="1" w:styleId="Nadpis8mimoobsah">
    <w:name w:val="Nadpis 8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b/>
      <w:sz w:val="21"/>
      <w:szCs w:val="21"/>
    </w:rPr>
  </w:style>
  <w:style w:type="paragraph" w:customStyle="1" w:styleId="Nadpis9mimoobsah">
    <w:name w:val="Nadpis 9 mimo obsah"/>
    <w:basedOn w:val="Normln"/>
    <w:next w:val="Normln"/>
    <w:uiPriority w:val="8"/>
    <w:semiHidden/>
    <w:qFormat/>
    <w:rsid w:val="006F588A"/>
    <w:pPr>
      <w:keepNext/>
      <w:keepLines/>
      <w:spacing w:before="40" w:after="0" w:line="276" w:lineRule="auto"/>
      <w:jc w:val="left"/>
    </w:pPr>
    <w:rPr>
      <w:rFonts w:asciiTheme="majorHAnsi" w:eastAsiaTheme="minorHAnsi" w:hAnsiTheme="majorHAnsi" w:cstheme="minorBidi"/>
      <w:i/>
      <w:sz w:val="21"/>
      <w:szCs w:val="21"/>
    </w:rPr>
  </w:style>
  <w:style w:type="paragraph" w:customStyle="1" w:styleId="SeznamsodrkamiB">
    <w:name w:val="Seznam s odrážkami B"/>
    <w:basedOn w:val="Normln"/>
    <w:uiPriority w:val="11"/>
    <w:semiHidden/>
    <w:qFormat/>
    <w:rsid w:val="006F588A"/>
    <w:pPr>
      <w:numPr>
        <w:numId w:val="65"/>
      </w:numPr>
      <w:spacing w:before="0" w:after="0" w:line="276" w:lineRule="auto"/>
      <w:jc w:val="left"/>
    </w:pPr>
    <w:rPr>
      <w:rFonts w:asciiTheme="minorHAnsi" w:eastAsiaTheme="minorHAnsi" w:hAnsiTheme="minorHAnsi" w:cstheme="minorBidi"/>
      <w:sz w:val="22"/>
    </w:rPr>
  </w:style>
  <w:style w:type="paragraph" w:customStyle="1" w:styleId="SeznamsodrkamiB2">
    <w:name w:val="Seznam s odrážkami B 2"/>
    <w:basedOn w:val="Normln"/>
    <w:uiPriority w:val="11"/>
    <w:semiHidden/>
    <w:qFormat/>
    <w:rsid w:val="006F588A"/>
    <w:pPr>
      <w:numPr>
        <w:ilvl w:val="1"/>
        <w:numId w:val="65"/>
      </w:numPr>
      <w:spacing w:before="0" w:after="0" w:line="276" w:lineRule="auto"/>
      <w:jc w:val="left"/>
    </w:pPr>
    <w:rPr>
      <w:rFonts w:asciiTheme="minorHAnsi" w:eastAsiaTheme="minorHAnsi" w:hAnsiTheme="minorHAnsi" w:cstheme="minorBidi"/>
      <w:sz w:val="22"/>
    </w:rPr>
  </w:style>
  <w:style w:type="paragraph" w:customStyle="1" w:styleId="SeznamsodrkamiB3">
    <w:name w:val="Seznam s odrážkami B 3"/>
    <w:basedOn w:val="Normln"/>
    <w:uiPriority w:val="11"/>
    <w:semiHidden/>
    <w:qFormat/>
    <w:rsid w:val="006F588A"/>
    <w:pPr>
      <w:numPr>
        <w:ilvl w:val="2"/>
        <w:numId w:val="65"/>
      </w:numPr>
      <w:spacing w:before="0" w:after="0" w:line="276" w:lineRule="auto"/>
      <w:jc w:val="left"/>
    </w:pPr>
    <w:rPr>
      <w:rFonts w:asciiTheme="minorHAnsi" w:eastAsiaTheme="minorHAnsi" w:hAnsiTheme="minorHAnsi" w:cstheme="minorBidi"/>
      <w:sz w:val="22"/>
    </w:rPr>
  </w:style>
  <w:style w:type="paragraph" w:customStyle="1" w:styleId="SeznamsodrkamiB4">
    <w:name w:val="Seznam s odrážkami B 4"/>
    <w:basedOn w:val="Normln"/>
    <w:uiPriority w:val="11"/>
    <w:semiHidden/>
    <w:qFormat/>
    <w:rsid w:val="006F588A"/>
    <w:pPr>
      <w:numPr>
        <w:ilvl w:val="3"/>
        <w:numId w:val="65"/>
      </w:numPr>
      <w:spacing w:before="0" w:after="0" w:line="276" w:lineRule="auto"/>
      <w:jc w:val="left"/>
    </w:pPr>
    <w:rPr>
      <w:rFonts w:asciiTheme="minorHAnsi" w:eastAsiaTheme="minorHAnsi" w:hAnsiTheme="minorHAnsi" w:cstheme="minorBidi"/>
      <w:sz w:val="22"/>
    </w:rPr>
  </w:style>
  <w:style w:type="paragraph" w:customStyle="1" w:styleId="SeznamsodrkamiB5">
    <w:name w:val="Seznam s odrážkami B 5"/>
    <w:basedOn w:val="Normln"/>
    <w:uiPriority w:val="11"/>
    <w:semiHidden/>
    <w:qFormat/>
    <w:rsid w:val="006F588A"/>
    <w:pPr>
      <w:numPr>
        <w:ilvl w:val="4"/>
        <w:numId w:val="65"/>
      </w:numPr>
      <w:spacing w:before="0" w:after="0" w:line="276" w:lineRule="auto"/>
      <w:jc w:val="left"/>
    </w:pPr>
    <w:rPr>
      <w:rFonts w:asciiTheme="minorHAnsi" w:eastAsiaTheme="minorHAnsi" w:hAnsiTheme="minorHAnsi" w:cstheme="minorBidi"/>
      <w:sz w:val="22"/>
    </w:rPr>
  </w:style>
  <w:style w:type="paragraph" w:customStyle="1" w:styleId="normal1">
    <w:name w:val="normal1"/>
    <w:basedOn w:val="Normln"/>
    <w:uiPriority w:val="99"/>
    <w:semiHidden/>
    <w:rsid w:val="006F588A"/>
    <w:pPr>
      <w:spacing w:after="0" w:line="312" w:lineRule="atLeast"/>
    </w:pPr>
    <w:rPr>
      <w:rFonts w:ascii="Times New Roman" w:eastAsia="Times New Roman" w:hAnsi="Times New Roman"/>
      <w:szCs w:val="24"/>
      <w:lang w:eastAsia="cs-CZ"/>
    </w:rPr>
  </w:style>
  <w:style w:type="paragraph" w:customStyle="1" w:styleId="sti-art1">
    <w:name w:val="sti-art1"/>
    <w:basedOn w:val="Normln"/>
    <w:uiPriority w:val="99"/>
    <w:semiHidden/>
    <w:rsid w:val="006F588A"/>
    <w:pPr>
      <w:spacing w:before="60" w:line="312" w:lineRule="atLeast"/>
      <w:jc w:val="center"/>
    </w:pPr>
    <w:rPr>
      <w:rFonts w:ascii="Times New Roman" w:eastAsia="Times New Roman" w:hAnsi="Times New Roman"/>
      <w:b/>
      <w:bCs/>
      <w:szCs w:val="24"/>
      <w:lang w:eastAsia="cs-CZ"/>
    </w:rPr>
  </w:style>
  <w:style w:type="paragraph" w:customStyle="1" w:styleId="ti-art1">
    <w:name w:val="ti-art1"/>
    <w:basedOn w:val="Normln"/>
    <w:uiPriority w:val="99"/>
    <w:semiHidden/>
    <w:rsid w:val="006F588A"/>
    <w:pPr>
      <w:spacing w:before="360" w:line="312" w:lineRule="atLeast"/>
      <w:jc w:val="center"/>
    </w:pPr>
    <w:rPr>
      <w:rFonts w:ascii="Times New Roman" w:eastAsia="Times New Roman" w:hAnsi="Times New Roman"/>
      <w:i/>
      <w:iCs/>
      <w:szCs w:val="24"/>
      <w:lang w:eastAsia="cs-CZ"/>
    </w:rPr>
  </w:style>
  <w:style w:type="paragraph" w:customStyle="1" w:styleId="l41">
    <w:name w:val="l41"/>
    <w:basedOn w:val="Normln"/>
    <w:uiPriority w:val="99"/>
    <w:semiHidden/>
    <w:rsid w:val="006F588A"/>
    <w:pPr>
      <w:spacing w:before="144" w:after="144"/>
    </w:pPr>
    <w:rPr>
      <w:rFonts w:ascii="Times New Roman" w:eastAsia="Times New Roman" w:hAnsi="Times New Roman"/>
      <w:szCs w:val="24"/>
      <w:lang w:eastAsia="cs-CZ"/>
    </w:rPr>
  </w:style>
  <w:style w:type="paragraph" w:customStyle="1" w:styleId="l51">
    <w:name w:val="l51"/>
    <w:basedOn w:val="Normln"/>
    <w:uiPriority w:val="99"/>
    <w:semiHidden/>
    <w:rsid w:val="006F588A"/>
    <w:pPr>
      <w:spacing w:before="144" w:after="144"/>
    </w:pPr>
    <w:rPr>
      <w:rFonts w:ascii="Times New Roman" w:eastAsia="Times New Roman" w:hAnsi="Times New Roman"/>
      <w:szCs w:val="24"/>
      <w:lang w:eastAsia="cs-CZ"/>
    </w:rPr>
  </w:style>
  <w:style w:type="character" w:customStyle="1" w:styleId="CRMinorChangeAdded">
    <w:name w:val="CR Minor Change Added"/>
    <w:uiPriority w:val="99"/>
    <w:rsid w:val="006F588A"/>
    <w:rPr>
      <w:u w:val="double"/>
    </w:rPr>
  </w:style>
  <w:style w:type="character" w:customStyle="1" w:styleId="CRDeleted">
    <w:name w:val="CR Deleted"/>
    <w:uiPriority w:val="99"/>
    <w:rsid w:val="006F588A"/>
    <w:rPr>
      <w:dstrike/>
    </w:rPr>
  </w:style>
  <w:style w:type="character" w:customStyle="1" w:styleId="CRMinorChangeDeleted">
    <w:name w:val="CR Minor Change Deleted"/>
    <w:uiPriority w:val="99"/>
    <w:rsid w:val="006F588A"/>
    <w:rPr>
      <w:dstrike/>
      <w:u w:val="double"/>
    </w:rPr>
  </w:style>
  <w:style w:type="character" w:customStyle="1" w:styleId="CRMarker">
    <w:name w:val="CR Marker"/>
    <w:uiPriority w:val="99"/>
    <w:rsid w:val="006F588A"/>
    <w:rPr>
      <w:rFonts w:ascii="Wingdings" w:hAnsi="Wingdings" w:hint="default"/>
    </w:rPr>
  </w:style>
  <w:style w:type="character" w:customStyle="1" w:styleId="CRRefonteDeleted">
    <w:name w:val="CR Refonte Deleted"/>
    <w:rsid w:val="006F588A"/>
    <w:rPr>
      <w:dstrike/>
    </w:rPr>
  </w:style>
  <w:style w:type="character" w:customStyle="1" w:styleId="CRRefNum">
    <w:name w:val="CR RefNum"/>
    <w:uiPriority w:val="99"/>
    <w:rsid w:val="006F588A"/>
    <w:rPr>
      <w:vertAlign w:val="subscript"/>
    </w:rPr>
  </w:style>
  <w:style w:type="character" w:customStyle="1" w:styleId="shorttext">
    <w:name w:val="short_text"/>
    <w:basedOn w:val="Standardnpsmoodstavce"/>
    <w:rsid w:val="006F588A"/>
  </w:style>
  <w:style w:type="character" w:customStyle="1" w:styleId="tlid-placeholder">
    <w:name w:val="tlid-placeholder"/>
    <w:basedOn w:val="Standardnpsmoodstavce"/>
    <w:rsid w:val="006F588A"/>
  </w:style>
  <w:style w:type="character" w:customStyle="1" w:styleId="h1a6">
    <w:name w:val="h1a6"/>
    <w:basedOn w:val="Standardnpsmoodstavce"/>
    <w:rsid w:val="006F588A"/>
    <w:rPr>
      <w:rFonts w:ascii="Arial" w:hAnsi="Arial" w:cs="Arial" w:hint="default"/>
      <w:i/>
      <w:iCs/>
      <w:vanish/>
      <w:webHidden w:val="0"/>
      <w:sz w:val="26"/>
      <w:szCs w:val="26"/>
      <w:specVanish/>
    </w:rPr>
  </w:style>
  <w:style w:type="character" w:customStyle="1" w:styleId="DeltaViewInsertion">
    <w:name w:val="DeltaView Insertion"/>
    <w:uiPriority w:val="99"/>
    <w:rsid w:val="006F588A"/>
    <w:rPr>
      <w:b/>
      <w:bCs w:val="0"/>
      <w:i/>
      <w:iCs w:val="0"/>
      <w:color w:val="000000"/>
    </w:rPr>
  </w:style>
  <w:style w:type="character" w:customStyle="1" w:styleId="DeltaViewDeletion">
    <w:name w:val="DeltaView Deletion"/>
    <w:uiPriority w:val="99"/>
    <w:rsid w:val="006F588A"/>
    <w:rPr>
      <w:strike/>
      <w:color w:val="000000"/>
    </w:rPr>
  </w:style>
  <w:style w:type="numbering" w:customStyle="1" w:styleId="VariantaA-sla">
    <w:name w:val="Varianta A - čísla"/>
    <w:uiPriority w:val="99"/>
    <w:rsid w:val="006F588A"/>
    <w:pPr>
      <w:numPr>
        <w:numId w:val="64"/>
      </w:numPr>
    </w:pPr>
  </w:style>
  <w:style w:type="numbering" w:customStyle="1" w:styleId="VariantaB-odrky">
    <w:name w:val="Varianta B - odrážky"/>
    <w:uiPriority w:val="99"/>
    <w:rsid w:val="006F588A"/>
    <w:pPr>
      <w:numPr>
        <w:numId w:val="65"/>
      </w:numPr>
    </w:pPr>
  </w:style>
  <w:style w:type="numbering" w:customStyle="1" w:styleId="VariantaB-sla">
    <w:name w:val="Varianta B - čísla"/>
    <w:uiPriority w:val="99"/>
    <w:rsid w:val="006F588A"/>
    <w:pPr>
      <w:numPr>
        <w:numId w:val="66"/>
      </w:numPr>
    </w:pPr>
  </w:style>
  <w:style w:type="numbering" w:customStyle="1" w:styleId="VariantaA-odrky">
    <w:name w:val="Varianta A - odrážky"/>
    <w:uiPriority w:val="99"/>
    <w:rsid w:val="006F588A"/>
    <w:pPr>
      <w:numPr>
        <w:numId w:val="67"/>
      </w:numPr>
    </w:pPr>
  </w:style>
  <w:style w:type="paragraph" w:customStyle="1" w:styleId="title-grseq-4">
    <w:name w:val="title-grseq-4"/>
    <w:basedOn w:val="Normln"/>
    <w:rsid w:val="00761791"/>
    <w:pPr>
      <w:spacing w:before="100" w:beforeAutospacing="1" w:after="100" w:afterAutospacing="1"/>
      <w:jc w:val="left"/>
    </w:pPr>
    <w:rPr>
      <w:rFonts w:ascii="Times New Roman" w:eastAsia="Times New Roman" w:hAnsi="Times New Roman"/>
      <w:szCs w:val="24"/>
      <w:lang w:eastAsia="cs-CZ"/>
    </w:rPr>
  </w:style>
  <w:style w:type="character" w:customStyle="1" w:styleId="italic">
    <w:name w:val="italic"/>
    <w:basedOn w:val="Standardnpsmoodstavce"/>
    <w:rsid w:val="00761791"/>
  </w:style>
  <w:style w:type="paragraph" w:customStyle="1" w:styleId="count">
    <w:name w:val="count"/>
    <w:basedOn w:val="Normln"/>
    <w:rsid w:val="00761791"/>
    <w:pPr>
      <w:spacing w:before="100" w:beforeAutospacing="1" w:after="100" w:afterAutospacing="1"/>
      <w:jc w:val="left"/>
    </w:pPr>
    <w:rPr>
      <w:rFonts w:ascii="Times New Roman" w:eastAsia="Times New Roman" w:hAnsi="Times New Roman"/>
      <w:szCs w:val="24"/>
      <w:lang w:eastAsia="cs-CZ"/>
    </w:rPr>
  </w:style>
  <w:style w:type="paragraph" w:customStyle="1" w:styleId="Normln3">
    <w:name w:val="Normální3"/>
    <w:basedOn w:val="Normln"/>
    <w:rsid w:val="00761791"/>
    <w:pPr>
      <w:spacing w:before="100" w:beforeAutospacing="1" w:after="100" w:afterAutospacing="1"/>
      <w:jc w:val="left"/>
    </w:pPr>
    <w:rPr>
      <w:rFonts w:ascii="Times New Roman" w:eastAsia="Times New Roman" w:hAnsi="Times New Roman"/>
      <w:szCs w:val="24"/>
      <w:lang w:eastAsia="cs-CZ"/>
    </w:rPr>
  </w:style>
  <w:style w:type="character" w:customStyle="1" w:styleId="Nevyeenzmnka8">
    <w:name w:val="Nevyřešená zmínka8"/>
    <w:basedOn w:val="Standardnpsmoodstavce"/>
    <w:uiPriority w:val="99"/>
    <w:semiHidden/>
    <w:unhideWhenUsed/>
    <w:rsid w:val="00E85709"/>
    <w:rPr>
      <w:color w:val="605E5C"/>
      <w:shd w:val="clear" w:color="auto" w:fill="E1DFDD"/>
    </w:rPr>
  </w:style>
  <w:style w:type="character" w:customStyle="1" w:styleId="Nevyeenzmnka9">
    <w:name w:val="Nevyřešená zmínka9"/>
    <w:basedOn w:val="Standardnpsmoodstavce"/>
    <w:uiPriority w:val="99"/>
    <w:semiHidden/>
    <w:unhideWhenUsed/>
    <w:rsid w:val="00F94A0C"/>
    <w:rPr>
      <w:color w:val="605E5C"/>
      <w:shd w:val="clear" w:color="auto" w:fill="E1DFDD"/>
    </w:rPr>
  </w:style>
  <w:style w:type="table" w:customStyle="1" w:styleId="Prosttabulka32">
    <w:name w:val="Prostá tabulka 32"/>
    <w:basedOn w:val="Normlntabulka"/>
    <w:uiPriority w:val="43"/>
    <w:rsid w:val="00F7578B"/>
    <w:rPr>
      <w:rFonts w:asciiTheme="minorHAnsi" w:eastAsiaTheme="minorEastAsia" w:hAnsiTheme="minorHAnsi" w:cstheme="minorBidi"/>
      <w:sz w:val="22"/>
      <w:szCs w:val="22"/>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ulkasmkou4zvraznn12">
    <w:name w:val="Tabulka s mřížkou 4 – zvýraznění 12"/>
    <w:basedOn w:val="Normlntabulka"/>
    <w:uiPriority w:val="49"/>
    <w:rsid w:val="00F7578B"/>
    <w:rPr>
      <w:rFonts w:asciiTheme="minorHAnsi" w:eastAsiaTheme="minorHAnsi" w:hAnsiTheme="minorHAnsi" w:cstheme="minorBidi"/>
      <w:sz w:val="22"/>
      <w:szCs w:val="22"/>
    </w:rPr>
    <w:tblPr>
      <w:tblStyleRowBandSize w:val="1"/>
      <w:tblStyleColBandSize w:val="1"/>
      <w:tblBorders>
        <w:top w:val="single" w:sz="4" w:space="0" w:color="FCF63D" w:themeColor="accent1" w:themeTint="99"/>
        <w:left w:val="single" w:sz="4" w:space="0" w:color="FCF63D" w:themeColor="accent1" w:themeTint="99"/>
        <w:bottom w:val="single" w:sz="4" w:space="0" w:color="FCF63D" w:themeColor="accent1" w:themeTint="99"/>
        <w:right w:val="single" w:sz="4" w:space="0" w:color="FCF63D" w:themeColor="accent1" w:themeTint="99"/>
        <w:insideH w:val="single" w:sz="4" w:space="0" w:color="FCF63D" w:themeColor="accent1" w:themeTint="99"/>
        <w:insideV w:val="single" w:sz="4" w:space="0" w:color="FCF63D" w:themeColor="accent1" w:themeTint="99"/>
      </w:tblBorders>
    </w:tblPr>
    <w:tblStylePr w:type="firstRow">
      <w:rPr>
        <w:b/>
        <w:bCs/>
        <w:color w:val="FFFFFF" w:themeColor="background1"/>
      </w:rPr>
      <w:tblPr/>
      <w:tcPr>
        <w:tcBorders>
          <w:top w:val="single" w:sz="4" w:space="0" w:color="B6B002" w:themeColor="accent1"/>
          <w:left w:val="single" w:sz="4" w:space="0" w:color="B6B002" w:themeColor="accent1"/>
          <w:bottom w:val="single" w:sz="4" w:space="0" w:color="B6B002" w:themeColor="accent1"/>
          <w:right w:val="single" w:sz="4" w:space="0" w:color="B6B002" w:themeColor="accent1"/>
          <w:insideH w:val="nil"/>
          <w:insideV w:val="nil"/>
        </w:tcBorders>
        <w:shd w:val="clear" w:color="auto" w:fill="B6B002" w:themeFill="accent1"/>
      </w:tcPr>
    </w:tblStylePr>
    <w:tblStylePr w:type="lastRow">
      <w:rPr>
        <w:b/>
        <w:bCs/>
      </w:rPr>
      <w:tblPr/>
      <w:tcPr>
        <w:tcBorders>
          <w:top w:val="double" w:sz="4" w:space="0" w:color="B6B002" w:themeColor="accent1"/>
        </w:tcBorders>
      </w:tcPr>
    </w:tblStylePr>
    <w:tblStylePr w:type="firstCol">
      <w:rPr>
        <w:b/>
        <w:bCs/>
      </w:rPr>
    </w:tblStylePr>
    <w:tblStylePr w:type="lastCol">
      <w:rPr>
        <w:b/>
        <w:bCs/>
      </w:rPr>
    </w:tblStylePr>
    <w:tblStylePr w:type="band1Vert">
      <w:tblPr/>
      <w:tcPr>
        <w:shd w:val="clear" w:color="auto" w:fill="FEFCBE" w:themeFill="accent1" w:themeFillTint="33"/>
      </w:tcPr>
    </w:tblStylePr>
    <w:tblStylePr w:type="band1Horz">
      <w:tblPr/>
      <w:tcPr>
        <w:shd w:val="clear" w:color="auto" w:fill="FEFCBE" w:themeFill="accent1" w:themeFillTint="33"/>
      </w:tcPr>
    </w:tblStylePr>
  </w:style>
  <w:style w:type="paragraph" w:customStyle="1" w:styleId="xl20590">
    <w:name w:val="xl20590"/>
    <w:basedOn w:val="Normln"/>
    <w:rsid w:val="006B23EE"/>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1">
    <w:name w:val="xl20591"/>
    <w:basedOn w:val="Normln"/>
    <w:rsid w:val="006B23EE"/>
    <w:pP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592">
    <w:name w:val="xl20592"/>
    <w:basedOn w:val="Normln"/>
    <w:rsid w:val="006B23E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3">
    <w:name w:val="xl20593"/>
    <w:basedOn w:val="Normln"/>
    <w:rsid w:val="006B23E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4">
    <w:name w:val="xl20594"/>
    <w:basedOn w:val="Normln"/>
    <w:rsid w:val="006B23E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5">
    <w:name w:val="xl20595"/>
    <w:basedOn w:val="Normln"/>
    <w:rsid w:val="006B23EE"/>
    <w:pPr>
      <w:pBdr>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596">
    <w:name w:val="xl20596"/>
    <w:basedOn w:val="Normln"/>
    <w:rsid w:val="006B23EE"/>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Arial Narrow" w:eastAsia="Times New Roman" w:hAnsi="Arial Narrow"/>
      <w:b/>
      <w:bCs/>
      <w:szCs w:val="24"/>
      <w:lang w:eastAsia="cs-CZ"/>
    </w:rPr>
  </w:style>
  <w:style w:type="paragraph" w:customStyle="1" w:styleId="xl20597">
    <w:name w:val="xl20597"/>
    <w:basedOn w:val="Normln"/>
    <w:rsid w:val="006B23EE"/>
    <w:pPr>
      <w:pBdr>
        <w:top w:val="single" w:sz="8"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598">
    <w:name w:val="xl20598"/>
    <w:basedOn w:val="Normln"/>
    <w:rsid w:val="006B23EE"/>
    <w:pPr>
      <w:pBdr>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599">
    <w:name w:val="xl20599"/>
    <w:basedOn w:val="Normln"/>
    <w:rsid w:val="006B23EE"/>
    <w:pP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00">
    <w:name w:val="xl20600"/>
    <w:basedOn w:val="Normln"/>
    <w:rsid w:val="006B23EE"/>
    <w:pP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1">
    <w:name w:val="xl20601"/>
    <w:basedOn w:val="Normln"/>
    <w:rsid w:val="006B23EE"/>
    <w:pP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2">
    <w:name w:val="xl20602"/>
    <w:basedOn w:val="Normln"/>
    <w:rsid w:val="006B23EE"/>
    <w:pPr>
      <w:spacing w:before="100" w:beforeAutospacing="1" w:after="100" w:afterAutospacing="1"/>
      <w:jc w:val="center"/>
      <w:textAlignment w:val="center"/>
    </w:pPr>
    <w:rPr>
      <w:rFonts w:ascii="Times New Roman" w:eastAsia="Times New Roman" w:hAnsi="Times New Roman"/>
      <w:b/>
      <w:bCs/>
      <w:szCs w:val="24"/>
      <w:lang w:eastAsia="cs-CZ"/>
    </w:rPr>
  </w:style>
  <w:style w:type="paragraph" w:customStyle="1" w:styleId="xl20603">
    <w:name w:val="xl20603"/>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04">
    <w:name w:val="xl20604"/>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5">
    <w:name w:val="xl20605"/>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Cs w:val="24"/>
      <w:lang w:eastAsia="cs-CZ"/>
    </w:rPr>
  </w:style>
  <w:style w:type="paragraph" w:customStyle="1" w:styleId="xl20606">
    <w:name w:val="xl20606"/>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7">
    <w:name w:val="xl20607"/>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08">
    <w:name w:val="xl20608"/>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09">
    <w:name w:val="xl20609"/>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0">
    <w:name w:val="xl20610"/>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Times New Roman" w:hAnsi="Arial Narrow"/>
      <w:szCs w:val="24"/>
      <w:lang w:eastAsia="cs-CZ"/>
    </w:rPr>
  </w:style>
  <w:style w:type="paragraph" w:customStyle="1" w:styleId="xl20611">
    <w:name w:val="xl20611"/>
    <w:basedOn w:val="Normln"/>
    <w:rsid w:val="006B23EE"/>
    <w:pP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2">
    <w:name w:val="xl20612"/>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13">
    <w:name w:val="xl20613"/>
    <w:basedOn w:val="Normln"/>
    <w:rsid w:val="006B23EE"/>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4">
    <w:name w:val="xl20614"/>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5">
    <w:name w:val="xl20615"/>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6">
    <w:name w:val="xl20616"/>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17">
    <w:name w:val="xl20617"/>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8">
    <w:name w:val="xl20618"/>
    <w:basedOn w:val="Normln"/>
    <w:rsid w:val="006B23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19">
    <w:name w:val="xl20619"/>
    <w:basedOn w:val="Normln"/>
    <w:rsid w:val="006B23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0">
    <w:name w:val="xl20620"/>
    <w:basedOn w:val="Normln"/>
    <w:rsid w:val="006B23E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21">
    <w:name w:val="xl20621"/>
    <w:basedOn w:val="Normln"/>
    <w:rsid w:val="006B23EE"/>
    <w:pPr>
      <w:pBdr>
        <w:top w:val="single" w:sz="4" w:space="0" w:color="auto"/>
        <w:left w:val="single" w:sz="4" w:space="0" w:color="auto"/>
      </w:pBdr>
      <w:shd w:val="clear" w:color="000000" w:fill="FFFFFF"/>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2">
    <w:name w:val="xl20622"/>
    <w:basedOn w:val="Normln"/>
    <w:rsid w:val="006B23EE"/>
    <w:pPr>
      <w:pBdr>
        <w:top w:val="single" w:sz="4" w:space="0" w:color="auto"/>
        <w:left w:val="single" w:sz="4" w:space="0" w:color="auto"/>
        <w:bottom w:val="single" w:sz="4" w:space="0" w:color="auto"/>
      </w:pBdr>
      <w:shd w:val="clear" w:color="000000" w:fill="FFFFFF"/>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23">
    <w:name w:val="xl20623"/>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4">
    <w:name w:val="xl20624"/>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5">
    <w:name w:val="xl20625"/>
    <w:basedOn w:val="Normln"/>
    <w:rsid w:val="006B23EE"/>
    <w:pPr>
      <w:pBdr>
        <w:top w:val="single" w:sz="4" w:space="0" w:color="auto"/>
        <w:left w:val="single" w:sz="4" w:space="0" w:color="auto"/>
        <w:right w:val="single" w:sz="4" w:space="0" w:color="auto"/>
      </w:pBd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6">
    <w:name w:val="xl20626"/>
    <w:basedOn w:val="Normln"/>
    <w:rsid w:val="006B23E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27">
    <w:name w:val="xl20627"/>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Cs w:val="24"/>
      <w:lang w:eastAsia="cs-CZ"/>
    </w:rPr>
  </w:style>
  <w:style w:type="paragraph" w:customStyle="1" w:styleId="xl20628">
    <w:name w:val="xl20628"/>
    <w:basedOn w:val="Normln"/>
    <w:rsid w:val="006B23EE"/>
    <w:pPr>
      <w:shd w:val="clear" w:color="000000" w:fill="FF00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29">
    <w:name w:val="xl20629"/>
    <w:basedOn w:val="Normln"/>
    <w:rsid w:val="006B23EE"/>
    <w:pPr>
      <w:shd w:val="clear" w:color="000000" w:fill="FF00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0">
    <w:name w:val="xl20630"/>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1">
    <w:name w:val="xl20631"/>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32">
    <w:name w:val="xl20632"/>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3">
    <w:name w:val="xl20633"/>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Arial Narrow" w:eastAsia="Times New Roman" w:hAnsi="Arial Narrow"/>
      <w:szCs w:val="24"/>
      <w:lang w:eastAsia="cs-CZ"/>
    </w:rPr>
  </w:style>
  <w:style w:type="paragraph" w:customStyle="1" w:styleId="xl20634">
    <w:name w:val="xl20634"/>
    <w:basedOn w:val="Normln"/>
    <w:rsid w:val="006B23EE"/>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5">
    <w:name w:val="xl20635"/>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36">
    <w:name w:val="xl20636"/>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7">
    <w:name w:val="xl20637"/>
    <w:basedOn w:val="Normln"/>
    <w:rsid w:val="006B23EE"/>
    <w:pP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8">
    <w:name w:val="xl20638"/>
    <w:basedOn w:val="Normln"/>
    <w:rsid w:val="006B23EE"/>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39">
    <w:name w:val="xl20639"/>
    <w:basedOn w:val="Normln"/>
    <w:rsid w:val="006B23EE"/>
    <w:pP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0">
    <w:name w:val="xl20640"/>
    <w:basedOn w:val="Normln"/>
    <w:rsid w:val="006B23EE"/>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1">
    <w:name w:val="xl20641"/>
    <w:basedOn w:val="Normln"/>
    <w:rsid w:val="006B23E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szCs w:val="24"/>
      <w:lang w:eastAsia="cs-CZ"/>
    </w:rPr>
  </w:style>
  <w:style w:type="paragraph" w:customStyle="1" w:styleId="xl20642">
    <w:name w:val="xl20642"/>
    <w:basedOn w:val="Normln"/>
    <w:rsid w:val="006B23EE"/>
    <w:pPr>
      <w:pBdr>
        <w:top w:val="single" w:sz="4" w:space="0" w:color="auto"/>
        <w:left w:val="single" w:sz="4" w:space="0" w:color="auto"/>
      </w:pBdr>
      <w:shd w:val="clear" w:color="000000" w:fill="FFFF00"/>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3">
    <w:name w:val="xl20643"/>
    <w:basedOn w:val="Normln"/>
    <w:rsid w:val="006B23EE"/>
    <w:pPr>
      <w:pBdr>
        <w:top w:val="single" w:sz="4" w:space="0" w:color="auto"/>
        <w:left w:val="single" w:sz="4" w:space="0" w:color="auto"/>
        <w:bottom w:val="single" w:sz="4" w:space="0" w:color="auto"/>
      </w:pBdr>
      <w:shd w:val="clear" w:color="000000" w:fill="FFFF00"/>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44">
    <w:name w:val="xl20644"/>
    <w:basedOn w:val="Normln"/>
    <w:rsid w:val="006B23E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ascii="Times New Roman" w:eastAsia="Times New Roman" w:hAnsi="Times New Roman"/>
      <w:color w:val="FF0000"/>
      <w:szCs w:val="24"/>
      <w:lang w:eastAsia="cs-CZ"/>
    </w:rPr>
  </w:style>
  <w:style w:type="paragraph" w:customStyle="1" w:styleId="xl20645">
    <w:name w:val="xl20645"/>
    <w:basedOn w:val="Normln"/>
    <w:rsid w:val="006B23EE"/>
    <w:pPr>
      <w:spacing w:before="100" w:beforeAutospacing="1" w:after="100" w:afterAutospacing="1"/>
      <w:jc w:val="left"/>
      <w:textAlignment w:val="center"/>
    </w:pPr>
    <w:rPr>
      <w:rFonts w:ascii="Times New Roman" w:eastAsia="Times New Roman" w:hAnsi="Times New Roman"/>
      <w:szCs w:val="24"/>
      <w:lang w:eastAsia="cs-CZ"/>
    </w:rPr>
  </w:style>
  <w:style w:type="paragraph" w:customStyle="1" w:styleId="xl20646">
    <w:name w:val="xl20646"/>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Cs w:val="24"/>
      <w:lang w:eastAsia="cs-CZ"/>
    </w:rPr>
  </w:style>
  <w:style w:type="paragraph" w:customStyle="1" w:styleId="xl20647">
    <w:name w:val="xl20647"/>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Times New Roman" w:hAnsi="Arial Narrow"/>
      <w:szCs w:val="24"/>
      <w:lang w:eastAsia="cs-CZ"/>
    </w:rPr>
  </w:style>
  <w:style w:type="paragraph" w:customStyle="1" w:styleId="xl20648">
    <w:name w:val="xl20648"/>
    <w:basedOn w:val="Normln"/>
    <w:rsid w:val="006B23EE"/>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Narrow" w:eastAsia="Times New Roman" w:hAnsi="Arial Narrow"/>
      <w:szCs w:val="24"/>
      <w:lang w:eastAsia="cs-CZ"/>
    </w:rPr>
  </w:style>
  <w:style w:type="paragraph" w:customStyle="1" w:styleId="xl20649">
    <w:name w:val="xl20649"/>
    <w:basedOn w:val="Normln"/>
    <w:rsid w:val="006B23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Arial Narrow" w:eastAsia="Times New Roman" w:hAnsi="Arial Narrow"/>
      <w:szCs w:val="24"/>
      <w:lang w:eastAsia="cs-CZ"/>
    </w:rPr>
  </w:style>
  <w:style w:type="paragraph" w:customStyle="1" w:styleId="xl8212">
    <w:name w:val="xl8212"/>
    <w:basedOn w:val="Normln"/>
    <w:rsid w:val="009C239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3">
    <w:name w:val="xl8213"/>
    <w:basedOn w:val="Normln"/>
    <w:rsid w:val="009C239B"/>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4">
    <w:name w:val="xl8214"/>
    <w:basedOn w:val="Normln"/>
    <w:rsid w:val="009C239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5">
    <w:name w:val="xl8215"/>
    <w:basedOn w:val="Normln"/>
    <w:rsid w:val="009C239B"/>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jc w:val="left"/>
      <w:textAlignment w:val="top"/>
    </w:pPr>
    <w:rPr>
      <w:rFonts w:ascii="Arial" w:eastAsia="Times New Roman" w:hAnsi="Arial" w:cs="Arial"/>
      <w:color w:val="000000"/>
      <w:sz w:val="18"/>
      <w:szCs w:val="18"/>
      <w:lang w:eastAsia="cs-CZ"/>
    </w:rPr>
  </w:style>
  <w:style w:type="paragraph" w:customStyle="1" w:styleId="xl8216">
    <w:name w:val="xl8216"/>
    <w:basedOn w:val="Normln"/>
    <w:rsid w:val="009C23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17">
    <w:name w:val="xl8217"/>
    <w:basedOn w:val="Normln"/>
    <w:rsid w:val="009C23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18">
    <w:name w:val="xl8218"/>
    <w:basedOn w:val="Normln"/>
    <w:rsid w:val="009C239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19">
    <w:name w:val="xl8219"/>
    <w:basedOn w:val="Normln"/>
    <w:rsid w:val="009C239B"/>
    <w:pPr>
      <w:pBdr>
        <w:left w:val="single" w:sz="4" w:space="0" w:color="000000"/>
        <w:bottom w:val="single" w:sz="4" w:space="0" w:color="000000"/>
        <w:right w:val="single" w:sz="4" w:space="0" w:color="000000"/>
      </w:pBdr>
      <w:shd w:val="clear" w:color="000000" w:fill="F2F2F2"/>
      <w:spacing w:before="100" w:beforeAutospacing="1" w:after="100" w:afterAutospacing="1"/>
      <w:jc w:val="left"/>
      <w:textAlignment w:val="top"/>
    </w:pPr>
    <w:rPr>
      <w:rFonts w:ascii="Arial" w:eastAsia="Times New Roman" w:hAnsi="Arial" w:cs="Arial"/>
      <w:b/>
      <w:bCs/>
      <w:sz w:val="18"/>
      <w:szCs w:val="18"/>
      <w:lang w:eastAsia="cs-CZ"/>
    </w:rPr>
  </w:style>
  <w:style w:type="paragraph" w:customStyle="1" w:styleId="xl8220">
    <w:name w:val="xl8220"/>
    <w:basedOn w:val="Normln"/>
    <w:rsid w:val="009C239B"/>
    <w:pPr>
      <w:spacing w:before="100" w:beforeAutospacing="1" w:after="100" w:afterAutospacing="1"/>
      <w:jc w:val="left"/>
    </w:pPr>
    <w:rPr>
      <w:rFonts w:ascii="Times New Roman" w:eastAsia="Times New Roman" w:hAnsi="Times New Roman"/>
      <w:szCs w:val="24"/>
      <w:lang w:eastAsia="cs-CZ"/>
    </w:rPr>
  </w:style>
  <w:style w:type="character" w:customStyle="1" w:styleId="Nevyeenzmnka10">
    <w:name w:val="Nevyřešená zmínka10"/>
    <w:basedOn w:val="Standardnpsmoodstavce"/>
    <w:uiPriority w:val="99"/>
    <w:semiHidden/>
    <w:unhideWhenUsed/>
    <w:rsid w:val="004D5532"/>
    <w:rPr>
      <w:color w:val="605E5C"/>
      <w:shd w:val="clear" w:color="auto" w:fill="E1DFDD"/>
    </w:rPr>
  </w:style>
  <w:style w:type="character" w:customStyle="1" w:styleId="Nevyeenzmnka11">
    <w:name w:val="Nevyřešená zmínka11"/>
    <w:basedOn w:val="Standardnpsmoodstavce"/>
    <w:uiPriority w:val="99"/>
    <w:semiHidden/>
    <w:unhideWhenUsed/>
    <w:rsid w:val="0061355C"/>
    <w:rPr>
      <w:color w:val="605E5C"/>
      <w:shd w:val="clear" w:color="auto" w:fill="E1DFDD"/>
    </w:rPr>
  </w:style>
  <w:style w:type="paragraph" w:customStyle="1" w:styleId="kicker">
    <w:name w:val="kicker"/>
    <w:basedOn w:val="Normln"/>
    <w:uiPriority w:val="99"/>
    <w:semiHidden/>
    <w:rsid w:val="00806377"/>
    <w:pPr>
      <w:spacing w:before="100" w:beforeAutospacing="1" w:after="100" w:afterAutospacing="1"/>
      <w:jc w:val="left"/>
    </w:pPr>
    <w:rPr>
      <w:rFonts w:ascii="Calibri" w:eastAsiaTheme="minorHAnsi" w:hAnsi="Calibri" w:cs="Calibri"/>
      <w:sz w:val="22"/>
      <w:lang w:eastAsia="cs-CZ"/>
    </w:rPr>
  </w:style>
  <w:style w:type="character" w:customStyle="1" w:styleId="vr15s">
    <w:name w:val="vr15s"/>
    <w:basedOn w:val="Standardnpsmoodstavce"/>
    <w:rsid w:val="00806377"/>
  </w:style>
  <w:style w:type="character" w:customStyle="1" w:styleId="mediarights">
    <w:name w:val="mediarights"/>
    <w:basedOn w:val="Standardnpsmoodstavce"/>
    <w:rsid w:val="00806377"/>
  </w:style>
  <w:style w:type="table" w:customStyle="1" w:styleId="Barevntabulkaseznamu6zvraznn52">
    <w:name w:val="Barevná tabulka seznamu 6 – zvýraznění 52"/>
    <w:basedOn w:val="Normlntabulka"/>
    <w:uiPriority w:val="51"/>
    <w:rsid w:val="00D5031C"/>
    <w:rPr>
      <w:color w:val="1C1C1C" w:themeColor="accent5" w:themeShade="BF"/>
    </w:rPr>
    <w:tblPr>
      <w:tblStyleRowBandSize w:val="1"/>
      <w:tblStyleColBandSize w:val="1"/>
      <w:tblBorders>
        <w:top w:val="single" w:sz="4" w:space="0" w:color="262626" w:themeColor="accent5"/>
        <w:bottom w:val="single" w:sz="4" w:space="0" w:color="262626" w:themeColor="accent5"/>
      </w:tblBorders>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paragraph" w:customStyle="1" w:styleId="Standard">
    <w:name w:val="Standard"/>
    <w:link w:val="StandardChar"/>
    <w:qFormat/>
    <w:rsid w:val="00032A5F"/>
    <w:pPr>
      <w:widowControl w:val="0"/>
      <w:suppressAutoHyphens/>
      <w:autoSpaceDN w:val="0"/>
      <w:textAlignment w:val="baseline"/>
    </w:pPr>
    <w:rPr>
      <w:rFonts w:eastAsia="Segoe UI" w:cs="Tahoma"/>
      <w:color w:val="000000"/>
      <w:kern w:val="3"/>
      <w:sz w:val="24"/>
      <w:szCs w:val="24"/>
      <w:lang w:eastAsia="cs-CZ"/>
    </w:rPr>
  </w:style>
  <w:style w:type="character" w:customStyle="1" w:styleId="StandardChar">
    <w:name w:val="Standard Char"/>
    <w:basedOn w:val="Standardnpsmoodstavce"/>
    <w:link w:val="Standard"/>
    <w:qFormat/>
    <w:rsid w:val="00032A5F"/>
    <w:rPr>
      <w:rFonts w:eastAsia="Segoe UI" w:cs="Tahoma"/>
      <w:color w:val="000000"/>
      <w:kern w:val="3"/>
      <w:sz w:val="24"/>
      <w:szCs w:val="24"/>
      <w:lang w:eastAsia="cs-CZ"/>
    </w:rPr>
  </w:style>
  <w:style w:type="character" w:customStyle="1" w:styleId="Nevyeenzmnka12">
    <w:name w:val="Nevyřešená zmínka12"/>
    <w:basedOn w:val="Standardnpsmoodstavce"/>
    <w:uiPriority w:val="99"/>
    <w:semiHidden/>
    <w:unhideWhenUsed/>
    <w:rsid w:val="00C30AA2"/>
    <w:rPr>
      <w:color w:val="605E5C"/>
      <w:shd w:val="clear" w:color="auto" w:fill="E1DFDD"/>
    </w:rPr>
  </w:style>
  <w:style w:type="table" w:styleId="Tmavtabulkasmkou5zvraznn1">
    <w:name w:val="Grid Table 5 Dark Accent 1"/>
    <w:basedOn w:val="Normlntabulka"/>
    <w:uiPriority w:val="50"/>
    <w:rsid w:val="0060033D"/>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CB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B00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B00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B00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B002" w:themeFill="accent1"/>
      </w:tcPr>
    </w:tblStylePr>
    <w:tblStylePr w:type="band1Vert">
      <w:tblPr/>
      <w:tcPr>
        <w:shd w:val="clear" w:color="auto" w:fill="FDF97D" w:themeFill="accent1" w:themeFillTint="66"/>
      </w:tcPr>
    </w:tblStylePr>
    <w:tblStylePr w:type="band1Horz">
      <w:tblPr/>
      <w:tcPr>
        <w:shd w:val="clear" w:color="auto" w:fill="FDF97D" w:themeFill="accent1" w:themeFillTint="66"/>
      </w:tcPr>
    </w:tblStylePr>
  </w:style>
  <w:style w:type="table" w:styleId="Barevntabulkaseznamu6zvraznn5">
    <w:name w:val="List Table 6 Colorful Accent 5"/>
    <w:basedOn w:val="Normlntabulka"/>
    <w:uiPriority w:val="51"/>
    <w:rsid w:val="0060033D"/>
    <w:rPr>
      <w:color w:val="1C1C1C" w:themeColor="accent5" w:themeShade="BF"/>
    </w:rPr>
    <w:tblPr>
      <w:tblStyleRowBandSize w:val="1"/>
      <w:tblStyleColBandSize w:val="1"/>
      <w:tblBorders>
        <w:top w:val="single" w:sz="4" w:space="0" w:color="262626" w:themeColor="accent5"/>
        <w:bottom w:val="single" w:sz="4" w:space="0" w:color="262626" w:themeColor="accent5"/>
      </w:tblBorders>
    </w:tblPr>
    <w:tblStylePr w:type="firstRow">
      <w:rPr>
        <w:b/>
        <w:bCs/>
      </w:rPr>
      <w:tblPr/>
      <w:tcPr>
        <w:tcBorders>
          <w:bottom w:val="single" w:sz="4" w:space="0" w:color="262626" w:themeColor="accent5"/>
        </w:tcBorders>
      </w:tcPr>
    </w:tblStylePr>
    <w:tblStylePr w:type="lastRow">
      <w:rPr>
        <w:b/>
        <w:bCs/>
      </w:rPr>
      <w:tblPr/>
      <w:tcPr>
        <w:tcBorders>
          <w:top w:val="double" w:sz="4" w:space="0" w:color="262626" w:themeColor="accent5"/>
        </w:tcBorders>
      </w:tcPr>
    </w:tblStylePr>
    <w:tblStylePr w:type="firstCol">
      <w:rPr>
        <w:b/>
        <w:bCs/>
      </w:rPr>
    </w:tblStylePr>
    <w:tblStylePr w:type="lastCol">
      <w:rPr>
        <w:b/>
        <w:bCs/>
      </w:rPr>
    </w:tblStylePr>
    <w:tblStylePr w:type="band1Vert">
      <w:tblPr/>
      <w:tcPr>
        <w:shd w:val="clear" w:color="auto" w:fill="D3D3D3" w:themeFill="accent5" w:themeFillTint="33"/>
      </w:tcPr>
    </w:tblStylePr>
    <w:tblStylePr w:type="band1Horz">
      <w:tblPr/>
      <w:tcPr>
        <w:shd w:val="clear" w:color="auto" w:fill="D3D3D3" w:themeFill="accent5" w:themeFillTint="33"/>
      </w:tcPr>
    </w:tblStylePr>
  </w:style>
  <w:style w:type="table" w:styleId="Barevntabulkaseznamu6">
    <w:name w:val="List Table 6 Colorful"/>
    <w:basedOn w:val="Normlntabulka"/>
    <w:uiPriority w:val="51"/>
    <w:rsid w:val="0064415B"/>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lag">
    <w:name w:val="lag"/>
    <w:basedOn w:val="Normln"/>
    <w:rsid w:val="00A20008"/>
    <w:pPr>
      <w:spacing w:before="100" w:beforeAutospacing="1" w:after="100" w:afterAutospacing="1"/>
      <w:jc w:val="left"/>
    </w:pPr>
    <w:rPr>
      <w:rFonts w:ascii="Times New Roman" w:eastAsia="Times New Roman" w:hAnsi="Times New Roman"/>
      <w:szCs w:val="24"/>
      <w:lang w:eastAsia="cs-CZ"/>
    </w:rPr>
  </w:style>
  <w:style w:type="character" w:customStyle="1" w:styleId="posted-on">
    <w:name w:val="posted-on"/>
    <w:basedOn w:val="Standardnpsmoodstavce"/>
    <w:rsid w:val="00AD4FB5"/>
  </w:style>
  <w:style w:type="character" w:customStyle="1" w:styleId="cat-links">
    <w:name w:val="cat-links"/>
    <w:basedOn w:val="Standardnpsmoodstavce"/>
    <w:rsid w:val="00AD4FB5"/>
  </w:style>
  <w:style w:type="character" w:customStyle="1" w:styleId="spelle">
    <w:name w:val="spelle"/>
    <w:basedOn w:val="Standardnpsmoodstavce"/>
    <w:rsid w:val="00AD4FB5"/>
  </w:style>
  <w:style w:type="character" w:customStyle="1" w:styleId="a2alabel">
    <w:name w:val="a2a_label"/>
    <w:basedOn w:val="Standardnpsmoodstavce"/>
    <w:rsid w:val="001246FC"/>
  </w:style>
  <w:style w:type="character" w:customStyle="1" w:styleId="UnresolvedMention">
    <w:name w:val="Unresolved Mention"/>
    <w:basedOn w:val="Standardnpsmoodstavce"/>
    <w:uiPriority w:val="99"/>
    <w:semiHidden/>
    <w:unhideWhenUsed/>
    <w:rsid w:val="00276E23"/>
    <w:rPr>
      <w:color w:val="605E5C"/>
      <w:shd w:val="clear" w:color="auto" w:fill="E1DFDD"/>
    </w:rPr>
  </w:style>
  <w:style w:type="paragraph" w:customStyle="1" w:styleId="e-">
    <w:name w:val="e_-"/>
    <w:basedOn w:val="Normln"/>
    <w:rsid w:val="002647B7"/>
    <w:pPr>
      <w:spacing w:before="100" w:beforeAutospacing="1" w:after="100" w:afterAutospacing="1"/>
      <w:jc w:val="left"/>
    </w:pPr>
    <w:rPr>
      <w:rFonts w:ascii="Times New Roman" w:eastAsia="Times New Roman" w:hAnsi="Times New Roman"/>
      <w:szCs w:val="24"/>
      <w:lang w:eastAsia="cs-CZ"/>
    </w:rPr>
  </w:style>
  <w:style w:type="character" w:customStyle="1" w:styleId="atm-text-decorator">
    <w:name w:val="atm-text-decorator"/>
    <w:basedOn w:val="Standardnpsmoodstavce"/>
    <w:rsid w:val="002647B7"/>
  </w:style>
  <w:style w:type="paragraph" w:customStyle="1" w:styleId="meta">
    <w:name w:val="meta"/>
    <w:basedOn w:val="Normln"/>
    <w:rsid w:val="009F7E38"/>
    <w:pPr>
      <w:spacing w:before="100" w:beforeAutospacing="1" w:after="100" w:afterAutospacing="1"/>
      <w:jc w:val="left"/>
    </w:pPr>
    <w:rPr>
      <w:rFonts w:ascii="Times New Roman" w:eastAsia="Times New Roman" w:hAnsi="Times New Roman"/>
      <w:szCs w:val="24"/>
      <w:lang w:eastAsia="cs-CZ"/>
    </w:rPr>
  </w:style>
  <w:style w:type="character" w:customStyle="1" w:styleId="metaitem">
    <w:name w:val="meta__item"/>
    <w:basedOn w:val="Standardnpsmoodstavce"/>
    <w:rsid w:val="009F7E38"/>
  </w:style>
  <w:style w:type="character" w:customStyle="1" w:styleId="font-muni">
    <w:name w:val="font-muni"/>
    <w:basedOn w:val="Standardnpsmoodstavce"/>
    <w:rsid w:val="009F7E38"/>
  </w:style>
  <w:style w:type="character" w:customStyle="1" w:styleId="Internetovodkaz">
    <w:name w:val="Internetový odkaz"/>
    <w:basedOn w:val="Standardnpsmoodstavce"/>
    <w:uiPriority w:val="99"/>
    <w:rsid w:val="0020136C"/>
    <w:rPr>
      <w:color w:val="0000FF"/>
      <w:u w:val="single"/>
    </w:rPr>
  </w:style>
  <w:style w:type="character" w:customStyle="1" w:styleId="Znakypropoznmkupodarou0">
    <w:name w:val="Znaky pro poznámku pod čarou"/>
    <w:qFormat/>
    <w:rsid w:val="0020136C"/>
  </w:style>
  <w:style w:type="character" w:customStyle="1" w:styleId="Ukotvenpoznmkypodarou">
    <w:name w:val="Ukotvení poznámky pod čarou"/>
    <w:rsid w:val="0020136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tatistiky.ekcr.info/statistiky" TargetMode="External"/><Relationship Id="rId18" Type="http://schemas.openxmlformats.org/officeDocument/2006/relationships/hyperlink" Target="https://www.postaonline.cz/" TargetMode="External"/><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yperlink" Target="https://statistiky.ekcr.info/statistiky"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dvokatnidenik.cz/2019/07/15/aktualni-otazky-vyvlastneni-v-rezimu-zakona-o-urychleni-vystavby/" TargetMode="External"/><Relationship Id="rId5" Type="http://schemas.openxmlformats.org/officeDocument/2006/relationships/settings" Target="settings.xml"/><Relationship Id="rId15" Type="http://schemas.openxmlformats.org/officeDocument/2006/relationships/hyperlink" Target="https://statistiky.ekcr.info/statistiky" TargetMode="External"/><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www.postaonline.cz/" TargetMode="Externa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achourpartners.com/ustavni-soud-zamitl-navrh-na-zruseni-casti-linioveho-zakona/" TargetMode="External"/><Relationship Id="rId1" Type="http://schemas.openxmlformats.org/officeDocument/2006/relationships/hyperlink" Target="https://www.usoud.cz/fileadmin/user_upload/Tiskova_mluvci/Publikovane_nalezy/2022/Pl._US_39_18_na_web.pdf" TargetMode="External"/></Relationships>
</file>

<file path=word/theme/theme1.xml><?xml version="1.0" encoding="utf-8"?>
<a:theme xmlns:a="http://schemas.openxmlformats.org/drawingml/2006/main" name="Office Theme">
  <a:themeElements>
    <a:clrScheme name="EEIP - 2">
      <a:dk1>
        <a:sysClr val="windowText" lastClr="000000"/>
      </a:dk1>
      <a:lt1>
        <a:sysClr val="window" lastClr="FFFFFF"/>
      </a:lt1>
      <a:dk2>
        <a:srgbClr val="B6B002"/>
      </a:dk2>
      <a:lt2>
        <a:srgbClr val="FFFFFF"/>
      </a:lt2>
      <a:accent1>
        <a:srgbClr val="B6B002"/>
      </a:accent1>
      <a:accent2>
        <a:srgbClr val="7F7F7F"/>
      </a:accent2>
      <a:accent3>
        <a:srgbClr val="FFFF99"/>
      </a:accent3>
      <a:accent4>
        <a:srgbClr val="800000"/>
      </a:accent4>
      <a:accent5>
        <a:srgbClr val="262626"/>
      </a:accent5>
      <a:accent6>
        <a:srgbClr val="CC7B38"/>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771AFF-87A0-46E6-BEA0-BDFC9AA11CB6}">
  <ds:schemaRefs>
    <ds:schemaRef ds:uri="http://schemas.openxmlformats.org/officeDocument/2006/bibliography"/>
  </ds:schemaRefs>
</ds:datastoreItem>
</file>

<file path=customXml/itemProps2.xml><?xml version="1.0" encoding="utf-8"?>
<ds:datastoreItem xmlns:ds="http://schemas.openxmlformats.org/officeDocument/2006/customXml" ds:itemID="{59A4FE8F-CA08-4072-BF65-52F6A1881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47455</Words>
  <Characters>279986</Characters>
  <Application>Microsoft Office Word</Application>
  <DocSecurity>0</DocSecurity>
  <Lines>2333</Lines>
  <Paragraphs>653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2022-08-26T09:37:00Z</dcterms:created>
  <dcterms:modified xsi:type="dcterms:W3CDTF">2022-08-26T09:37:00Z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nonymizaceNavrh">
    <vt:lpwstr/>
  </property>
  <property fmtid="{D5CDD505-2E9C-101B-9397-08002B2CF9AE}" pid="3" name="Cislo_PostaOdesPisemnostDokumentVerze_PostaOdesPisemnost">
    <vt:lpwstr>VÝTISK Č. ...</vt:lpwstr>
  </property>
  <property fmtid="{D5CDD505-2E9C-101B-9397-08002B2CF9AE}" pid="4" name="CJ">
    <vt:lpwstr>MMR-54798/2022-31</vt:lpwstr>
  </property>
  <property fmtid="{D5CDD505-2E9C-101B-9397-08002B2CF9AE}" pid="5" name="CJ_PostaDoruc_PisemnostOdpovedNa_Pisemnost">
    <vt:lpwstr>XXX-XXX-XXX</vt:lpwstr>
  </property>
  <property fmtid="{D5CDD505-2E9C-101B-9397-08002B2CF9AE}" pid="6" name="CJ_Spis_Pisemnost">
    <vt:lpwstr>MMR-86141/2021-31</vt:lpwstr>
  </property>
  <property fmtid="{D5CDD505-2E9C-101B-9397-08002B2CF9AE}" pid="7" name="Contact_PostaOdes">
    <vt:lpwstr>{NameAddress_Contact_PostaOdes}
{FullAddress_Contact_PostaOdes}</vt:lpwstr>
  </property>
  <property fmtid="{D5CDD505-2E9C-101B-9397-08002B2CF9AE}" pid="8" name="Contact_PostaOdes_All">
    <vt:lpwstr>ROZDĚLOVNÍK...</vt:lpwstr>
  </property>
  <property fmtid="{D5CDD505-2E9C-101B-9397-08002B2CF9AE}" pid="9" name="DatumNaroz">
    <vt:lpwstr/>
  </property>
  <property fmtid="{D5CDD505-2E9C-101B-9397-08002B2CF9AE}" pid="10" name="DatumPlatnosti_PisemnostTypZpristupneniInformaciZOSZ_Pisemnost">
    <vt:lpwstr>ZOSZ_DatumPlatnosti</vt:lpwstr>
  </property>
  <property fmtid="{D5CDD505-2E9C-101B-9397-08002B2CF9AE}" pid="11" name="DatumPoriz_Pisemnost">
    <vt:lpwstr>25.8.2022</vt:lpwstr>
  </property>
  <property fmtid="{D5CDD505-2E9C-101B-9397-08002B2CF9AE}" pid="12" name="DisplayName_CisloObalky_PostaOdes">
    <vt:lpwstr>ČÍSLO OBÁLKY</vt:lpwstr>
  </property>
  <property fmtid="{D5CDD505-2E9C-101B-9397-08002B2CF9AE}" pid="13" name="DisplayName_CJCol">
    <vt:lpwstr>&lt;TABLE&gt;&lt;TR&gt;&lt;TD&gt;Č.j.:&lt;/TD&gt;&lt;TD&gt;MMR-54798/2022-31&lt;/TD&gt;&lt;/TR&gt;&lt;TR&gt;&lt;TD&gt;&lt;/TD&gt;&lt;TD&gt;&lt;/TD&gt;&lt;/TR&gt;&lt;/TABLE&gt;</vt:lpwstr>
  </property>
  <property fmtid="{D5CDD505-2E9C-101B-9397-08002B2CF9AE}" pid="14" name="DisplayName_SlozkaStupenUtajeniCollection_Slozka_Pisemnost">
    <vt:lpwstr/>
  </property>
  <property fmtid="{D5CDD505-2E9C-101B-9397-08002B2CF9AE}" pid="15" name="DisplayName_SpisovyUzel_PoziceZodpo_Pisemnost">
    <vt:lpwstr>Odbor legislativně právní</vt:lpwstr>
  </property>
  <property fmtid="{D5CDD505-2E9C-101B-9397-08002B2CF9AE}" pid="16" name="DisplayName_UserPoriz_Pisemnost">
    <vt:lpwstr>Renata Ornová</vt:lpwstr>
  </property>
  <property fmtid="{D5CDD505-2E9C-101B-9397-08002B2CF9AE}" pid="17" name="DuvodZmeny_SlozkaStupenUtajeniCollection_Slozka_Pisemnost">
    <vt:lpwstr/>
  </property>
  <property fmtid="{D5CDD505-2E9C-101B-9397-08002B2CF9AE}" pid="18" name="EC_Pisemnost">
    <vt:lpwstr>E57863/22/MMR</vt:lpwstr>
  </property>
  <property fmtid="{D5CDD505-2E9C-101B-9397-08002B2CF9AE}" pid="19" name="Key_BarCode_Pisemnost">
    <vt:lpwstr>*B003251486*</vt:lpwstr>
  </property>
  <property fmtid="{D5CDD505-2E9C-101B-9397-08002B2CF9AE}" pid="20" name="Key_BarCode_PostaOdes">
    <vt:lpwstr>11101001011</vt:lpwstr>
  </property>
  <property fmtid="{D5CDD505-2E9C-101B-9397-08002B2CF9AE}" pid="21" name="KRukam">
    <vt:lpwstr>{KRukam}</vt:lpwstr>
  </property>
  <property fmtid="{D5CDD505-2E9C-101B-9397-08002B2CF9AE}" pid="22" name="NameAddress_Contact_SpisovyUzel_PoziceZodpo_Pisemnost">
    <vt:lpwstr>ADRESÁT SU...</vt:lpwstr>
  </property>
  <property fmtid="{D5CDD505-2E9C-101B-9397-08002B2CF9AE}" pid="23" name="NamePostalAddress_Contact_PostaOdes">
    <vt:lpwstr>{NameAddress_Contact_PostaOdes}
{PostalAddress_Contact_PostaOdes}</vt:lpwstr>
  </property>
  <property fmtid="{D5CDD505-2E9C-101B-9397-08002B2CF9AE}" pid="24" name="Odkaz">
    <vt:lpwstr>ODKAZ</vt:lpwstr>
  </property>
  <property fmtid="{D5CDD505-2E9C-101B-9397-08002B2CF9AE}" pid="25" name="Password_PisemnostTypZpristupneniInformaciZOSZ_Pisemnost">
    <vt:lpwstr>ZOSZ_Password</vt:lpwstr>
  </property>
  <property fmtid="{D5CDD505-2E9C-101B-9397-08002B2CF9AE}" pid="26" name="PocetListuDokumentu_Pisemnost">
    <vt:lpwstr>1</vt:lpwstr>
  </property>
  <property fmtid="{D5CDD505-2E9C-101B-9397-08002B2CF9AE}" pid="27" name="PocetListu_Pisemnost">
    <vt:lpwstr>1</vt:lpwstr>
  </property>
  <property fmtid="{D5CDD505-2E9C-101B-9397-08002B2CF9AE}" pid="28" name="PocetPriloh_Pisemnost">
    <vt:lpwstr>0</vt:lpwstr>
  </property>
  <property fmtid="{D5CDD505-2E9C-101B-9397-08002B2CF9AE}" pid="29" name="Podpis">
    <vt:lpwstr/>
  </property>
  <property fmtid="{D5CDD505-2E9C-101B-9397-08002B2CF9AE}" pid="30" name="PoleVlastnost">
    <vt:lpwstr/>
  </property>
  <property fmtid="{D5CDD505-2E9C-101B-9397-08002B2CF9AE}" pid="31" name="PostalAddress_Contact_SpisovyUzel_PoziceZodpo_Pisemnost">
    <vt:lpwstr>ADRESA SU...</vt:lpwstr>
  </property>
  <property fmtid="{D5CDD505-2E9C-101B-9397-08002B2CF9AE}" pid="32" name="QREC_Pisemnost">
    <vt:lpwstr>E57863/22/MMR</vt:lpwstr>
  </property>
  <property fmtid="{D5CDD505-2E9C-101B-9397-08002B2CF9AE}" pid="33" name="RC">
    <vt:lpwstr/>
  </property>
  <property fmtid="{D5CDD505-2E9C-101B-9397-08002B2CF9AE}" pid="34" name="SkartacniZnakLhuta_PisemnostZnak">
    <vt:lpwstr>S/5</vt:lpwstr>
  </property>
  <property fmtid="{D5CDD505-2E9C-101B-9397-08002B2CF9AE}" pid="35" name="SmlouvaCislo">
    <vt:lpwstr>ČÍSLO SMLOUVY</vt:lpwstr>
  </property>
  <property fmtid="{D5CDD505-2E9C-101B-9397-08002B2CF9AE}" pid="36" name="SZ_Spis_Pisemnost">
    <vt:lpwstr>SZ-16512/31/2021</vt:lpwstr>
  </property>
  <property fmtid="{D5CDD505-2E9C-101B-9397-08002B2CF9AE}" pid="37" name="TEST">
    <vt:lpwstr>testovací pole</vt:lpwstr>
  </property>
  <property fmtid="{D5CDD505-2E9C-101B-9397-08002B2CF9AE}" pid="38" name="TypPrilohy_Pisemnost">
    <vt:lpwstr>TYP PŘÍLOHY</vt:lpwstr>
  </property>
  <property fmtid="{D5CDD505-2E9C-101B-9397-08002B2CF9AE}" pid="39" name="UserName_PisemnostTypZpristupneniInformaciZOSZ_Pisemnost">
    <vt:lpwstr>ZOSZ_UserName</vt:lpwstr>
  </property>
  <property fmtid="{D5CDD505-2E9C-101B-9397-08002B2CF9AE}" pid="40" name="Vec_Pisemnost">
    <vt:lpwstr>Návrh zákona o vyvlastnění - předložení do meziresortního připomínkového řízení</vt:lpwstr>
  </property>
  <property fmtid="{D5CDD505-2E9C-101B-9397-08002B2CF9AE}" pid="41" name="Zkratka_SpisovyUzel_PoziceZodpo_Pisemnost">
    <vt:lpwstr>31</vt:lpwstr>
  </property>
</Properties>
</file>